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0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4"/>
          <w:szCs w:val="24"/>
          <w:color w:val="auto"/>
        </w:rPr>
      </w:pPr>
    </w:p>
    <w:tbl>
      <w:tblPr>
        <w:tblLayout w:type="fixed"/>
        <w:tblInd w:w="386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22"/>
        </w:trPr>
        <w:tc>
          <w:tcPr>
            <w:tcW w:w="2380" w:type="dxa"/>
            <w:vAlign w:val="bottom"/>
          </w:tcPr>
          <w:p>
            <w:pPr>
              <w:jc w:val="right"/>
              <w:ind w:right="16"/>
              <w:spacing w:after="0"/>
              <w:rPr>
                <w:sz w:val="20"/>
                <w:szCs w:val="20"/>
                <w:color w:val="auto"/>
              </w:rPr>
            </w:pPr>
            <w:r>
              <w:rPr>
                <w:rFonts w:ascii="Arial" w:cs="Arial" w:eastAsia="Arial" w:hAnsi="Arial"/>
                <w:sz w:val="18"/>
                <w:szCs w:val="18"/>
                <w:b w:val="1"/>
                <w:bCs w:val="1"/>
                <w:color w:val="auto"/>
              </w:rPr>
              <w:t>333-126751</w:t>
            </w: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86"/>
        </w:trPr>
        <w:tc>
          <w:tcPr>
            <w:tcW w:w="2920" w:type="dxa"/>
            <w:vAlign w:val="bottom"/>
            <w:gridSpan w:val="2"/>
          </w:tcPr>
          <w:p>
            <w:pPr>
              <w:jc w:val="center"/>
              <w:ind w:left="696"/>
              <w:spacing w:after="0"/>
              <w:rPr>
                <w:sz w:val="20"/>
                <w:szCs w:val="20"/>
                <w:color w:val="auto"/>
              </w:rPr>
            </w:pPr>
            <w:r>
              <w:rPr>
                <w:rFonts w:ascii="Arial" w:cs="Arial" w:eastAsia="Arial" w:hAnsi="Arial"/>
                <w:sz w:val="14"/>
                <w:szCs w:val="14"/>
                <w:b w:val="1"/>
                <w:bCs w:val="1"/>
                <w:color w:val="auto"/>
                <w:w w:val="93"/>
              </w:rPr>
              <w:t>(Commission File Number)</w:t>
            </w:r>
          </w:p>
        </w:tc>
        <w:tc>
          <w:tcPr>
            <w:tcW w:w="2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85090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-334645</wp:posOffset>
            </wp:positionV>
            <wp:extent cx="342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LAZARD GROUP LLC</w:t>
      </w: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40"/>
          </w:cols>
          <w:pgMar w:left="240" w:top="571" w:right="319" w:bottom="1440" w:gutter="0" w:footer="0" w:header="0"/>
        </w:sectPr>
      </w:pPr>
    </w:p>
    <w:p>
      <w:pPr>
        <w:spacing w:after="0" w:line="246"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51-0278097</w:t>
      </w:r>
    </w:p>
    <w:p>
      <w:pPr>
        <w:spacing w:after="0" w:line="50" w:lineRule="exact"/>
        <w:rPr>
          <w:sz w:val="24"/>
          <w:szCs w:val="24"/>
          <w:color w:val="auto"/>
        </w:rPr>
      </w:pPr>
    </w:p>
    <w:p>
      <w:pPr>
        <w:sectPr>
          <w:pgSz w:w="11900" w:h="16838" w:orient="portrait"/>
          <w:cols w:equalWidth="0" w:num="2">
            <w:col w:w="7480" w:space="720"/>
            <w:col w:w="3140"/>
          </w:cols>
          <w:pgMar w:left="240" w:top="571" w:right="319" w:bottom="1440" w:gutter="0" w:footer="0" w:header="0"/>
          <w:type w:val="continuous"/>
        </w:sectPr>
      </w:pPr>
    </w:p>
    <w:p>
      <w:pPr>
        <w:jc w:val="center"/>
        <w:ind w:right="110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49" w:lineRule="exact"/>
        <w:rPr>
          <w:sz w:val="24"/>
          <w:szCs w:val="24"/>
          <w:color w:val="auto"/>
        </w:rPr>
      </w:pPr>
    </w:p>
    <w:p>
      <w:pPr>
        <w:sectPr>
          <w:pgSz w:w="11900" w:h="16838" w:orient="portrait"/>
          <w:cols w:equalWidth="0" w:num="2">
            <w:col w:w="6820" w:space="720"/>
            <w:col w:w="3800"/>
          </w:cols>
          <w:pgMar w:left="240" w:top="571" w:right="319" w:bottom="1440" w:gutter="0" w:footer="0" w:header="0"/>
          <w:type w:val="continuous"/>
        </w:sectPr>
      </w:pPr>
    </w:p>
    <w:p>
      <w:pPr>
        <w:ind w:left="4920"/>
        <w:spacing w:after="0"/>
        <w:rPr>
          <w:sz w:val="20"/>
          <w:szCs w:val="20"/>
          <w:color w:val="auto"/>
        </w:rPr>
      </w:pPr>
      <w:r>
        <w:rPr>
          <w:rFonts w:ascii="Arial" w:cs="Arial" w:eastAsia="Arial" w:hAnsi="Arial"/>
          <w:sz w:val="18"/>
          <w:szCs w:val="18"/>
          <w:b w:val="1"/>
          <w:bCs w:val="1"/>
          <w:color w:val="auto"/>
        </w:rPr>
        <w:t>30 Rockefeller Plaza</w:t>
      </w:r>
    </w:p>
    <w:p>
      <w:pPr>
        <w:spacing w:after="0" w:line="2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New York, NY 10112</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11340"/>
          </w:cols>
          <w:pgMar w:left="240" w:top="571" w:right="319" w:bottom="1440" w:gutter="0" w:footer="0" w:header="0"/>
          <w:type w:val="continuous"/>
        </w:sectPr>
      </w:pPr>
    </w:p>
    <w:p>
      <w:pPr>
        <w:spacing w:after="0" w:line="1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(212) 632-6000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4" w:lineRule="exact"/>
        <w:rPr>
          <w:sz w:val="24"/>
          <w:szCs w:val="24"/>
          <w:color w:val="auto"/>
        </w:rPr>
      </w:pPr>
    </w:p>
    <w:p>
      <w:pPr>
        <w:ind w:right="20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6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8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40"/>
          </w:cols>
          <w:pgMar w:left="240" w:top="571" w:right="319" w:bottom="1440" w:gutter="0" w:footer="0" w:header="0"/>
          <w:type w:val="continuous"/>
        </w:sectPr>
      </w:pPr>
    </w:p>
    <w:p>
      <w:pPr>
        <w:spacing w:after="0" w:line="171" w:lineRule="exact"/>
        <w:rPr>
          <w:sz w:val="24"/>
          <w:szCs w:val="24"/>
          <w:color w:val="auto"/>
        </w:rPr>
      </w:pPr>
    </w:p>
    <w:p>
      <w:pPr>
        <w:ind w:left="580"/>
        <w:spacing w:after="0" w:line="369" w:lineRule="auto"/>
        <w:rPr>
          <w:sz w:val="20"/>
          <w:szCs w:val="20"/>
          <w:color w:val="auto"/>
        </w:rPr>
      </w:pPr>
      <w:r>
        <w:rPr>
          <w:rFonts w:ascii="Arial" w:cs="Arial" w:eastAsia="Arial" w:hAnsi="Arial"/>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63"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4">
            <w:col w:w="2040" w:space="80"/>
            <w:col w:w="2420" w:space="720"/>
            <w:col w:w="1760" w:space="80"/>
            <w:col w:w="4240"/>
          </w:cols>
          <w:pgMar w:left="240" w:top="571" w:right="319" w:bottom="1440" w:gutter="0" w:footer="0" w:header="0"/>
          <w:type w:val="continuous"/>
        </w:sectPr>
      </w:pPr>
    </w:p>
    <w:p>
      <w:pPr>
        <w:ind w:firstLine="518"/>
        <w:spacing w:after="0" w:line="214" w:lineRule="exact"/>
        <w:rPr>
          <w:sz w:val="20"/>
          <w:szCs w:val="20"/>
          <w:color w:val="auto"/>
        </w:rPr>
      </w:pPr>
      <w:r>
        <w:rPr>
          <w:rFonts w:ascii="Arial" w:cs="Arial" w:eastAsia="Arial" w:hAnsi="Arial"/>
          <w:sz w:val="16"/>
          <w:szCs w:val="16"/>
          <w:color w:val="auto"/>
        </w:rPr>
        <w:t xml:space="preserve">If the Registrant is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right="240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July 21, 2017, in addition to profit participation interests, there were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806450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71"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ind w:right="120" w:firstLine="552"/>
        <w:spacing w:after="0" w:line="273" w:lineRule="auto"/>
        <w:rPr>
          <w:sz w:val="20"/>
          <w:szCs w:val="20"/>
          <w:color w:val="auto"/>
        </w:rPr>
      </w:pPr>
      <w:r>
        <w:rPr>
          <w:rFonts w:ascii="Arial" w:cs="Arial" w:eastAsia="Arial" w:hAnsi="Arial"/>
          <w:sz w:val="17"/>
          <w:szCs w:val="17"/>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Ltd’s primary operating asset is its indirect ownership as of June 30, 2017 of all of the common membership interests in Lazard Group and its controlling interest in Lazard Group. Lazard Ltd controls Lazard Group through two of its indirect wholly-owned subsidiaries that are co-managing members of Lazard Group.</w:t>
      </w:r>
    </w:p>
    <w:p>
      <w:pPr>
        <w:spacing w:after="0" w:line="178"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i w:val="1"/>
          <w:iCs w:val="1"/>
          <w:color w:val="auto"/>
        </w:rPr>
        <w:t>Lazard Group has granted profit participation interests in Lazard Group to certain of its managing directors. The profit participation interests are discretionary profits interests that are intended to enable Lazard Group to compensate its managing directors in a manner consistent with historical practices.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gridSpan w:val="5"/>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8480" w:type="dxa"/>
            <w:vAlign w:val="bottom"/>
            <w:gridSpan w:val="9"/>
            <w:vMerge w:val="restart"/>
          </w:tcPr>
          <w:p>
            <w:pPr>
              <w:spacing w:after="0"/>
              <w:rPr>
                <w:sz w:val="14"/>
                <w:szCs w:val="14"/>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5"/>
            <w:vMerge w:val="continue"/>
          </w:tcPr>
          <w:p>
            <w:pPr>
              <w:spacing w:after="0"/>
              <w:rPr>
                <w:sz w:val="13"/>
                <w:szCs w:val="13"/>
                <w:color w:val="auto"/>
              </w:rPr>
            </w:pPr>
          </w:p>
        </w:tc>
        <w:tc>
          <w:tcPr>
            <w:tcW w:w="8480" w:type="dxa"/>
            <w:vAlign w:val="bottom"/>
            <w:gridSpan w:val="9"/>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280" w:type="dxa"/>
            <w:vAlign w:val="bottom"/>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Item 4. Controls and Procedures</w:t>
              </w:r>
            </w:hyperlink>
          </w:p>
        </w:tc>
        <w:tc>
          <w:tcPr>
            <w:tcW w:w="7960" w:type="dxa"/>
            <w:vAlign w:val="bottom"/>
            <w:gridSpan w:val="6"/>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318"/>
        </w:trPr>
        <w:tc>
          <w:tcPr>
            <w:tcW w:w="10740" w:type="dxa"/>
            <w:vAlign w:val="bottom"/>
            <w:gridSpan w:val="14"/>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Part II. 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Item 1. Legal Proceedings</w:t>
              </w:r>
            </w:hyperlink>
          </w:p>
        </w:tc>
        <w:tc>
          <w:tcPr>
            <w:tcW w:w="8400" w:type="dxa"/>
            <w:vAlign w:val="bottom"/>
            <w:gridSpan w:val="7"/>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6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Item 1A. Risk Factors</w:t>
              </w:r>
            </w:hyperlink>
          </w:p>
        </w:tc>
        <w:tc>
          <w:tcPr>
            <w:tcW w:w="8680" w:type="dxa"/>
            <w:vAlign w:val="bottom"/>
            <w:gridSpan w:val="10"/>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Item 2. Unregistered Sales of Equity Securities and Use of Proceeds</w:t>
              </w:r>
            </w:hyperlink>
          </w:p>
        </w:tc>
        <w:tc>
          <w:tcPr>
            <w:tcW w:w="5380" w:type="dxa"/>
            <w:vAlign w:val="bottom"/>
            <w:gridSpan w:val="3"/>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3. Defaults Upon Senior Securities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24"/>
                <w:szCs w:val="24"/>
                <w:color w:val="auto"/>
              </w:rPr>
            </w:pPr>
          </w:p>
        </w:tc>
        <w:tc>
          <w:tcPr>
            <w:tcW w:w="7420" w:type="dxa"/>
            <w:vAlign w:val="bottom"/>
            <w:gridSpan w:val="5"/>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8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Item 5. Other Information</w:t>
              </w:r>
            </w:hyperlink>
          </w:p>
        </w:tc>
        <w:tc>
          <w:tcPr>
            <w:tcW w:w="8420" w:type="dxa"/>
            <w:vAlign w:val="bottom"/>
            <w:gridSpan w:val="8"/>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6. Exhibits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14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740" w:type="dxa"/>
            <w:vAlign w:val="bottom"/>
            <w:gridSpan w:val="14"/>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Signatures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740" w:type="dxa"/>
            <w:vAlign w:val="bottom"/>
            <w:gridSpan w:val="6"/>
          </w:tcPr>
          <w:p>
            <w:pPr>
              <w:ind w:left="120"/>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Pr>
          <w:p>
            <w:pPr>
              <w:spacing w:after="0"/>
              <w:rPr>
                <w:sz w:val="20"/>
                <w:szCs w:val="20"/>
                <w:color w:val="auto"/>
              </w:rPr>
            </w:pPr>
          </w:p>
        </w:tc>
      </w:tr>
      <w:tr>
        <w:trPr>
          <w:trHeight w:val="432"/>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9940" w:type="dxa"/>
            <w:vAlign w:val="bottom"/>
            <w:gridSpan w:val="7"/>
          </w:tcPr>
          <w:p>
            <w:pPr>
              <w:ind w:left="300"/>
              <w:spacing w:after="0"/>
              <w:rPr>
                <w:sz w:val="20"/>
                <w:szCs w:val="20"/>
                <w:color w:val="auto"/>
              </w:rPr>
            </w:pPr>
            <w:r>
              <w:rPr>
                <w:rFonts w:ascii="Arial" w:cs="Arial" w:eastAsia="Arial" w:hAnsi="Arial"/>
                <w:sz w:val="18"/>
                <w:szCs w:val="18"/>
                <w:b w:val="1"/>
                <w:bCs w:val="1"/>
                <w:color w:val="auto"/>
              </w:rPr>
              <w:t>Financial Statements (Unaudited)</w:t>
            </w:r>
          </w:p>
        </w:tc>
        <w:tc>
          <w:tcPr>
            <w:tcW w:w="560" w:type="dxa"/>
            <w:vAlign w:val="bottom"/>
          </w:tcPr>
          <w:p>
            <w:pPr>
              <w:spacing w:after="0"/>
              <w:rPr>
                <w:sz w:val="24"/>
                <w:szCs w:val="24"/>
                <w:color w:val="auto"/>
              </w:rPr>
            </w:pPr>
          </w:p>
        </w:tc>
      </w:tr>
      <w:tr>
        <w:trPr>
          <w:trHeight w:val="365"/>
        </w:trPr>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Page</w:t>
            </w:r>
          </w:p>
        </w:tc>
      </w:tr>
      <w:tr>
        <w:trPr>
          <w:trHeight w:val="291"/>
        </w:trPr>
        <w:tc>
          <w:tcPr>
            <w:tcW w:w="60" w:type="dxa"/>
            <w:vAlign w:val="bottom"/>
          </w:tcPr>
          <w:p>
            <w:pPr>
              <w:spacing w:after="0"/>
              <w:rPr>
                <w:sz w:val="24"/>
                <w:szCs w:val="24"/>
                <w:color w:val="auto"/>
              </w:rPr>
            </w:pPr>
          </w:p>
        </w:tc>
        <w:tc>
          <w:tcPr>
            <w:tcW w:w="75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Financial Condition as of June 30, 2017 and December 31, 2016</w:t>
              </w:r>
            </w:hyperlink>
          </w:p>
        </w:tc>
        <w:tc>
          <w:tcPr>
            <w:tcW w:w="3220" w:type="dxa"/>
            <w:vAlign w:val="bottom"/>
            <w:gridSpan w:val="5"/>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2</w:t>
            </w:r>
          </w:p>
        </w:tc>
      </w:tr>
      <w:tr>
        <w:trPr>
          <w:trHeight w:val="345"/>
        </w:trPr>
        <w:tc>
          <w:tcPr>
            <w:tcW w:w="60" w:type="dxa"/>
            <w:vAlign w:val="bottom"/>
          </w:tcPr>
          <w:p>
            <w:pPr>
              <w:spacing w:after="0"/>
              <w:rPr>
                <w:sz w:val="24"/>
                <w:szCs w:val="24"/>
                <w:color w:val="auto"/>
              </w:rPr>
            </w:pPr>
          </w:p>
        </w:tc>
        <w:tc>
          <w:tcPr>
            <w:tcW w:w="10740" w:type="dxa"/>
            <w:vAlign w:val="bottom"/>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for the three month and six month periods ended June 30, 2017 and 2016</w:t>
              </w:r>
            </w:hyperlink>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4</w:t>
            </w:r>
          </w:p>
        </w:tc>
      </w:tr>
      <w:tr>
        <w:trPr>
          <w:trHeight w:val="20"/>
        </w:trPr>
        <w:tc>
          <w:tcPr>
            <w:tcW w:w="60" w:type="dxa"/>
            <w:vAlign w:val="bottom"/>
          </w:tcPr>
          <w:p>
            <w:pPr>
              <w:spacing w:after="0" w:line="20" w:lineRule="exact"/>
              <w:rPr>
                <w:sz w:val="1"/>
                <w:szCs w:val="1"/>
                <w:color w:val="auto"/>
              </w:rPr>
            </w:pPr>
          </w:p>
        </w:tc>
        <w:tc>
          <w:tcPr>
            <w:tcW w:w="4000" w:type="dxa"/>
            <w:vAlign w:val="bottom"/>
            <w:gridSpan w:val="2"/>
            <w:shd w:val="clear" w:color="auto" w:fill="0000EE"/>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60" w:type="dxa"/>
            <w:vAlign w:val="bottom"/>
          </w:tcPr>
          <w:p>
            <w:pPr>
              <w:spacing w:after="0"/>
              <w:rPr>
                <w:sz w:val="24"/>
                <w:szCs w:val="24"/>
                <w:color w:val="auto"/>
              </w:rPr>
            </w:pPr>
          </w:p>
        </w:tc>
        <w:tc>
          <w:tcPr>
            <w:tcW w:w="99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for the three month and six month periods ended June 30, 2017 and 2016</w:t>
              </w:r>
            </w:hyperlink>
          </w:p>
        </w:tc>
        <w:tc>
          <w:tcPr>
            <w:tcW w:w="840" w:type="dxa"/>
            <w:vAlign w:val="bottom"/>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5</w:t>
            </w:r>
          </w:p>
        </w:tc>
      </w:tr>
      <w:tr>
        <w:trPr>
          <w:trHeight w:val="318"/>
        </w:trPr>
        <w:tc>
          <w:tcPr>
            <w:tcW w:w="60" w:type="dxa"/>
            <w:vAlign w:val="bottom"/>
          </w:tcPr>
          <w:p>
            <w:pPr>
              <w:spacing w:after="0"/>
              <w:rPr>
                <w:sz w:val="24"/>
                <w:szCs w:val="24"/>
                <w:color w:val="auto"/>
              </w:rPr>
            </w:pPr>
          </w:p>
        </w:tc>
        <w:tc>
          <w:tcPr>
            <w:tcW w:w="78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six month periods ended June 30, 2017 and 2016</w:t>
              </w:r>
            </w:hyperlink>
          </w:p>
        </w:tc>
        <w:tc>
          <w:tcPr>
            <w:tcW w:w="2920" w:type="dxa"/>
            <w:vAlign w:val="bottom"/>
            <w:gridSpan w:val="4"/>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6</w:t>
            </w:r>
          </w:p>
        </w:tc>
      </w:tr>
      <w:tr>
        <w:trPr>
          <w:trHeight w:val="318"/>
        </w:trPr>
        <w:tc>
          <w:tcPr>
            <w:tcW w:w="60" w:type="dxa"/>
            <w:vAlign w:val="bottom"/>
          </w:tcPr>
          <w:p>
            <w:pPr>
              <w:spacing w:after="0"/>
              <w:rPr>
                <w:sz w:val="24"/>
                <w:szCs w:val="24"/>
                <w:color w:val="auto"/>
              </w:rPr>
            </w:pPr>
          </w:p>
        </w:tc>
        <w:tc>
          <w:tcPr>
            <w:tcW w:w="10740" w:type="dxa"/>
            <w:vAlign w:val="bottom"/>
            <w:gridSpan w:val="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Changes in Members’ Equity for the six month periods ended June 30, 2017 and 2016</w:t>
              </w:r>
            </w:hyperlink>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7</w:t>
            </w:r>
          </w:p>
        </w:tc>
      </w:tr>
      <w:tr>
        <w:trPr>
          <w:trHeight w:val="318"/>
        </w:trPr>
        <w:tc>
          <w:tcPr>
            <w:tcW w:w="60" w:type="dxa"/>
            <w:vAlign w:val="bottom"/>
          </w:tcPr>
          <w:p>
            <w:pPr>
              <w:spacing w:after="0"/>
              <w:rPr>
                <w:sz w:val="24"/>
                <w:szCs w:val="24"/>
                <w:color w:val="auto"/>
              </w:rPr>
            </w:pPr>
          </w:p>
        </w:tc>
        <w:tc>
          <w:tcPr>
            <w:tcW w:w="9080" w:type="dxa"/>
            <w:vAlign w:val="bottom"/>
            <w:tcBorders>
              <w:top w:val="single" w:sz="8" w:color="0000EE"/>
            </w:tcBorders>
            <w:gridSpan w:val="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1660" w:type="dxa"/>
            <w:vAlign w:val="bottom"/>
            <w:gridSpan w:val="2"/>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9</w:t>
            </w:r>
          </w:p>
        </w:tc>
      </w:tr>
      <w:tr>
        <w:trPr>
          <w:trHeight w:val="20"/>
        </w:trPr>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 w:name="page4"/>
    <w:bookmarkEnd w:id="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 AND 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452"/>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945,186</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1,131,440</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756,507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419,668</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34,480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29,030</w:t>
            </w: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 of allowance for doubtful accounts of $25,094 and $16,386 at</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June 30, 2017 and December 31, 2016, respectively):</w:t>
            </w:r>
          </w:p>
        </w:tc>
        <w:tc>
          <w:tcPr>
            <w:tcW w:w="8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Fees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527,220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564,291</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Customers and other</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127,269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73,991</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Lazard Ltd subsidiaries</w:t>
            </w:r>
          </w:p>
        </w:tc>
        <w:tc>
          <w:tcPr>
            <w:tcW w:w="8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17,185</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28,702</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671,674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666,984</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Investments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421,727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459,422</w:t>
            </w: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Property (net of accumulated amortization and depreciation of $307,072 and $285,997</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 June 30, 2017 and December 31, 2016, respectively)</w:t>
            </w:r>
          </w:p>
        </w:tc>
        <w:tc>
          <w:tcPr>
            <w:tcW w:w="8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200,279</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208,997</w:t>
            </w:r>
          </w:p>
        </w:tc>
        <w:tc>
          <w:tcPr>
            <w:tcW w:w="120" w:type="dxa"/>
            <w:vAlign w:val="bottom"/>
            <w:shd w:val="clear" w:color="auto" w:fill="CFF0FC"/>
          </w:tcPr>
          <w:p>
            <w:pPr>
              <w:spacing w:after="0"/>
              <w:rPr>
                <w:sz w:val="20"/>
                <w:szCs w:val="20"/>
                <w:color w:val="auto"/>
              </w:rPr>
            </w:pPr>
          </w:p>
        </w:tc>
      </w:tr>
      <w:tr>
        <w:trPr>
          <w:trHeight w:val="215"/>
        </w:trPr>
        <w:tc>
          <w:tcPr>
            <w:tcW w:w="7060" w:type="dxa"/>
            <w:vAlign w:val="bottom"/>
          </w:tcPr>
          <w:p>
            <w:pPr>
              <w:spacing w:after="0"/>
              <w:rPr>
                <w:sz w:val="20"/>
                <w:szCs w:val="20"/>
                <w:color w:val="auto"/>
              </w:rPr>
            </w:pPr>
            <w:r>
              <w:rPr>
                <w:rFonts w:ascii="Arial" w:cs="Arial" w:eastAsia="Arial" w:hAnsi="Arial"/>
                <w:sz w:val="18"/>
                <w:szCs w:val="18"/>
                <w:color w:val="auto"/>
              </w:rPr>
              <w:t>Goodwill and other intangible assets (net of accumulated amortization of $60,484 and</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$59,618 at June 30, 2017 and December 31, 2016, respectively)</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366,084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358,982</w:t>
            </w:r>
          </w:p>
        </w:tc>
        <w:tc>
          <w:tcPr>
            <w:tcW w:w="120" w:type="dxa"/>
            <w:vAlign w:val="bottom"/>
          </w:tcPr>
          <w:p>
            <w:pPr>
              <w:spacing w:after="0"/>
              <w:rPr>
                <w:sz w:val="20"/>
                <w:szCs w:val="20"/>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62,447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59,767</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8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240,345</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181,694</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8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3,698,729</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3,515,984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 AND 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2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MEMBERS’ EQUITY</w:t>
            </w: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Liabilities:</w:t>
            </w: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 and other customer payables</w:t>
            </w:r>
          </w:p>
        </w:tc>
        <w:tc>
          <w:tcPr>
            <w:tcW w:w="12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829,993</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472,283</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Accrued compensation and benefits</w:t>
            </w: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377,654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539,944</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debt</w:t>
            </w: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1,189,489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1,188,600</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Payable to Lazard Ltd subsidiaries</w:t>
            </w: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63,253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60,898</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liabilities</w:t>
            </w: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8,625</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liabilities</w:t>
            </w:r>
          </w:p>
        </w:tc>
        <w:tc>
          <w:tcPr>
            <w:tcW w:w="9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520,996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509,494</w:t>
            </w: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2,989,787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2,779,844</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MEMBERS’ EQUITY</w:t>
            </w: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920" w:type="dxa"/>
            <w:vAlign w:val="bottom"/>
          </w:tcPr>
          <w:p>
            <w:pPr>
              <w:ind w:left="260"/>
              <w:spacing w:after="0"/>
              <w:rPr>
                <w:sz w:val="20"/>
                <w:szCs w:val="20"/>
                <w:color w:val="auto"/>
              </w:rPr>
            </w:pPr>
            <w:r>
              <w:rPr>
                <w:rFonts w:ascii="Arial" w:cs="Arial" w:eastAsia="Arial" w:hAnsi="Arial"/>
                <w:sz w:val="18"/>
                <w:szCs w:val="18"/>
                <w:color w:val="auto"/>
              </w:rPr>
              <w:t>Members' equity (net of 7,229,808 and 6,697,790 shares of Lazard Ltd Class A</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20" w:type="dxa"/>
            <w:vAlign w:val="bottom"/>
          </w:tcPr>
          <w:p>
            <w:pPr>
              <w:ind w:left="380"/>
              <w:spacing w:after="0"/>
              <w:rPr>
                <w:sz w:val="20"/>
                <w:szCs w:val="20"/>
                <w:color w:val="auto"/>
              </w:rPr>
            </w:pPr>
            <w:r>
              <w:rPr>
                <w:rFonts w:ascii="Arial" w:cs="Arial" w:eastAsia="Arial" w:hAnsi="Arial"/>
                <w:sz w:val="18"/>
                <w:szCs w:val="18"/>
                <w:color w:val="auto"/>
              </w:rPr>
              <w:t>common stock, at a cost of $289,673 and $244,518 at June 30, 2017 and</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920" w:type="dxa"/>
            <w:vAlign w:val="bottom"/>
          </w:tcPr>
          <w:p>
            <w:pPr>
              <w:ind w:left="380"/>
              <w:spacing w:after="0"/>
              <w:rPr>
                <w:sz w:val="20"/>
                <w:szCs w:val="20"/>
                <w:color w:val="auto"/>
              </w:rPr>
            </w:pPr>
            <w:r>
              <w:rPr>
                <w:rFonts w:ascii="Arial" w:cs="Arial" w:eastAsia="Arial" w:hAnsi="Arial"/>
                <w:sz w:val="18"/>
                <w:szCs w:val="18"/>
                <w:color w:val="auto"/>
              </w:rPr>
              <w:t>December 31, 2016, respectively)</w:t>
            </w: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888,641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949,669</w:t>
            </w:r>
          </w:p>
        </w:tc>
        <w:tc>
          <w:tcPr>
            <w:tcW w:w="120" w:type="dxa"/>
            <w:vAlign w:val="bottom"/>
          </w:tcPr>
          <w:p>
            <w:pPr>
              <w:spacing w:after="0"/>
              <w:rPr>
                <w:sz w:val="20"/>
                <w:szCs w:val="20"/>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(238,816)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(270,775)</w:t>
            </w:r>
          </w:p>
        </w:tc>
      </w:tr>
      <w:tr>
        <w:trPr>
          <w:trHeight w:val="223"/>
        </w:trPr>
        <w:tc>
          <w:tcPr>
            <w:tcW w:w="6920" w:type="dxa"/>
            <w:vAlign w:val="bottom"/>
          </w:tcPr>
          <w:p>
            <w:pPr>
              <w:ind w:left="500"/>
              <w:spacing w:after="0"/>
              <w:rPr>
                <w:sz w:val="20"/>
                <w:szCs w:val="20"/>
                <w:color w:val="auto"/>
              </w:rPr>
            </w:pPr>
            <w:r>
              <w:rPr>
                <w:rFonts w:ascii="Arial" w:cs="Arial" w:eastAsia="Arial" w:hAnsi="Arial"/>
                <w:sz w:val="18"/>
                <w:szCs w:val="18"/>
                <w:color w:val="auto"/>
              </w:rPr>
              <w:t>Total Lazard Group LLC Members' Equity</w:t>
            </w:r>
          </w:p>
        </w:tc>
        <w:tc>
          <w:tcPr>
            <w:tcW w:w="9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649,825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678,894</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interests</w:t>
            </w:r>
          </w:p>
        </w:tc>
        <w:tc>
          <w:tcPr>
            <w:tcW w:w="9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59,117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57,246</w:t>
            </w:r>
          </w:p>
        </w:tc>
        <w:tc>
          <w:tcPr>
            <w:tcW w:w="120" w:type="dxa"/>
            <w:vAlign w:val="bottom"/>
            <w:shd w:val="clear" w:color="auto" w:fill="CFF0FC"/>
          </w:tcPr>
          <w:p>
            <w:pPr>
              <w:spacing w:after="0"/>
              <w:rPr>
                <w:sz w:val="19"/>
                <w:szCs w:val="19"/>
                <w:color w:val="auto"/>
              </w:rPr>
            </w:pPr>
          </w:p>
        </w:tc>
      </w:tr>
      <w:tr>
        <w:trPr>
          <w:trHeight w:val="223"/>
        </w:trPr>
        <w:tc>
          <w:tcPr>
            <w:tcW w:w="69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Members’ Equity</w:t>
            </w:r>
          </w:p>
        </w:tc>
        <w:tc>
          <w:tcPr>
            <w:tcW w:w="9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708,942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736,140</w:t>
            </w: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Members’ Equity</w:t>
            </w:r>
          </w:p>
        </w:tc>
        <w:tc>
          <w:tcPr>
            <w:tcW w:w="9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3,698,729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3,515,984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40" w:type="dxa"/>
            <w:vAlign w:val="bottom"/>
            <w:gridSpan w:val="5"/>
          </w:tcPr>
          <w:p>
            <w:pPr>
              <w:ind w:left="4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18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Investment banking and other advisory fees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410,025</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286,609</w:t>
            </w:r>
          </w:p>
        </w:tc>
        <w:tc>
          <w:tcPr>
            <w:tcW w:w="24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744,941</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551,752</w:t>
            </w:r>
          </w:p>
        </w:tc>
        <w:tc>
          <w:tcPr>
            <w:tcW w:w="120" w:type="dxa"/>
            <w:vAlign w:val="bottom"/>
          </w:tcPr>
          <w:p>
            <w:pPr>
              <w:spacing w:after="0"/>
              <w:rPr>
                <w:sz w:val="19"/>
                <w:szCs w:val="19"/>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management fees</w:t>
            </w: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293,879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241,397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566,803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475,128</w:t>
            </w:r>
          </w:p>
        </w:tc>
        <w:tc>
          <w:tcPr>
            <w:tcW w:w="120" w:type="dxa"/>
            <w:vAlign w:val="bottom"/>
            <w:shd w:val="clear" w:color="auto" w:fill="CFF0FC"/>
          </w:tcPr>
          <w:p>
            <w:pPr>
              <w:spacing w:after="0"/>
              <w:rPr>
                <w:sz w:val="19"/>
                <w:szCs w:val="19"/>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2,735</w:t>
            </w:r>
          </w:p>
        </w:tc>
        <w:tc>
          <w:tcPr>
            <w:tcW w:w="120" w:type="dxa"/>
            <w:vAlign w:val="bottom"/>
          </w:tcPr>
          <w:p>
            <w:pPr>
              <w:spacing w:after="0"/>
              <w:rPr>
                <w:sz w:val="19"/>
                <w:szCs w:val="19"/>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24,215</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51,937</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27,224</w:t>
            </w:r>
          </w:p>
        </w:tc>
        <w:tc>
          <w:tcPr>
            <w:tcW w:w="120" w:type="dxa"/>
            <w:vAlign w:val="bottom"/>
            <w:shd w:val="clear" w:color="auto" w:fill="CFF0FC"/>
          </w:tcPr>
          <w:p>
            <w:pPr>
              <w:spacing w:after="0"/>
              <w:rPr>
                <w:sz w:val="19"/>
                <w:szCs w:val="19"/>
                <w:color w:val="auto"/>
              </w:rPr>
            </w:pPr>
          </w:p>
        </w:tc>
      </w:tr>
      <w:tr>
        <w:trPr>
          <w:trHeight w:val="223"/>
        </w:trPr>
        <w:tc>
          <w:tcPr>
            <w:tcW w:w="518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729,724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546,535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1,367,025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1,056,839</w:t>
            </w:r>
          </w:p>
        </w:tc>
        <w:tc>
          <w:tcPr>
            <w:tcW w:w="120" w:type="dxa"/>
            <w:vAlign w:val="bottom"/>
          </w:tcPr>
          <w:p>
            <w:pPr>
              <w:spacing w:after="0"/>
              <w:rPr>
                <w:sz w:val="19"/>
                <w:szCs w:val="19"/>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13,698</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12,824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28,522</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25,524</w:t>
            </w:r>
          </w:p>
        </w:tc>
        <w:tc>
          <w:tcPr>
            <w:tcW w:w="120" w:type="dxa"/>
            <w:vAlign w:val="bottom"/>
            <w:shd w:val="clear" w:color="auto" w:fill="CFF0FC"/>
          </w:tcPr>
          <w:p>
            <w:pPr>
              <w:spacing w:after="0"/>
              <w:rPr>
                <w:sz w:val="19"/>
                <w:szCs w:val="19"/>
                <w:color w:val="auto"/>
              </w:rPr>
            </w:pPr>
          </w:p>
        </w:tc>
      </w:tr>
      <w:tr>
        <w:trPr>
          <w:trHeight w:val="223"/>
        </w:trPr>
        <w:tc>
          <w:tcPr>
            <w:tcW w:w="51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w:t>
            </w:r>
          </w:p>
        </w:tc>
        <w:tc>
          <w:tcPr>
            <w:tcW w:w="7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716,026</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533,711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1,338,503</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1,031,315</w:t>
            </w:r>
          </w:p>
        </w:tc>
        <w:tc>
          <w:tcPr>
            <w:tcW w:w="120" w:type="dxa"/>
            <w:vAlign w:val="bottom"/>
            <w:tcBorders>
              <w:bottom w:val="single" w:sz="8" w:color="CFF0FC"/>
            </w:tcBorders>
          </w:tcPr>
          <w:p>
            <w:pPr>
              <w:spacing w:after="0"/>
              <w:rPr>
                <w:sz w:val="19"/>
                <w:szCs w:val="19"/>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413,532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308,296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774,848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605,494</w:t>
            </w:r>
          </w:p>
        </w:tc>
        <w:tc>
          <w:tcPr>
            <w:tcW w:w="120" w:type="dxa"/>
            <w:vAlign w:val="bottom"/>
          </w:tcPr>
          <w:p>
            <w:pPr>
              <w:spacing w:after="0"/>
              <w:rPr>
                <w:sz w:val="19"/>
                <w:szCs w:val="19"/>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Occupancy and equipment</w:t>
            </w: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30,793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27,150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58,252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54,152</w:t>
            </w:r>
          </w:p>
        </w:tc>
        <w:tc>
          <w:tcPr>
            <w:tcW w:w="120" w:type="dxa"/>
            <w:vAlign w:val="bottom"/>
            <w:shd w:val="clear" w:color="auto" w:fill="CFF0FC"/>
          </w:tcPr>
          <w:p>
            <w:pPr>
              <w:spacing w:after="0"/>
              <w:rPr>
                <w:sz w:val="19"/>
                <w:szCs w:val="19"/>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Marketing and business development</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23,931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23,877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43,418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43,565</w:t>
            </w:r>
          </w:p>
        </w:tc>
        <w:tc>
          <w:tcPr>
            <w:tcW w:w="120" w:type="dxa"/>
            <w:vAlign w:val="bottom"/>
          </w:tcPr>
          <w:p>
            <w:pPr>
              <w:spacing w:after="0"/>
              <w:rPr>
                <w:sz w:val="19"/>
                <w:szCs w:val="19"/>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information services</w:t>
            </w: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31,979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24,296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55,958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47,227</w:t>
            </w:r>
          </w:p>
        </w:tc>
        <w:tc>
          <w:tcPr>
            <w:tcW w:w="120" w:type="dxa"/>
            <w:vAlign w:val="bottom"/>
            <w:shd w:val="clear" w:color="auto" w:fill="CFF0FC"/>
          </w:tcPr>
          <w:p>
            <w:pPr>
              <w:spacing w:after="0"/>
              <w:rPr>
                <w:sz w:val="19"/>
                <w:szCs w:val="19"/>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9,468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10,284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20,554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19,816</w:t>
            </w:r>
          </w:p>
        </w:tc>
        <w:tc>
          <w:tcPr>
            <w:tcW w:w="120" w:type="dxa"/>
            <w:vAlign w:val="bottom"/>
          </w:tcPr>
          <w:p>
            <w:pPr>
              <w:spacing w:after="0"/>
              <w:rPr>
                <w:sz w:val="19"/>
                <w:szCs w:val="19"/>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 administration and outsourced services</w:t>
            </w: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34,247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29,330</w:t>
            </w:r>
          </w:p>
        </w:tc>
        <w:tc>
          <w:tcPr>
            <w:tcW w:w="120" w:type="dxa"/>
            <w:vAlign w:val="bottom"/>
            <w:shd w:val="clear" w:color="auto" w:fill="CFF0FC"/>
          </w:tcPr>
          <w:p>
            <w:pPr>
              <w:spacing w:after="0"/>
              <w:rPr>
                <w:sz w:val="19"/>
                <w:szCs w:val="19"/>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Amortization and other acquisition-related costs</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19"/>
                <w:szCs w:val="19"/>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12,278</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21,357</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19,376</w:t>
            </w:r>
          </w:p>
        </w:tc>
        <w:tc>
          <w:tcPr>
            <w:tcW w:w="120" w:type="dxa"/>
            <w:vAlign w:val="bottom"/>
            <w:shd w:val="clear" w:color="auto" w:fill="CFF0FC"/>
          </w:tcPr>
          <w:p>
            <w:pPr>
              <w:spacing w:after="0"/>
              <w:rPr>
                <w:sz w:val="19"/>
                <w:szCs w:val="19"/>
                <w:color w:val="auto"/>
              </w:rPr>
            </w:pPr>
          </w:p>
        </w:tc>
      </w:tr>
      <w:tr>
        <w:trPr>
          <w:trHeight w:val="223"/>
        </w:trPr>
        <w:tc>
          <w:tcPr>
            <w:tcW w:w="51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7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540,780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420,377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1,010,245</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819,934</w:t>
            </w:r>
          </w:p>
        </w:tc>
        <w:tc>
          <w:tcPr>
            <w:tcW w:w="120" w:type="dxa"/>
            <w:vAlign w:val="bottom"/>
            <w:tcBorders>
              <w:bottom w:val="single" w:sz="8" w:color="CFF0FC"/>
            </w:tcBorders>
          </w:tcPr>
          <w:p>
            <w:pPr>
              <w:spacing w:after="0"/>
              <w:rPr>
                <w:sz w:val="19"/>
                <w:szCs w:val="19"/>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w:t>
            </w: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175,246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113,334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328,258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211,381</w:t>
            </w:r>
          </w:p>
        </w:tc>
        <w:tc>
          <w:tcPr>
            <w:tcW w:w="120" w:type="dxa"/>
            <w:vAlign w:val="bottom"/>
            <w:shd w:val="clear" w:color="auto" w:fill="CFF0FC"/>
          </w:tcPr>
          <w:p>
            <w:pPr>
              <w:spacing w:after="0"/>
              <w:rPr>
                <w:sz w:val="19"/>
                <w:szCs w:val="19"/>
                <w:color w:val="auto"/>
              </w:rPr>
            </w:pPr>
          </w:p>
        </w:tc>
      </w:tr>
      <w:tr>
        <w:trPr>
          <w:trHeight w:val="230"/>
        </w:trPr>
        <w:tc>
          <w:tcPr>
            <w:tcW w:w="5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7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54,435</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27,457</w:t>
            </w:r>
          </w:p>
        </w:tc>
        <w:tc>
          <w:tcPr>
            <w:tcW w:w="120" w:type="dxa"/>
            <w:vAlign w:val="bottom"/>
            <w:tcBorders>
              <w:bottom w:val="single" w:sz="8" w:color="CFF0FC"/>
            </w:tcBorders>
          </w:tcPr>
          <w:p>
            <w:pPr>
              <w:spacing w:after="0"/>
              <w:rPr>
                <w:sz w:val="19"/>
                <w:szCs w:val="19"/>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142,806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97,612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273,823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183,924</w:t>
            </w:r>
          </w:p>
        </w:tc>
        <w:tc>
          <w:tcPr>
            <w:tcW w:w="120" w:type="dxa"/>
            <w:vAlign w:val="bottom"/>
            <w:shd w:val="clear" w:color="auto" w:fill="CFF0FC"/>
          </w:tcPr>
          <w:p>
            <w:pPr>
              <w:spacing w:after="0"/>
              <w:rPr>
                <w:sz w:val="19"/>
                <w:szCs w:val="19"/>
                <w:color w:val="auto"/>
              </w:rPr>
            </w:pPr>
          </w:p>
        </w:tc>
      </w:tr>
      <w:tr>
        <w:trPr>
          <w:trHeight w:val="211"/>
        </w:trPr>
        <w:tc>
          <w:tcPr>
            <w:tcW w:w="5180" w:type="dxa"/>
            <w:vAlign w:val="bottom"/>
          </w:tcPr>
          <w:p>
            <w:pPr>
              <w:spacing w:after="0"/>
              <w:rPr>
                <w:sz w:val="20"/>
                <w:szCs w:val="20"/>
                <w:color w:val="auto"/>
              </w:rPr>
            </w:pPr>
            <w:r>
              <w:rPr>
                <w:rFonts w:ascii="Arial" w:cs="Arial" w:eastAsia="Arial" w:hAnsi="Arial"/>
                <w:sz w:val="18"/>
                <w:szCs w:val="18"/>
                <w:b w:val="1"/>
                <w:bCs w:val="1"/>
                <w:color w:val="auto"/>
              </w:rPr>
              <w:t>LESS - NET INCOME ATTRIBUTABLE</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18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TO NONCONTROLLING INTERESTS</w:t>
            </w:r>
          </w:p>
        </w:tc>
        <w:tc>
          <w:tcPr>
            <w:tcW w:w="7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3,399</w:t>
            </w:r>
          </w:p>
        </w:tc>
        <w:tc>
          <w:tcPr>
            <w:tcW w:w="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4,906</w:t>
            </w:r>
          </w:p>
        </w:tc>
        <w:tc>
          <w:tcPr>
            <w:tcW w:w="120" w:type="dxa"/>
            <w:vAlign w:val="bottom"/>
            <w:tcBorders>
              <w:bottom w:val="single" w:sz="8" w:color="CFF0FC"/>
            </w:tcBorders>
          </w:tcPr>
          <w:p>
            <w:pPr>
              <w:spacing w:after="0"/>
              <w:rPr>
                <w:sz w:val="20"/>
                <w:szCs w:val="20"/>
                <w:color w:val="auto"/>
              </w:rPr>
            </w:pPr>
          </w:p>
        </w:tc>
      </w:tr>
      <w:tr>
        <w:trPr>
          <w:trHeight w:val="205"/>
        </w:trPr>
        <w:tc>
          <w:tcPr>
            <w:tcW w:w="518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NET INCOME ATTRIBUTABLE TO LAZARD GROUP</w:t>
            </w: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51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LLC</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142,284</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96,606</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270,424</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179,018</w:t>
            </w:r>
          </w:p>
        </w:tc>
        <w:tc>
          <w:tcPr>
            <w:tcW w:w="120" w:type="dxa"/>
            <w:vAlign w:val="bottom"/>
            <w:shd w:val="clear" w:color="auto" w:fill="CFF0FC"/>
          </w:tcPr>
          <w:p>
            <w:pPr>
              <w:spacing w:after="0"/>
              <w:rPr>
                <w:sz w:val="20"/>
                <w:szCs w:val="20"/>
                <w:color w:val="auto"/>
              </w:rPr>
            </w:pP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50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5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142,806</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97,612</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273,823</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183,924</w:t>
            </w:r>
          </w:p>
        </w:tc>
        <w:tc>
          <w:tcPr>
            <w:tcW w:w="100" w:type="dxa"/>
            <w:vAlign w:val="bottom"/>
            <w:shd w:val="clear" w:color="auto" w:fill="CFF0FC"/>
          </w:tcPr>
          <w:p>
            <w:pPr>
              <w:spacing w:after="0"/>
              <w:rPr>
                <w:sz w:val="19"/>
                <w:szCs w:val="19"/>
                <w:color w:val="auto"/>
              </w:rPr>
            </w:pPr>
          </w:p>
        </w:tc>
      </w:tr>
      <w:tr>
        <w:trPr>
          <w:trHeight w:val="205"/>
        </w:trPr>
        <w:tc>
          <w:tcPr>
            <w:tcW w:w="550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 OF</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500" w:type="dxa"/>
            <w:vAlign w:val="bottom"/>
          </w:tcPr>
          <w:p>
            <w:pPr>
              <w:ind w:left="140"/>
              <w:spacing w:after="0"/>
              <w:rPr>
                <w:sz w:val="20"/>
                <w:szCs w:val="20"/>
                <w:color w:val="auto"/>
              </w:rPr>
            </w:pPr>
            <w:r>
              <w:rPr>
                <w:rFonts w:ascii="Arial" w:cs="Arial" w:eastAsia="Arial" w:hAnsi="Arial"/>
                <w:sz w:val="18"/>
                <w:szCs w:val="18"/>
                <w:b w:val="1"/>
                <w:bCs w:val="1"/>
                <w:color w:val="auto"/>
              </w:rPr>
              <w:t>TAX:</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 (including a tax expense</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(benefit) of $(3) for the three months ended June 30,</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500" w:type="dxa"/>
            <w:vAlign w:val="bottom"/>
            <w:shd w:val="clear" w:color="auto" w:fill="CFF0FC"/>
          </w:tcPr>
          <w:p>
            <w:pPr>
              <w:ind w:left="440"/>
              <w:spacing w:after="0"/>
              <w:rPr>
                <w:sz w:val="20"/>
                <w:szCs w:val="20"/>
                <w:color w:val="auto"/>
              </w:rPr>
            </w:pPr>
            <w:r>
              <w:rPr>
                <w:rFonts w:ascii="Arial" w:cs="Arial" w:eastAsia="Arial" w:hAnsi="Arial"/>
                <w:sz w:val="18"/>
                <w:szCs w:val="18"/>
                <w:color w:val="auto"/>
              </w:rPr>
              <w:t>2016 and $6 for the six months ended June 30, 2016)</w:t>
            </w:r>
          </w:p>
        </w:tc>
        <w:tc>
          <w:tcPr>
            <w:tcW w:w="5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25,323</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(15,779)</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38,622</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(8,278)</w:t>
            </w: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Actuarial loss (net of tax benefit of $2,215 and $228</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for the three months ended June 30, 2017 and 2016,</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respectively, and $2,476 and $298 for the six months</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5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ended June 30, 2017 and 2016, respectively)</w:t>
            </w:r>
          </w:p>
        </w:tc>
        <w:tc>
          <w:tcPr>
            <w:tcW w:w="5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(8,609)</w:t>
            </w:r>
          </w:p>
        </w:tc>
        <w:tc>
          <w:tcPr>
            <w:tcW w:w="2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(475)</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(9,104)</w:t>
            </w:r>
          </w:p>
        </w:tc>
        <w:tc>
          <w:tcPr>
            <w:tcW w:w="2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(616)</w:t>
            </w:r>
          </w:p>
        </w:tc>
      </w:tr>
      <w:tr>
        <w:trPr>
          <w:trHeight w:val="215"/>
        </w:trPr>
        <w:tc>
          <w:tcPr>
            <w:tcW w:w="5500" w:type="dxa"/>
            <w:vAlign w:val="bottom"/>
          </w:tcPr>
          <w:p>
            <w:pPr>
              <w:ind w:left="500"/>
              <w:spacing w:after="0"/>
              <w:rPr>
                <w:sz w:val="20"/>
                <w:szCs w:val="20"/>
                <w:color w:val="auto"/>
              </w:rPr>
            </w:pPr>
            <w:r>
              <w:rPr>
                <w:rFonts w:ascii="Arial" w:cs="Arial" w:eastAsia="Arial" w:hAnsi="Arial"/>
                <w:sz w:val="18"/>
                <w:szCs w:val="18"/>
                <w:color w:val="auto"/>
              </w:rPr>
              <w:t>Adjustment for items reclassified to earnings (net of</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tcPr>
          <w:p>
            <w:pPr>
              <w:ind w:left="640"/>
              <w:spacing w:after="0"/>
              <w:rPr>
                <w:sz w:val="20"/>
                <w:szCs w:val="20"/>
                <w:color w:val="auto"/>
              </w:rPr>
            </w:pPr>
            <w:r>
              <w:rPr>
                <w:rFonts w:ascii="Arial" w:cs="Arial" w:eastAsia="Arial" w:hAnsi="Arial"/>
                <w:sz w:val="18"/>
                <w:szCs w:val="18"/>
                <w:color w:val="auto"/>
              </w:rPr>
              <w:t>tax expense of $196 and $403 for the three months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tcPr>
          <w:p>
            <w:pPr>
              <w:ind w:left="640"/>
              <w:spacing w:after="0"/>
              <w:rPr>
                <w:sz w:val="20"/>
                <w:szCs w:val="20"/>
                <w:color w:val="auto"/>
              </w:rPr>
            </w:pPr>
            <w:r>
              <w:rPr>
                <w:rFonts w:ascii="Arial" w:cs="Arial" w:eastAsia="Arial" w:hAnsi="Arial"/>
                <w:sz w:val="18"/>
                <w:szCs w:val="18"/>
                <w:color w:val="auto"/>
              </w:rPr>
              <w:t>ended June 30, 2017 and 2016, respectively, and</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tcPr>
          <w:p>
            <w:pPr>
              <w:ind w:left="640"/>
              <w:spacing w:after="0"/>
              <w:rPr>
                <w:sz w:val="20"/>
                <w:szCs w:val="20"/>
                <w:color w:val="auto"/>
              </w:rPr>
            </w:pPr>
            <w:r>
              <w:rPr>
                <w:rFonts w:ascii="Arial" w:cs="Arial" w:eastAsia="Arial" w:hAnsi="Arial"/>
                <w:sz w:val="18"/>
                <w:szCs w:val="18"/>
                <w:color w:val="auto"/>
              </w:rPr>
              <w:t>$472 and $796 for the six months ended June 30,</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500" w:type="dxa"/>
            <w:vAlign w:val="bottom"/>
            <w:tcBorders>
              <w:bottom w:val="single" w:sz="8" w:color="CFF0FC"/>
            </w:tcBorders>
          </w:tcPr>
          <w:p>
            <w:pPr>
              <w:ind w:left="640"/>
              <w:spacing w:after="0"/>
              <w:rPr>
                <w:sz w:val="20"/>
                <w:szCs w:val="20"/>
                <w:color w:val="auto"/>
              </w:rPr>
            </w:pPr>
            <w:r>
              <w:rPr>
                <w:rFonts w:ascii="Arial" w:cs="Arial" w:eastAsia="Arial" w:hAnsi="Arial"/>
                <w:sz w:val="18"/>
                <w:szCs w:val="18"/>
                <w:color w:val="auto"/>
              </w:rPr>
              <w:t>2017 and 2016, respectively)</w:t>
            </w:r>
          </w:p>
        </w:tc>
        <w:tc>
          <w:tcPr>
            <w:tcW w:w="5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2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2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Borders>
              <w:bottom w:val="single" w:sz="8" w:color="CFF0FC"/>
            </w:tcBorders>
          </w:tcPr>
          <w:p>
            <w:pPr>
              <w:spacing w:after="0"/>
              <w:rPr>
                <w:sz w:val="20"/>
                <w:szCs w:val="20"/>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5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18,070</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(15,133)</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31,960</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(6,587)</w:t>
            </w:r>
          </w:p>
        </w:tc>
        <w:tc>
          <w:tcPr>
            <w:tcW w:w="100" w:type="dxa"/>
            <w:vAlign w:val="bottom"/>
            <w:shd w:val="clear" w:color="auto" w:fill="CFF0FC"/>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160,876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82,479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305,783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177,337</w:t>
            </w:r>
          </w:p>
        </w:tc>
        <w:tc>
          <w:tcPr>
            <w:tcW w:w="100" w:type="dxa"/>
            <w:vAlign w:val="bottom"/>
          </w:tcPr>
          <w:p>
            <w:pPr>
              <w:spacing w:after="0"/>
              <w:rPr>
                <w:sz w:val="19"/>
                <w:szCs w:val="19"/>
                <w:color w:val="auto"/>
              </w:rPr>
            </w:pPr>
          </w:p>
        </w:tc>
      </w:tr>
      <w:tr>
        <w:trPr>
          <w:trHeight w:val="211"/>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LESS - COMPREHENSIVE INCOME ATTRIBUTABLE TO</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5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5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4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22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2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4,907</w:t>
            </w:r>
          </w:p>
        </w:tc>
        <w:tc>
          <w:tcPr>
            <w:tcW w:w="100" w:type="dxa"/>
            <w:vAlign w:val="bottom"/>
            <w:shd w:val="clear" w:color="auto" w:fill="CFF0FC"/>
          </w:tcPr>
          <w:p>
            <w:pPr>
              <w:spacing w:after="0"/>
              <w:rPr>
                <w:sz w:val="20"/>
                <w:szCs w:val="20"/>
                <w:color w:val="auto"/>
              </w:rPr>
            </w:pPr>
          </w:p>
        </w:tc>
      </w:tr>
      <w:tr>
        <w:trPr>
          <w:trHeight w:val="205"/>
        </w:trPr>
        <w:tc>
          <w:tcPr>
            <w:tcW w:w="5500" w:type="dxa"/>
            <w:vAlign w:val="bottom"/>
          </w:tcPr>
          <w:p>
            <w:pPr>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500" w:type="dxa"/>
            <w:vAlign w:val="bottom"/>
          </w:tcPr>
          <w:p>
            <w:pPr>
              <w:ind w:left="140"/>
              <w:spacing w:after="0"/>
              <w:rPr>
                <w:sz w:val="20"/>
                <w:szCs w:val="20"/>
                <w:color w:val="auto"/>
              </w:rPr>
            </w:pPr>
            <w:r>
              <w:rPr>
                <w:rFonts w:ascii="Arial" w:cs="Arial" w:eastAsia="Arial" w:hAnsi="Arial"/>
                <w:sz w:val="18"/>
                <w:szCs w:val="18"/>
                <w:b w:val="1"/>
                <w:bCs w:val="1"/>
                <w:color w:val="auto"/>
              </w:rPr>
              <w:t>LAZARD GROUP LLC</w:t>
            </w:r>
          </w:p>
        </w:tc>
        <w:tc>
          <w:tcPr>
            <w:tcW w:w="8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160,353</w:t>
            </w:r>
          </w:p>
        </w:tc>
        <w:tc>
          <w:tcPr>
            <w:tcW w:w="240" w:type="dxa"/>
            <w:vAlign w:val="bottom"/>
          </w:tcPr>
          <w:p>
            <w:pPr>
              <w:spacing w:after="0"/>
              <w:rPr>
                <w:sz w:val="20"/>
                <w:szCs w:val="20"/>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81,472</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302,383</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172,430</w:t>
            </w:r>
          </w:p>
        </w:tc>
        <w:tc>
          <w:tcPr>
            <w:tcW w:w="100" w:type="dxa"/>
            <w:vAlign w:val="bottom"/>
          </w:tcPr>
          <w:p>
            <w:pPr>
              <w:spacing w:after="0"/>
              <w:rPr>
                <w:sz w:val="20"/>
                <w:szCs w:val="20"/>
                <w:color w:val="auto"/>
              </w:rPr>
            </w:pPr>
          </w:p>
        </w:tc>
      </w:tr>
      <w:tr>
        <w:trPr>
          <w:trHeight w:val="20"/>
        </w:trPr>
        <w:tc>
          <w:tcPr>
            <w:tcW w:w="5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PERIODS ENDED JUNE 30,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3"/>
          </w:tcPr>
          <w:p>
            <w:pPr>
              <w:jc w:val="right"/>
              <w:ind w:right="44"/>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344"/>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80"/>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Net income</w:t>
            </w: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273,823</w:t>
            </w:r>
          </w:p>
        </w:tc>
        <w:tc>
          <w:tcPr>
            <w:tcW w:w="280" w:type="dxa"/>
            <w:vAlign w:val="bottom"/>
          </w:tcPr>
          <w:p>
            <w:pPr>
              <w:spacing w:after="0"/>
              <w:rPr>
                <w:sz w:val="18"/>
                <w:szCs w:val="18"/>
                <w:color w:val="auto"/>
              </w:rPr>
            </w:pPr>
          </w:p>
        </w:tc>
        <w:tc>
          <w:tcPr>
            <w:tcW w:w="540" w:type="dxa"/>
            <w:vAlign w:val="bottom"/>
          </w:tcPr>
          <w:p>
            <w:pPr>
              <w:jc w:val="right"/>
              <w:ind w:right="38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183,924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 (used in)</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Depreciation and amortization of property</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15,367</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16,630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deferred expenses and share-based incentive compensation</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208,245</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198,461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Amortization and other acquisition-related costs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1,611</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tax provision (benefit)</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3,202</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(6,722)</w:t>
            </w: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(Increase) decrease in operating assets: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Deposits with banks and short-term investments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(286,538)</w:t>
            </w: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(271,010)</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Cash deposited with clearing organizations and other segregated cash</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(4,592)</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Receivables-net</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13,987</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85,079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Investments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30,454</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52,482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(87,708)</w:t>
            </w: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(50,372)</w:t>
            </w: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Increase (decrease) in operating liabilities: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Deposits and other payables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305,645</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167,481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Accrued compensation and benefits and other liabilities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(176,699)</w:t>
            </w: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(314,004)</w:t>
            </w:r>
          </w:p>
        </w:tc>
        <w:tc>
          <w:tcPr>
            <w:tcW w:w="0" w:type="dxa"/>
            <w:vAlign w:val="bottom"/>
          </w:tcPr>
          <w:p>
            <w:pPr>
              <w:spacing w:after="0"/>
              <w:rPr>
                <w:sz w:val="1"/>
                <w:szCs w:val="1"/>
                <w:color w:val="auto"/>
              </w:rPr>
            </w:pPr>
          </w:p>
        </w:tc>
      </w:tr>
      <w:tr>
        <w:trPr>
          <w:trHeight w:val="213"/>
        </w:trPr>
        <w:tc>
          <w:tcPr>
            <w:tcW w:w="66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Net cash provided by operating activities</w:t>
            </w:r>
          </w:p>
        </w:tc>
        <w:tc>
          <w:tcPr>
            <w:tcW w:w="1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296,797</w:t>
            </w:r>
          </w:p>
        </w:tc>
        <w:tc>
          <w:tcPr>
            <w:tcW w:w="28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64,620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4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Additions to property</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(9,408)</w:t>
            </w: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(11,118)</w:t>
            </w:r>
          </w:p>
        </w:tc>
        <w:tc>
          <w:tcPr>
            <w:tcW w:w="0" w:type="dxa"/>
            <w:vAlign w:val="bottom"/>
          </w:tcPr>
          <w:p>
            <w:pPr>
              <w:spacing w:after="0"/>
              <w:rPr>
                <w:sz w:val="1"/>
                <w:szCs w:val="1"/>
                <w:color w:val="auto"/>
              </w:rPr>
            </w:pPr>
          </w:p>
        </w:tc>
      </w:tr>
      <w:tr>
        <w:trPr>
          <w:trHeight w:val="213"/>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Disposals of property</w:t>
            </w:r>
          </w:p>
        </w:tc>
        <w:tc>
          <w:tcPr>
            <w:tcW w:w="12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28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Net cash used in investing activities</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(9,213)</w:t>
            </w:r>
          </w:p>
        </w:tc>
        <w:tc>
          <w:tcPr>
            <w:tcW w:w="5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(10,959)</w:t>
            </w:r>
          </w:p>
        </w:tc>
        <w:tc>
          <w:tcPr>
            <w:tcW w:w="0" w:type="dxa"/>
            <w:vAlign w:val="bottom"/>
          </w:tcPr>
          <w:p>
            <w:pPr>
              <w:spacing w:after="0"/>
              <w:rPr>
                <w:sz w:val="1"/>
                <w:szCs w:val="1"/>
                <w:color w:val="auto"/>
              </w:rPr>
            </w:pPr>
          </w:p>
        </w:tc>
      </w:tr>
      <w:tr>
        <w:trPr>
          <w:trHeight w:val="207"/>
        </w:trPr>
        <w:tc>
          <w:tcPr>
            <w:tcW w:w="664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Contributions from noncontrolling interests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Excess tax benefits from share-based incentive compensation</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Other financing activities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for:</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Capital lease obligations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(7,320)</w:t>
            </w: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Distributions to noncontrolling interests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(1,733)</w:t>
            </w: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Purchase of Lazard Ltd Class A common stock</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(184,892)</w:t>
            </w: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(194,729)</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Distributions to members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(244,722)</w:t>
            </w: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(201,147)</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Settlement of vested share-based incentive compensation</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(66,086)</w:t>
            </w: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(54,164)</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financing activities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(8,980)</w:t>
            </w: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(2,327)</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740"/>
              <w:spacing w:after="0"/>
              <w:rPr>
                <w:sz w:val="20"/>
                <w:szCs w:val="20"/>
                <w:color w:val="auto"/>
              </w:rPr>
            </w:pPr>
            <w:r>
              <w:rPr>
                <w:rFonts w:ascii="Arial" w:cs="Arial" w:eastAsia="Arial" w:hAnsi="Arial"/>
                <w:sz w:val="16"/>
                <w:szCs w:val="16"/>
                <w:color w:val="auto"/>
              </w:rPr>
              <w:t>Net cash used in financing activities</w:t>
            </w:r>
          </w:p>
        </w:tc>
        <w:tc>
          <w:tcPr>
            <w:tcW w:w="1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4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(513,733)</w:t>
            </w:r>
          </w:p>
        </w:tc>
        <w:tc>
          <w:tcPr>
            <w:tcW w:w="54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(443,473)</w:t>
            </w:r>
          </w:p>
        </w:tc>
        <w:tc>
          <w:tcPr>
            <w:tcW w:w="0" w:type="dxa"/>
            <w:vAlign w:val="bottom"/>
          </w:tcPr>
          <w:p>
            <w:pPr>
              <w:spacing w:after="0"/>
              <w:rPr>
                <w:sz w:val="1"/>
                <w:szCs w:val="1"/>
                <w:color w:val="auto"/>
              </w:rPr>
            </w:pPr>
          </w:p>
        </w:tc>
      </w:tr>
      <w:tr>
        <w:trPr>
          <w:trHeight w:val="21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EFFECT OF EXCHANGE RATE CHANGES ON CASH</w:t>
            </w:r>
          </w:p>
        </w:tc>
        <w:tc>
          <w:tcPr>
            <w:tcW w:w="1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39,895</w:t>
            </w:r>
          </w:p>
        </w:tc>
        <w:tc>
          <w:tcPr>
            <w:tcW w:w="28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640" w:type="dxa"/>
            <w:vAlign w:val="bottom"/>
          </w:tcPr>
          <w:p>
            <w:pPr>
              <w:spacing w:after="0"/>
              <w:rPr>
                <w:sz w:val="20"/>
                <w:szCs w:val="20"/>
                <w:color w:val="auto"/>
              </w:rPr>
            </w:pPr>
            <w:r>
              <w:rPr>
                <w:rFonts w:ascii="Arial" w:cs="Arial" w:eastAsia="Arial" w:hAnsi="Arial"/>
                <w:sz w:val="16"/>
                <w:szCs w:val="16"/>
                <w:b w:val="1"/>
                <w:bCs w:val="1"/>
                <w:color w:val="auto"/>
              </w:rPr>
              <w:t>NET DECREASE IN CASH AND CASH EQUIVALENTS</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(186,254)</w:t>
            </w:r>
          </w:p>
        </w:tc>
        <w:tc>
          <w:tcPr>
            <w:tcW w:w="54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(388,256)</w:t>
            </w:r>
          </w:p>
        </w:tc>
        <w:tc>
          <w:tcPr>
            <w:tcW w:w="0" w:type="dxa"/>
            <w:vAlign w:val="bottom"/>
          </w:tcPr>
          <w:p>
            <w:pPr>
              <w:spacing w:after="0"/>
              <w:rPr>
                <w:sz w:val="1"/>
                <w:szCs w:val="1"/>
                <w:color w:val="auto"/>
              </w:rPr>
            </w:pPr>
          </w:p>
        </w:tc>
      </w:tr>
      <w:tr>
        <w:trPr>
          <w:trHeight w:val="222"/>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EQUIVALENTS—January 1</w:t>
            </w:r>
          </w:p>
        </w:tc>
        <w:tc>
          <w:tcPr>
            <w:tcW w:w="1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1,131,440</w:t>
            </w:r>
          </w:p>
        </w:tc>
        <w:tc>
          <w:tcPr>
            <w:tcW w:w="2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1,025,844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640" w:type="dxa"/>
            <w:vAlign w:val="bottom"/>
          </w:tcPr>
          <w:p>
            <w:pPr>
              <w:spacing w:after="0"/>
              <w:rPr>
                <w:sz w:val="20"/>
                <w:szCs w:val="20"/>
                <w:color w:val="auto"/>
              </w:rPr>
            </w:pPr>
            <w:r>
              <w:rPr>
                <w:rFonts w:ascii="Arial" w:cs="Arial" w:eastAsia="Arial" w:hAnsi="Arial"/>
                <w:sz w:val="16"/>
                <w:szCs w:val="16"/>
                <w:b w:val="1"/>
                <w:bCs w:val="1"/>
                <w:color w:val="auto"/>
              </w:rPr>
              <w:t>CASH AND CASH EQUIVALENTS—June 30</w:t>
            </w: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945,186</w:t>
            </w:r>
          </w:p>
        </w:tc>
        <w:tc>
          <w:tcPr>
            <w:tcW w:w="280" w:type="dxa"/>
            <w:vAlign w:val="bottom"/>
          </w:tcPr>
          <w:p>
            <w:pPr>
              <w:spacing w:after="0"/>
              <w:rPr>
                <w:sz w:val="17"/>
                <w:szCs w:val="17"/>
                <w:color w:val="auto"/>
              </w:rPr>
            </w:pPr>
          </w:p>
        </w:tc>
        <w:tc>
          <w:tcPr>
            <w:tcW w:w="540" w:type="dxa"/>
            <w:vAlign w:val="bottom"/>
          </w:tcPr>
          <w:p>
            <w:pPr>
              <w:jc w:val="right"/>
              <w:ind w:right="38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637,588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9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19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Lazard Group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19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Members'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Members'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Noncontrolling</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Members'</w:t>
            </w:r>
          </w:p>
        </w:tc>
      </w:tr>
      <w:tr>
        <w:trPr>
          <w:trHeight w:val="161"/>
        </w:trPr>
        <w:tc>
          <w:tcPr>
            <w:tcW w:w="19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Net of Tax</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Equity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Equity</w:t>
            </w:r>
          </w:p>
        </w:tc>
      </w:tr>
      <w:tr>
        <w:trPr>
          <w:trHeight w:val="210"/>
        </w:trPr>
        <w:tc>
          <w:tcPr>
            <w:tcW w:w="4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 January 1, 2016 (*)</w:t>
            </w: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839,517</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(189,758)</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649,759</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53,141</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702,900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660" w:type="dxa"/>
            <w:vAlign w:val="bottom"/>
            <w:gridSpan w:val="2"/>
          </w:tcPr>
          <w:p>
            <w:pPr>
              <w:spacing w:after="0"/>
              <w:rPr>
                <w:sz w:val="20"/>
                <w:szCs w:val="20"/>
                <w:color w:val="auto"/>
              </w:rPr>
            </w:pPr>
            <w:r>
              <w:rPr>
                <w:rFonts w:ascii="Arial" w:cs="Arial" w:eastAsia="Arial" w:hAnsi="Arial"/>
                <w:sz w:val="16"/>
                <w:szCs w:val="16"/>
                <w:color w:val="auto"/>
              </w:rPr>
              <w:t>Comprehensive income (loss):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6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179,018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179,018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183,924</w:t>
            </w:r>
          </w:p>
        </w:tc>
        <w:tc>
          <w:tcPr>
            <w:tcW w:w="100" w:type="dxa"/>
            <w:vAlign w:val="bottom"/>
            <w:shd w:val="clear" w:color="auto" w:fill="CFF0FC"/>
          </w:tcPr>
          <w:p>
            <w:pPr>
              <w:spacing w:after="0"/>
              <w:rPr>
                <w:sz w:val="19"/>
                <w:szCs w:val="19"/>
                <w:color w:val="auto"/>
              </w:rPr>
            </w:pPr>
          </w:p>
        </w:tc>
      </w:tr>
      <w:tr>
        <w:trPr>
          <w:trHeight w:val="213"/>
        </w:trPr>
        <w:tc>
          <w:tcPr>
            <w:tcW w:w="4660" w:type="dxa"/>
            <w:vAlign w:val="bottom"/>
            <w:gridSpan w:val="2"/>
          </w:tcPr>
          <w:p>
            <w:pPr>
              <w:ind w:left="140"/>
              <w:spacing w:after="0"/>
              <w:rPr>
                <w:sz w:val="20"/>
                <w:szCs w:val="20"/>
                <w:color w:val="auto"/>
              </w:rPr>
            </w:pPr>
            <w:r>
              <w:rPr>
                <w:rFonts w:ascii="Arial" w:cs="Arial" w:eastAsia="Arial" w:hAnsi="Arial"/>
                <w:sz w:val="16"/>
                <w:szCs w:val="16"/>
                <w:color w:val="auto"/>
              </w:rPr>
              <w:t>Other comprehensive income (loss) - net of tax</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(6,588)</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(6,588)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(6,587)</w:t>
            </w:r>
          </w:p>
        </w:tc>
      </w:tr>
      <w:tr>
        <w:trPr>
          <w:trHeight w:val="219"/>
        </w:trPr>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share-based incentive compensation</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155,325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155,325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155,325</w:t>
            </w:r>
          </w:p>
        </w:tc>
        <w:tc>
          <w:tcPr>
            <w:tcW w:w="100" w:type="dxa"/>
            <w:vAlign w:val="bottom"/>
            <w:shd w:val="clear" w:color="auto" w:fill="CFF0FC"/>
          </w:tcPr>
          <w:p>
            <w:pPr>
              <w:spacing w:after="0"/>
              <w:rPr>
                <w:sz w:val="19"/>
                <w:szCs w:val="19"/>
                <w:color w:val="auto"/>
              </w:rPr>
            </w:pPr>
          </w:p>
        </w:tc>
      </w:tr>
      <w:tr>
        <w:trPr>
          <w:trHeight w:val="213"/>
        </w:trPr>
        <w:tc>
          <w:tcPr>
            <w:tcW w:w="4660" w:type="dxa"/>
            <w:vAlign w:val="bottom"/>
            <w:gridSpan w:val="2"/>
          </w:tcPr>
          <w:p>
            <w:pPr>
              <w:spacing w:after="0"/>
              <w:rPr>
                <w:sz w:val="20"/>
                <w:szCs w:val="20"/>
                <w:color w:val="auto"/>
              </w:rPr>
            </w:pPr>
            <w:r>
              <w:rPr>
                <w:rFonts w:ascii="Arial" w:cs="Arial" w:eastAsia="Arial" w:hAnsi="Arial"/>
                <w:sz w:val="16"/>
                <w:szCs w:val="16"/>
                <w:color w:val="auto"/>
              </w:rPr>
              <w:t>Distributions to members and noncontrolling interests, net</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(201,147)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(201,147)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(615)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(201,762)</w:t>
            </w:r>
          </w:p>
        </w:tc>
      </w:tr>
      <w:tr>
        <w:trPr>
          <w:trHeight w:val="219"/>
        </w:trPr>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Purchase of Lazard Ltd Class A common stock</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(194,729)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(194,729)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(194,729)</w:t>
            </w:r>
          </w:p>
        </w:tc>
      </w:tr>
      <w:tr>
        <w:trPr>
          <w:trHeight w:val="206"/>
        </w:trPr>
        <w:tc>
          <w:tcPr>
            <w:tcW w:w="4660" w:type="dxa"/>
            <w:vAlign w:val="bottom"/>
            <w:gridSpan w:val="2"/>
          </w:tcPr>
          <w:p>
            <w:pPr>
              <w:spacing w:after="0"/>
              <w:rPr>
                <w:sz w:val="20"/>
                <w:szCs w:val="20"/>
                <w:color w:val="auto"/>
              </w:rPr>
            </w:pPr>
            <w:r>
              <w:rPr>
                <w:rFonts w:ascii="Arial" w:cs="Arial" w:eastAsia="Arial" w:hAnsi="Arial"/>
                <w:sz w:val="16"/>
                <w:szCs w:val="16"/>
                <w:color w:val="auto"/>
              </w:rPr>
              <w:t>Delivery of Lazard Ltd Class A common stock in</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60" w:type="dxa"/>
            <w:vAlign w:val="bottom"/>
            <w:gridSpan w:val="2"/>
          </w:tcPr>
          <w:p>
            <w:pPr>
              <w:ind w:left="120"/>
              <w:spacing w:after="0"/>
              <w:rPr>
                <w:sz w:val="20"/>
                <w:szCs w:val="20"/>
                <w:color w:val="auto"/>
              </w:rPr>
            </w:pPr>
            <w:r>
              <w:rPr>
                <w:rFonts w:ascii="Arial" w:cs="Arial" w:eastAsia="Arial" w:hAnsi="Arial"/>
                <w:sz w:val="16"/>
                <w:szCs w:val="16"/>
                <w:color w:val="auto"/>
              </w:rPr>
              <w:t>connection with share-based incentive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660" w:type="dxa"/>
            <w:vAlign w:val="bottom"/>
            <w:gridSpan w:val="2"/>
          </w:tcPr>
          <w:p>
            <w:pPr>
              <w:ind w:left="120"/>
              <w:spacing w:after="0"/>
              <w:rPr>
                <w:sz w:val="20"/>
                <w:szCs w:val="20"/>
                <w:color w:val="auto"/>
              </w:rPr>
            </w:pPr>
            <w:r>
              <w:rPr>
                <w:rFonts w:ascii="Arial" w:cs="Arial" w:eastAsia="Arial" w:hAnsi="Arial"/>
                <w:sz w:val="16"/>
                <w:szCs w:val="16"/>
                <w:color w:val="auto"/>
              </w:rPr>
              <w:t>compensation and related tax benefit of $141</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(54,023)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(54,023)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(54,023)</w:t>
            </w:r>
          </w:p>
        </w:tc>
      </w:tr>
      <w:tr>
        <w:trPr>
          <w:trHeight w:val="219"/>
        </w:trPr>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Business acquisitions and related equity transactions: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6"/>
        </w:trPr>
        <w:tc>
          <w:tcPr>
            <w:tcW w:w="4660" w:type="dxa"/>
            <w:vAlign w:val="bottom"/>
            <w:gridSpan w:val="2"/>
          </w:tcPr>
          <w:p>
            <w:pPr>
              <w:ind w:left="260"/>
              <w:spacing w:after="0"/>
              <w:rPr>
                <w:sz w:val="20"/>
                <w:szCs w:val="20"/>
                <w:color w:val="auto"/>
              </w:rPr>
            </w:pPr>
            <w:r>
              <w:rPr>
                <w:rFonts w:ascii="Arial" w:cs="Arial" w:eastAsia="Arial" w:hAnsi="Arial"/>
                <w:sz w:val="16"/>
                <w:szCs w:val="16"/>
                <w:color w:val="auto"/>
              </w:rPr>
              <w:t>Delivery of Lazard Ltd Class A common stock</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660" w:type="dxa"/>
            <w:vAlign w:val="bottom"/>
            <w:gridSpan w:val="2"/>
          </w:tcPr>
          <w:p>
            <w:pPr>
              <w:ind w:left="380"/>
              <w:spacing w:after="0"/>
              <w:rPr>
                <w:sz w:val="20"/>
                <w:szCs w:val="20"/>
                <w:color w:val="auto"/>
              </w:rPr>
            </w:pPr>
            <w:r>
              <w:rPr>
                <w:rFonts w:ascii="Arial" w:cs="Arial" w:eastAsia="Arial" w:hAnsi="Arial"/>
                <w:sz w:val="16"/>
                <w:szCs w:val="16"/>
                <w:color w:val="auto"/>
              </w:rPr>
              <w:t>and related tax benefit of $126</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2,739</w:t>
            </w:r>
          </w:p>
        </w:tc>
        <w:tc>
          <w:tcPr>
            <w:tcW w:w="100" w:type="dxa"/>
            <w:vAlign w:val="bottom"/>
          </w:tcPr>
          <w:p>
            <w:pPr>
              <w:spacing w:after="0"/>
              <w:rPr>
                <w:sz w:val="18"/>
                <w:szCs w:val="18"/>
                <w:color w:val="auto"/>
              </w:rPr>
            </w:pPr>
          </w:p>
        </w:tc>
      </w:tr>
      <w:tr>
        <w:trPr>
          <w:trHeight w:val="219"/>
        </w:trPr>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5,677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5,677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5,677</w:t>
            </w:r>
          </w:p>
        </w:tc>
        <w:tc>
          <w:tcPr>
            <w:tcW w:w="100" w:type="dxa"/>
            <w:vAlign w:val="bottom"/>
            <w:shd w:val="clear" w:color="auto" w:fill="CFF0FC"/>
          </w:tcPr>
          <w:p>
            <w:pPr>
              <w:spacing w:after="0"/>
              <w:rPr>
                <w:sz w:val="19"/>
                <w:szCs w:val="19"/>
                <w:color w:val="auto"/>
              </w:rPr>
            </w:pPr>
          </w:p>
        </w:tc>
      </w:tr>
      <w:tr>
        <w:trPr>
          <w:trHeight w:val="207"/>
        </w:trPr>
        <w:tc>
          <w:tcPr>
            <w:tcW w:w="4660" w:type="dxa"/>
            <w:vAlign w:val="bottom"/>
            <w:gridSpan w:val="2"/>
          </w:tcPr>
          <w:p>
            <w:pPr>
              <w:spacing w:after="0"/>
              <w:rPr>
                <w:sz w:val="20"/>
                <w:szCs w:val="20"/>
                <w:color w:val="auto"/>
              </w:rPr>
            </w:pPr>
            <w:r>
              <w:rPr>
                <w:rFonts w:ascii="Arial" w:cs="Arial" w:eastAsia="Arial" w:hAnsi="Arial"/>
                <w:sz w:val="16"/>
                <w:szCs w:val="16"/>
                <w:b w:val="1"/>
                <w:bCs w:val="1"/>
                <w:color w:val="auto"/>
              </w:rPr>
              <w:t>Balance - June 30, 2016 (*)</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732,377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(196,346)</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536,031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57,433</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593,464</w:t>
            </w:r>
          </w:p>
        </w:tc>
        <w:tc>
          <w:tcPr>
            <w:tcW w:w="100" w:type="dxa"/>
            <w:vAlign w:val="bottom"/>
          </w:tcPr>
          <w:p>
            <w:pPr>
              <w:spacing w:after="0"/>
              <w:rPr>
                <w:sz w:val="17"/>
                <w:szCs w:val="17"/>
                <w:color w:val="auto"/>
              </w:rPr>
            </w:pPr>
          </w:p>
        </w:tc>
      </w:tr>
      <w:tr>
        <w:trPr>
          <w:trHeight w:val="20"/>
        </w:trPr>
        <w:tc>
          <w:tcPr>
            <w:tcW w:w="19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1"/>
        </w:trPr>
        <w:tc>
          <w:tcPr>
            <w:tcW w:w="1920" w:type="dxa"/>
            <w:vAlign w:val="bottom"/>
            <w:tcBorders>
              <w:bottom w:val="single" w:sz="8" w:color="auto"/>
            </w:tcBorders>
          </w:tcPr>
          <w:p>
            <w:pPr>
              <w:spacing w:after="0"/>
              <w:rPr>
                <w:sz w:val="7"/>
                <w:szCs w:val="7"/>
                <w:color w:val="auto"/>
              </w:rPr>
            </w:pPr>
          </w:p>
        </w:tc>
        <w:tc>
          <w:tcPr>
            <w:tcW w:w="2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r>
    </w:tbl>
    <w:p>
      <w:pPr>
        <w:ind w:left="3640" w:right="1740" w:hanging="3632"/>
        <w:spacing w:after="0" w:line="538" w:lineRule="auto"/>
        <w:tabs>
          <w:tab w:leader="none" w:pos="266" w:val="left"/>
        </w:tabs>
        <w:numPr>
          <w:ilvl w:val="0"/>
          <w:numId w:val="3"/>
        </w:numPr>
        <w:rPr>
          <w:rFonts w:ascii="Arial" w:cs="Arial" w:eastAsia="Arial" w:hAnsi="Arial"/>
          <w:sz w:val="17"/>
          <w:szCs w:val="17"/>
          <w:color w:val="auto"/>
        </w:rPr>
      </w:pPr>
      <w:r>
        <w:rPr>
          <w:rFonts w:ascii="Arial" w:cs="Arial" w:eastAsia="Arial" w:hAnsi="Arial"/>
          <w:sz w:val="17"/>
          <w:szCs w:val="17"/>
          <w:color w:val="auto"/>
        </w:rPr>
        <w:t>At both January 1, 2016 and June 30, 2016, in addition to profit participation interests, there were two managing member interests. See 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19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1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Lazard Group</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Total</w:t>
            </w:r>
          </w:p>
        </w:tc>
      </w:tr>
      <w:tr>
        <w:trPr>
          <w:trHeight w:val="162"/>
        </w:trPr>
        <w:tc>
          <w:tcPr>
            <w:tcW w:w="1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Members'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Members'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Noncontrolling</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Members'</w:t>
            </w:r>
          </w:p>
        </w:tc>
      </w:tr>
      <w:tr>
        <w:trPr>
          <w:trHeight w:val="161"/>
        </w:trPr>
        <w:tc>
          <w:tcPr>
            <w:tcW w:w="1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Net of Tax</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Interests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Equity</w:t>
            </w:r>
          </w:p>
        </w:tc>
      </w:tr>
      <w:tr>
        <w:trPr>
          <w:trHeight w:val="210"/>
        </w:trPr>
        <w:tc>
          <w:tcPr>
            <w:tcW w:w="4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 January 1, 2017 (*)</w:t>
            </w: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949,669</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(270,775)</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678,894</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57,246</w:t>
            </w: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736,140</w:t>
            </w:r>
          </w:p>
        </w:tc>
        <w:tc>
          <w:tcPr>
            <w:tcW w:w="120" w:type="dxa"/>
            <w:vAlign w:val="bottom"/>
            <w:tcBorders>
              <w:top w:val="single" w:sz="8" w:color="CFF0FC"/>
            </w:tcBorders>
            <w:shd w:val="clear" w:color="auto" w:fill="CFF0FC"/>
          </w:tcPr>
          <w:p>
            <w:pPr>
              <w:spacing w:after="0"/>
              <w:rPr>
                <w:sz w:val="18"/>
                <w:szCs w:val="18"/>
                <w:color w:val="auto"/>
              </w:rPr>
            </w:pPr>
          </w:p>
        </w:tc>
      </w:tr>
      <w:tr>
        <w:trPr>
          <w:trHeight w:val="206"/>
        </w:trPr>
        <w:tc>
          <w:tcPr>
            <w:tcW w:w="4720" w:type="dxa"/>
            <w:vAlign w:val="bottom"/>
            <w:gridSpan w:val="2"/>
          </w:tcPr>
          <w:p>
            <w:pPr>
              <w:spacing w:after="0"/>
              <w:rPr>
                <w:sz w:val="20"/>
                <w:szCs w:val="20"/>
                <w:color w:val="auto"/>
              </w:rPr>
            </w:pPr>
            <w:r>
              <w:rPr>
                <w:rFonts w:ascii="Arial" w:cs="Arial" w:eastAsia="Arial" w:hAnsi="Arial"/>
                <w:sz w:val="16"/>
                <w:szCs w:val="16"/>
                <w:color w:val="auto"/>
              </w:rPr>
              <w:t>Adjustment for the cumulative effect on prior</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720" w:type="dxa"/>
            <w:vAlign w:val="bottom"/>
            <w:gridSpan w:val="2"/>
          </w:tcPr>
          <w:p>
            <w:pPr>
              <w:ind w:left="120"/>
              <w:spacing w:after="0"/>
              <w:rPr>
                <w:sz w:val="20"/>
                <w:szCs w:val="20"/>
                <w:color w:val="auto"/>
              </w:rPr>
            </w:pPr>
            <w:r>
              <w:rPr>
                <w:rFonts w:ascii="Arial" w:cs="Arial" w:eastAsia="Arial" w:hAnsi="Arial"/>
                <w:sz w:val="16"/>
                <w:szCs w:val="16"/>
                <w:color w:val="auto"/>
              </w:rPr>
              <w:t>years from the adoption of new accounting</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720" w:type="dxa"/>
            <w:vAlign w:val="bottom"/>
            <w:gridSpan w:val="2"/>
          </w:tcPr>
          <w:p>
            <w:pPr>
              <w:ind w:left="120"/>
              <w:spacing w:after="0"/>
              <w:rPr>
                <w:sz w:val="20"/>
                <w:szCs w:val="20"/>
                <w:color w:val="auto"/>
              </w:rPr>
            </w:pPr>
            <w:r>
              <w:rPr>
                <w:rFonts w:ascii="Arial" w:cs="Arial" w:eastAsia="Arial" w:hAnsi="Arial"/>
                <w:sz w:val="16"/>
                <w:szCs w:val="16"/>
                <w:color w:val="auto"/>
              </w:rPr>
              <w:t>guidance related to share-based incentive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720" w:type="dxa"/>
            <w:vAlign w:val="bottom"/>
            <w:tcBorders>
              <w:bottom w:val="single" w:sz="8" w:color="CFF0FC"/>
            </w:tcBorders>
            <w:gridSpan w:val="2"/>
          </w:tcPr>
          <w:p>
            <w:pPr>
              <w:ind w:left="120"/>
              <w:spacing w:after="0"/>
              <w:rPr>
                <w:sz w:val="20"/>
                <w:szCs w:val="20"/>
                <w:color w:val="auto"/>
              </w:rPr>
            </w:pPr>
            <w:r>
              <w:rPr>
                <w:rFonts w:ascii="Arial" w:cs="Arial" w:eastAsia="Arial" w:hAnsi="Arial"/>
                <w:sz w:val="16"/>
                <w:szCs w:val="16"/>
                <w:color w:val="auto"/>
              </w:rPr>
              <w:t>compensation</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120" w:type="dxa"/>
            <w:vAlign w:val="bottom"/>
            <w:tcBorders>
              <w:bottom w:val="single" w:sz="8" w:color="CFF0FC"/>
            </w:tcBorders>
          </w:tcPr>
          <w:p>
            <w:pPr>
              <w:spacing w:after="0"/>
              <w:rPr>
                <w:sz w:val="18"/>
                <w:szCs w:val="18"/>
                <w:color w:val="auto"/>
              </w:rPr>
            </w:pPr>
          </w:p>
        </w:tc>
      </w:tr>
      <w:tr>
        <w:trPr>
          <w:trHeight w:val="213"/>
        </w:trPr>
        <w:tc>
          <w:tcPr>
            <w:tcW w:w="4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as adjusted - January 1, 2017</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954,614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(270,775)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683,839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57,246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741,085</w:t>
            </w:r>
          </w:p>
        </w:tc>
        <w:tc>
          <w:tcPr>
            <w:tcW w:w="120" w:type="dxa"/>
            <w:vAlign w:val="bottom"/>
            <w:shd w:val="clear" w:color="auto" w:fill="CFF0FC"/>
          </w:tcPr>
          <w:p>
            <w:pPr>
              <w:spacing w:after="0"/>
              <w:rPr>
                <w:sz w:val="18"/>
                <w:szCs w:val="18"/>
                <w:color w:val="auto"/>
              </w:rPr>
            </w:pPr>
          </w:p>
        </w:tc>
      </w:tr>
      <w:tr>
        <w:trPr>
          <w:trHeight w:val="213"/>
        </w:trPr>
        <w:tc>
          <w:tcPr>
            <w:tcW w:w="4720" w:type="dxa"/>
            <w:vAlign w:val="bottom"/>
            <w:gridSpan w:val="2"/>
          </w:tcPr>
          <w:p>
            <w:pPr>
              <w:spacing w:after="0"/>
              <w:rPr>
                <w:sz w:val="20"/>
                <w:szCs w:val="20"/>
                <w:color w:val="auto"/>
              </w:rPr>
            </w:pPr>
            <w:r>
              <w:rPr>
                <w:rFonts w:ascii="Arial" w:cs="Arial" w:eastAsia="Arial" w:hAnsi="Arial"/>
                <w:sz w:val="16"/>
                <w:szCs w:val="16"/>
                <w:color w:val="auto"/>
              </w:rPr>
              <w:t>Comprehensive income: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47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270,424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270,424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273,823</w:t>
            </w:r>
          </w:p>
        </w:tc>
        <w:tc>
          <w:tcPr>
            <w:tcW w:w="120" w:type="dxa"/>
            <w:vAlign w:val="bottom"/>
            <w:shd w:val="clear" w:color="auto" w:fill="CFF0FC"/>
          </w:tcPr>
          <w:p>
            <w:pPr>
              <w:spacing w:after="0"/>
              <w:rPr>
                <w:sz w:val="19"/>
                <w:szCs w:val="19"/>
                <w:color w:val="auto"/>
              </w:rPr>
            </w:pPr>
          </w:p>
        </w:tc>
      </w:tr>
      <w:tr>
        <w:trPr>
          <w:trHeight w:val="213"/>
        </w:trPr>
        <w:tc>
          <w:tcPr>
            <w:tcW w:w="4720" w:type="dxa"/>
            <w:vAlign w:val="bottom"/>
            <w:gridSpan w:val="2"/>
          </w:tcPr>
          <w:p>
            <w:pPr>
              <w:ind w:left="260"/>
              <w:spacing w:after="0"/>
              <w:rPr>
                <w:sz w:val="20"/>
                <w:szCs w:val="20"/>
                <w:color w:val="auto"/>
              </w:rPr>
            </w:pPr>
            <w:r>
              <w:rPr>
                <w:rFonts w:ascii="Arial" w:cs="Arial" w:eastAsia="Arial" w:hAnsi="Arial"/>
                <w:sz w:val="16"/>
                <w:szCs w:val="16"/>
                <w:color w:val="auto"/>
              </w:rPr>
              <w:t>Other comprehensive income - net of tax</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31,959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31,959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31,960</w:t>
            </w:r>
          </w:p>
        </w:tc>
        <w:tc>
          <w:tcPr>
            <w:tcW w:w="120" w:type="dxa"/>
            <w:vAlign w:val="bottom"/>
          </w:tcPr>
          <w:p>
            <w:pPr>
              <w:spacing w:after="0"/>
              <w:rPr>
                <w:sz w:val="18"/>
                <w:szCs w:val="18"/>
                <w:color w:val="auto"/>
              </w:rPr>
            </w:pPr>
          </w:p>
        </w:tc>
      </w:tr>
      <w:tr>
        <w:trPr>
          <w:trHeight w:val="219"/>
        </w:trPr>
        <w:tc>
          <w:tcPr>
            <w:tcW w:w="4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share-based incentive compensation</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163,001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163,001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163,001</w:t>
            </w:r>
          </w:p>
        </w:tc>
        <w:tc>
          <w:tcPr>
            <w:tcW w:w="120" w:type="dxa"/>
            <w:vAlign w:val="bottom"/>
            <w:shd w:val="clear" w:color="auto" w:fill="CFF0FC"/>
          </w:tcPr>
          <w:p>
            <w:pPr>
              <w:spacing w:after="0"/>
              <w:rPr>
                <w:sz w:val="19"/>
                <w:szCs w:val="19"/>
                <w:color w:val="auto"/>
              </w:rPr>
            </w:pPr>
          </w:p>
        </w:tc>
      </w:tr>
      <w:tr>
        <w:trPr>
          <w:trHeight w:val="206"/>
        </w:trPr>
        <w:tc>
          <w:tcPr>
            <w:tcW w:w="4720" w:type="dxa"/>
            <w:vAlign w:val="bottom"/>
            <w:gridSpan w:val="2"/>
          </w:tcPr>
          <w:p>
            <w:pPr>
              <w:spacing w:after="0"/>
              <w:rPr>
                <w:sz w:val="20"/>
                <w:szCs w:val="20"/>
                <w:color w:val="auto"/>
              </w:rPr>
            </w:pPr>
            <w:r>
              <w:rPr>
                <w:rFonts w:ascii="Arial" w:cs="Arial" w:eastAsia="Arial" w:hAnsi="Arial"/>
                <w:sz w:val="16"/>
                <w:szCs w:val="16"/>
                <w:color w:val="auto"/>
              </w:rPr>
              <w:t>Distributions to members and noncontrolling interests,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720" w:type="dxa"/>
            <w:vAlign w:val="bottom"/>
            <w:gridSpan w:val="2"/>
          </w:tcPr>
          <w:p>
            <w:pPr>
              <w:ind w:left="120"/>
              <w:spacing w:after="0"/>
              <w:rPr>
                <w:sz w:val="20"/>
                <w:szCs w:val="20"/>
                <w:color w:val="auto"/>
              </w:rPr>
            </w:pPr>
            <w:r>
              <w:rPr>
                <w:rFonts w:ascii="Arial" w:cs="Arial" w:eastAsia="Arial" w:hAnsi="Arial"/>
                <w:sz w:val="16"/>
                <w:szCs w:val="16"/>
                <w:color w:val="auto"/>
              </w:rPr>
              <w:t>net</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(244,722)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(244,722)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(1,733)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(246,455)</w:t>
            </w:r>
          </w:p>
        </w:tc>
      </w:tr>
      <w:tr>
        <w:trPr>
          <w:trHeight w:val="219"/>
        </w:trPr>
        <w:tc>
          <w:tcPr>
            <w:tcW w:w="4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Purchase of Lazard Ltd Class A common stock</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(184,892)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(184,892)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(184,892)</w:t>
            </w:r>
          </w:p>
        </w:tc>
      </w:tr>
      <w:tr>
        <w:trPr>
          <w:trHeight w:val="206"/>
        </w:trPr>
        <w:tc>
          <w:tcPr>
            <w:tcW w:w="4720" w:type="dxa"/>
            <w:vAlign w:val="bottom"/>
            <w:gridSpan w:val="2"/>
          </w:tcPr>
          <w:p>
            <w:pPr>
              <w:spacing w:after="0"/>
              <w:rPr>
                <w:sz w:val="20"/>
                <w:szCs w:val="20"/>
                <w:color w:val="auto"/>
              </w:rPr>
            </w:pPr>
            <w:r>
              <w:rPr>
                <w:rFonts w:ascii="Arial" w:cs="Arial" w:eastAsia="Arial" w:hAnsi="Arial"/>
                <w:sz w:val="16"/>
                <w:szCs w:val="16"/>
                <w:color w:val="auto"/>
              </w:rPr>
              <w:t>Delivery of Lazard Ltd Class A common stock in</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720" w:type="dxa"/>
            <w:vAlign w:val="bottom"/>
            <w:gridSpan w:val="2"/>
          </w:tcPr>
          <w:p>
            <w:pPr>
              <w:ind w:left="120"/>
              <w:spacing w:after="0"/>
              <w:rPr>
                <w:sz w:val="20"/>
                <w:szCs w:val="20"/>
                <w:color w:val="auto"/>
              </w:rPr>
            </w:pPr>
            <w:r>
              <w:rPr>
                <w:rFonts w:ascii="Arial" w:cs="Arial" w:eastAsia="Arial" w:hAnsi="Arial"/>
                <w:sz w:val="16"/>
                <w:szCs w:val="16"/>
                <w:color w:val="auto"/>
              </w:rPr>
              <w:t>connection with share-based incentive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720" w:type="dxa"/>
            <w:vAlign w:val="bottom"/>
            <w:gridSpan w:val="2"/>
          </w:tcPr>
          <w:p>
            <w:pPr>
              <w:ind w:left="120"/>
              <w:spacing w:after="0"/>
              <w:rPr>
                <w:sz w:val="20"/>
                <w:szCs w:val="20"/>
                <w:color w:val="auto"/>
              </w:rPr>
            </w:pPr>
            <w:r>
              <w:rPr>
                <w:rFonts w:ascii="Arial" w:cs="Arial" w:eastAsia="Arial" w:hAnsi="Arial"/>
                <w:sz w:val="16"/>
                <w:szCs w:val="16"/>
                <w:color w:val="auto"/>
              </w:rPr>
              <w:t>compensation</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(66,086)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(66,086)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(66,086)</w:t>
            </w:r>
          </w:p>
        </w:tc>
      </w:tr>
      <w:tr>
        <w:trPr>
          <w:trHeight w:val="209"/>
        </w:trPr>
        <w:tc>
          <w:tcPr>
            <w:tcW w:w="4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Business acquisitions and related equity</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2"/>
        </w:trPr>
        <w:tc>
          <w:tcPr>
            <w:tcW w:w="47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transactions:</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6"/>
        </w:trPr>
        <w:tc>
          <w:tcPr>
            <w:tcW w:w="4720" w:type="dxa"/>
            <w:vAlign w:val="bottom"/>
            <w:gridSpan w:val="2"/>
          </w:tcPr>
          <w:p>
            <w:pPr>
              <w:ind w:left="260"/>
              <w:spacing w:after="0"/>
              <w:rPr>
                <w:sz w:val="20"/>
                <w:szCs w:val="20"/>
                <w:color w:val="auto"/>
              </w:rPr>
            </w:pPr>
            <w:r>
              <w:rPr>
                <w:rFonts w:ascii="Arial" w:cs="Arial" w:eastAsia="Arial" w:hAnsi="Arial"/>
                <w:sz w:val="16"/>
                <w:szCs w:val="16"/>
                <w:color w:val="auto"/>
              </w:rPr>
              <w:t>Lazard Ltd Class A common stock issuable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720" w:type="dxa"/>
            <w:vAlign w:val="bottom"/>
            <w:gridSpan w:val="2"/>
          </w:tcPr>
          <w:p>
            <w:pPr>
              <w:ind w:left="380"/>
              <w:spacing w:after="0"/>
              <w:rPr>
                <w:sz w:val="20"/>
                <w:szCs w:val="20"/>
                <w:color w:val="auto"/>
              </w:rPr>
            </w:pPr>
            <w:r>
              <w:rPr>
                <w:rFonts w:ascii="Arial" w:cs="Arial" w:eastAsia="Arial" w:hAnsi="Arial"/>
                <w:sz w:val="16"/>
                <w:szCs w:val="16"/>
                <w:color w:val="auto"/>
              </w:rPr>
              <w:t>(including related amortization)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r>
      <w:tr>
        <w:trPr>
          <w:trHeight w:val="219"/>
        </w:trPr>
        <w:tc>
          <w:tcPr>
            <w:tcW w:w="4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(3,883)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(3,883)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(3,679)</w:t>
            </w:r>
          </w:p>
        </w:tc>
      </w:tr>
      <w:tr>
        <w:trPr>
          <w:trHeight w:val="207"/>
        </w:trPr>
        <w:tc>
          <w:tcPr>
            <w:tcW w:w="4720" w:type="dxa"/>
            <w:vAlign w:val="bottom"/>
            <w:gridSpan w:val="2"/>
          </w:tcPr>
          <w:p>
            <w:pPr>
              <w:spacing w:after="0"/>
              <w:rPr>
                <w:sz w:val="20"/>
                <w:szCs w:val="20"/>
                <w:color w:val="auto"/>
              </w:rPr>
            </w:pPr>
            <w:r>
              <w:rPr>
                <w:rFonts w:ascii="Arial" w:cs="Arial" w:eastAsia="Arial" w:hAnsi="Arial"/>
                <w:sz w:val="16"/>
                <w:szCs w:val="16"/>
                <w:b w:val="1"/>
                <w:bCs w:val="1"/>
                <w:color w:val="auto"/>
              </w:rPr>
              <w:t>Balance - June 30, 2017 (*)</w:t>
            </w: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888,641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(238,816)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649,825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59,117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708,942</w:t>
            </w:r>
          </w:p>
        </w:tc>
        <w:tc>
          <w:tcPr>
            <w:tcW w:w="120" w:type="dxa"/>
            <w:vAlign w:val="bottom"/>
          </w:tcPr>
          <w:p>
            <w:pPr>
              <w:spacing w:after="0"/>
              <w:rPr>
                <w:sz w:val="17"/>
                <w:szCs w:val="17"/>
                <w:color w:val="auto"/>
              </w:rPr>
            </w:pPr>
          </w:p>
        </w:tc>
      </w:tr>
      <w:tr>
        <w:trPr>
          <w:trHeight w:val="20"/>
        </w:trPr>
        <w:tc>
          <w:tcPr>
            <w:tcW w:w="19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91"/>
        </w:trPr>
        <w:tc>
          <w:tcPr>
            <w:tcW w:w="1920" w:type="dxa"/>
            <w:vAlign w:val="bottom"/>
            <w:tcBorders>
              <w:bottom w:val="single" w:sz="8" w:color="auto"/>
            </w:tcBorders>
          </w:tcPr>
          <w:p>
            <w:pPr>
              <w:spacing w:after="0"/>
              <w:rPr>
                <w:sz w:val="7"/>
                <w:szCs w:val="7"/>
                <w:color w:val="auto"/>
              </w:rPr>
            </w:pPr>
          </w:p>
        </w:tc>
        <w:tc>
          <w:tcPr>
            <w:tcW w:w="2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rPr>
          <w:sz w:val="20"/>
          <w:szCs w:val="20"/>
          <w:color w:val="auto"/>
        </w:rPr>
      </w:pPr>
      <w:r>
        <w:rPr>
          <w:rFonts w:ascii="Arial" w:cs="Arial" w:eastAsia="Arial" w:hAnsi="Arial"/>
          <w:sz w:val="18"/>
          <w:szCs w:val="18"/>
          <w:color w:val="auto"/>
        </w:rPr>
        <w:t>(*) At both January 1, 2017 and June 30, 2017, in addition to profit participation interests, there were two managing member interests.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38"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jc w:val="both"/>
        <w:ind w:right="600" w:firstLine="518"/>
        <w:spacing w:after="0" w:line="264" w:lineRule="auto"/>
        <w:rPr>
          <w:sz w:val="20"/>
          <w:szCs w:val="20"/>
          <w:color w:val="auto"/>
        </w:rPr>
      </w:pPr>
      <w:r>
        <w:rPr>
          <w:rFonts w:ascii="Arial" w:cs="Arial" w:eastAsia="Arial" w:hAnsi="Arial"/>
          <w:sz w:val="18"/>
          <w:szCs w:val="18"/>
          <w:color w:val="auto"/>
        </w:rPr>
        <w:t>The accompanying condensed consolidated financial statements are those of Lazard Group LLC and its subsidiaries (collectively referred to as “Lazard Group” or the “Company”). Lazard Group is a Delaware limited liability company and is governed by an Amended and Restated Operating Agreement dated as of October 26, 2015, as amended (the “Operating Agreement”).</w:t>
      </w:r>
    </w:p>
    <w:p>
      <w:pPr>
        <w:spacing w:after="0" w:line="73"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Lazard Ltd, a Bermuda holding company, and its subsidiaries (collectively referred to as “Lazard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Lazard Ltd indirectly held 100% of all outstanding Lazard Group common membership interests as of June 30, 2017 and December 31, 2016. Lazard Ltd, through its control of the managing members of Lazard Group, controls Lazard Group.</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117" w:lineRule="exact"/>
        <w:rPr>
          <w:sz w:val="20"/>
          <w:szCs w:val="20"/>
          <w:color w:val="auto"/>
        </w:rPr>
      </w:pPr>
    </w:p>
    <w:p>
      <w:pPr>
        <w:ind w:left="900" w:right="100" w:hanging="379"/>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shareholder advisory, and various other financial matters, and</w:t>
      </w:r>
    </w:p>
    <w:p>
      <w:pPr>
        <w:spacing w:after="0" w:line="73" w:lineRule="exact"/>
        <w:rPr>
          <w:rFonts w:ascii="Arial" w:cs="Arial" w:eastAsia="Arial" w:hAnsi="Arial"/>
          <w:sz w:val="18"/>
          <w:szCs w:val="18"/>
          <w:color w:val="auto"/>
        </w:rPr>
      </w:pPr>
    </w:p>
    <w:p>
      <w:pPr>
        <w:ind w:left="900" w:right="200" w:hanging="379"/>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accompanying condensed consolidated financial statements of Lazard Group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2016. The accompanying December 31, 2016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7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8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consolidated results of operations for the three month and six month periods ended June 30, 2017 are not indicative of the results to be expected for any future interim or annual period.</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condensed consolidated financial statements include Lazard Group and Lazard Group’s principal operating subsidiaries: Lazard Frères &amp; Co. LLC (“LFNY”), a New York limited liability company, along with its subsidiaries, including Lazard Asset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Management LLC and its subsidiaries (collectively referred to as “LAM”); the French limited liability companies Compagnie Financière Lazard Frères SAS (“CFLF”) along with its subsidiaries, LFB and Lazard Frères Gestion SAS (“LFG”), and Maison Lazard SAS and its subsidiaries; and Lazard &amp; Co., Limited (“LCL”), through Lazard &amp; Co., Holdings Limited (“LCH”), an English private limited company, together with their jointly owned affiliates and subsidiaries.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policy is to consolidate entities in which it has a controlling financial interest. The Company consolidates:</w:t>
      </w:r>
    </w:p>
    <w:p>
      <w:pPr>
        <w:spacing w:after="0" w:line="117" w:lineRule="exact"/>
        <w:rPr>
          <w:sz w:val="20"/>
          <w:szCs w:val="20"/>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Voting interest entities (“VOEs”) where the Company holds a majority of the voting interest in such VOEs, and</w:t>
      </w:r>
    </w:p>
    <w:p>
      <w:pPr>
        <w:spacing w:after="0" w:line="117" w:lineRule="exact"/>
        <w:rPr>
          <w:rFonts w:ascii="Arial" w:cs="Arial" w:eastAsia="Arial" w:hAnsi="Arial"/>
          <w:sz w:val="18"/>
          <w:szCs w:val="18"/>
          <w:color w:val="auto"/>
        </w:rPr>
      </w:pPr>
    </w:p>
    <w:p>
      <w:pPr>
        <w:ind w:left="900" w:right="260" w:hanging="379"/>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w:t>
      </w:r>
    </w:p>
    <w:p>
      <w:pPr>
        <w:spacing w:after="0" w:line="181"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When the Company does not have a controlling interest in an entity, but exerts significant influence over such entity’s operating and financial decisions, the Company either (i) applies the equity method of accounting in which it records a proportionate share of the entity’s net earnings, or (ii) elects the option to measure at fair value. Intercompany transactions and balances have been eliminated.</w:t>
      </w:r>
    </w:p>
    <w:p>
      <w:pPr>
        <w:spacing w:after="0" w:line="18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presentation, specifically by including capital lease obligations, previously presented separately, in other liabilities on the condensed consolidated statements of financial condition.</w:t>
      </w:r>
    </w:p>
    <w:p>
      <w:pPr>
        <w:spacing w:after="0" w:line="360"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117"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i w:val="1"/>
          <w:iCs w:val="1"/>
          <w:color w:val="auto"/>
        </w:rPr>
        <w:t>Compensation—Stock Compensation: Improvements to Employee Share-Based Payment Accounting</w:t>
      </w:r>
      <w:r>
        <w:rPr>
          <w:rFonts w:ascii="Arial" w:cs="Arial" w:eastAsia="Arial" w:hAnsi="Arial"/>
          <w:sz w:val="16"/>
          <w:szCs w:val="16"/>
          <w:color w:val="auto"/>
        </w:rPr>
        <w:t>—In March 2016, the Financial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Board (the “FASB”) issued new guidance regarding share-based incentive compensation. The new guidance includes several amendments which affect various aspects of the accounting for share-based incentive compensation transactions, including the income tax consequences, estimation of forfeitures, effect on earnings per share, classification of awards as either equity or liabilities, and classification on the statement of cash flows. The new guidance is effective for annual and interim periods beginning after December 15, 2016. The Company adopted this new guidance on January 1, 2017. The new guidance has since January 1, 2017 affected, and the Company expects that in future periods the new guidance will affect, the provision for income taxes for the delivery of stock under share-based incentive compensation arrangements, as well as the effective tax rate in the relevant periods, which could be material to the condensed consolidated statements of operations and the classification of cash flows in the relevant periods. The inclusion of excess tax benefits as an operating activity within the statement of cash flows was adopted on a prospective basis, with prior periods unadjusted. Upon adoption of the new guidance, the Company also recorded deferred tax assets of $4,945, net of a valuation allowance of $12,090, for previously unrecognized excess tax benefits (including tax benefits from dividends or dividend equivalents) on share-based incentive compensation arrangements, with an offsetting adjustment to retained earnings. With respect to forfeiture rates, the Company will continue to estimate the number of awards expected to be forfeited, rather than electing the option to account for forfeitures as they occur. See Note 14.</w:t>
      </w:r>
    </w:p>
    <w:p>
      <w:pPr>
        <w:spacing w:after="0" w:line="175"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—In May 2014, the FASB issued comprehensive new revenue recognition guidance. The guidance requires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to recognize revenue when it transfers promised services to customers in an amount that reflects the consideration to which the company expects to be entitled in exchange for those services and requires enhanced disclosures. The guidance also changes the accounting for certain contract costs, including whether they may be offset against revenue in the condensed consolidated statements of operations. On July 9, 2015, the FASB approved the deferral of the effective date of the new revenue guidance by one year to annual reporting periods beginning after December 15, 2017, with early adoption being permitted for annual periods beginning after December 15, 2016. The guidance may be adopted using a full retrospective approach or a modified cumulative effect approach. During 2016, the FASB issued additional clarifications for certain aspects of the new revenue recognition guidance. The Company currently expects to adopt the revenue recognition guidance in the first quarter of 2018. The Company’s implementation efforts include the identification of revenue within the scope of the guidance and the evaluation of revenue contracts.</w:t>
      </w:r>
    </w:p>
    <w:p>
      <w:pPr>
        <w:spacing w:after="0" w:line="18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Company continues to evaluate the potential impact of the new guidance including (i) the timing of revenue recognition for Financial Advisory fees and (ii) the presentation of certain contract costs. With respect to revenue recognition, the Company is assessing the potential impact of the new guidance on the Company’s recognition of certain M&amp;A Advisory fees (e.g., transaction completion, transaction announcement and retainer fees), including whether the Company’s fulfillment of its performance obligations under M&amp;A Advisory engagement contracts would be deemed to occur over time, or at specific points in time, under the new</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guidance. Interpretive guidance on this particular issue is currently being deliberated by the Financial Reporting Executive Committee of the American Institute of Certified Public Accountants. With respect to the potential impact of the new guidance on the Company’s presentation of certain contract costs, the Company is assessing whether the new guidance could result in the gross presentation of certain contract costs that are currently presented net of certain items in revenues.</w:t>
      </w:r>
    </w:p>
    <w:p>
      <w:pPr>
        <w:spacing w:after="0" w:line="18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In August and November 2016, the FASB issued updated guidance which clarifies how</w:t>
      </w:r>
      <w:r>
        <w:rPr>
          <w:rFonts w:ascii="Arial" w:cs="Arial" w:eastAsia="Arial" w:hAnsi="Arial"/>
          <w:sz w:val="18"/>
          <w:szCs w:val="18"/>
          <w:i w:val="1"/>
          <w:iCs w:val="1"/>
          <w:color w:val="auto"/>
        </w:rPr>
        <w:t xml:space="preserve"> </w:t>
      </w:r>
      <w:r>
        <w:rPr>
          <w:rFonts w:ascii="Arial" w:cs="Arial" w:eastAsia="Arial" w:hAnsi="Arial"/>
          <w:sz w:val="18"/>
          <w:szCs w:val="18"/>
          <w:color w:val="auto"/>
        </w:rPr>
        <w:t>a company should classify certain cash receipts and cash payments on the statement of cash flows and clarifies that restricted cash should be included in the total of cash and cash equivalents on the statement of cash flows. The new guidance for both updates is effective for annual and interim periods beginning after December 15, 2017 and early adoption is permitted. The new guidance is to be applied on a retrospective basis. The Company is currently evaluating the new guidance.</w:t>
      </w:r>
    </w:p>
    <w:p>
      <w:pPr>
        <w:spacing w:after="0" w:line="188"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i w:val="1"/>
          <w:iCs w:val="1"/>
          <w:color w:val="auto"/>
        </w:rPr>
        <w:t>Clarifying the Definition of a Business—</w:t>
      </w:r>
      <w:r>
        <w:rPr>
          <w:rFonts w:ascii="Arial" w:cs="Arial" w:eastAsia="Arial" w:hAnsi="Arial"/>
          <w:sz w:val="16"/>
          <w:szCs w:val="16"/>
          <w:color w:val="auto"/>
        </w:rPr>
        <w:t>In January 2017, the FASB issued updated guidance to clarify the definition of a business within the context</w:t>
      </w:r>
      <w:r>
        <w:rPr>
          <w:rFonts w:ascii="Arial" w:cs="Arial" w:eastAsia="Arial" w:hAnsi="Arial"/>
          <w:sz w:val="16"/>
          <w:szCs w:val="16"/>
          <w:i w:val="1"/>
          <w:iCs w:val="1"/>
          <w:color w:val="auto"/>
        </w:rPr>
        <w:t xml:space="preserve"> </w:t>
      </w:r>
      <w:r>
        <w:rPr>
          <w:rFonts w:ascii="Arial" w:cs="Arial" w:eastAsia="Arial" w:hAnsi="Arial"/>
          <w:sz w:val="16"/>
          <w:szCs w:val="16"/>
          <w:color w:val="auto"/>
        </w:rPr>
        <w:t>of business combinations. The updated guidance requires that when substantially all of the fair value of the gross assets acquired (or disposed of) is concentrated in a single identifiable asset or a group of similar identifiable assets, the set is not a business. This updated guidance is expected to reduce the number of transactions that need to be further evaluated as business combinations. If further evaluation is necessary, the updated guidance will require that a business set include, at a minimum, an input and a substantive process that together significantly contribute to the ability to create output. The updated guidance will remove the evaluation of whether a market participant could replace missing elements. The new guidance is effective for annual and interim periods beginning after December 15, 2017 and is to be applied on a prospective basis. The Company is currently evaluating the new guidance.</w:t>
      </w:r>
    </w:p>
    <w:p>
      <w:pPr>
        <w:spacing w:after="0" w:line="167" w:lineRule="exact"/>
        <w:rPr>
          <w:sz w:val="20"/>
          <w:szCs w:val="20"/>
          <w:color w:val="auto"/>
        </w:rPr>
      </w:pPr>
    </w:p>
    <w:p>
      <w:pPr>
        <w:ind w:right="220" w:firstLine="518"/>
        <w:spacing w:after="0" w:line="291" w:lineRule="auto"/>
        <w:rPr>
          <w:sz w:val="20"/>
          <w:szCs w:val="20"/>
          <w:color w:val="auto"/>
        </w:rPr>
      </w:pPr>
      <w:r>
        <w:rPr>
          <w:rFonts w:ascii="Arial" w:cs="Arial" w:eastAsia="Arial" w:hAnsi="Arial"/>
          <w:sz w:val="16"/>
          <w:szCs w:val="16"/>
          <w:i w:val="1"/>
          <w:iCs w:val="1"/>
          <w:color w:val="auto"/>
        </w:rPr>
        <w:t>Compensation</w:t>
      </w:r>
      <w:r>
        <w:rPr>
          <w:rFonts w:ascii="Arial" w:cs="Arial" w:eastAsia="Arial" w:hAnsi="Arial"/>
          <w:sz w:val="16"/>
          <w:szCs w:val="16"/>
          <w:color w:val="auto"/>
        </w:rPr>
        <w:t>—</w:t>
      </w:r>
      <w:r>
        <w:rPr>
          <w:rFonts w:ascii="Arial" w:cs="Arial" w:eastAsia="Arial" w:hAnsi="Arial"/>
          <w:sz w:val="16"/>
          <w:szCs w:val="16"/>
          <w:i w:val="1"/>
          <w:iCs w:val="1"/>
          <w:color w:val="auto"/>
        </w:rPr>
        <w:t>Retirement Benefits</w:t>
      </w:r>
      <w:r>
        <w:rPr>
          <w:rFonts w:ascii="Arial" w:cs="Arial" w:eastAsia="Arial" w:hAnsi="Arial"/>
          <w:sz w:val="16"/>
          <w:szCs w:val="16"/>
          <w:color w:val="auto"/>
        </w:rPr>
        <w:t>—</w:t>
      </w:r>
      <w:r>
        <w:rPr>
          <w:rFonts w:ascii="Arial" w:cs="Arial" w:eastAsia="Arial" w:hAnsi="Arial"/>
          <w:sz w:val="16"/>
          <w:szCs w:val="16"/>
          <w:i w:val="1"/>
          <w:iCs w:val="1"/>
          <w:color w:val="auto"/>
        </w:rPr>
        <w:t>Improving the Presentation of Net Periodic Pension Cost and Net Periodic Postretirement Benefit Cost</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2016, the FASB issued updated guidance on the presentation of net benefit cost in the statement of operations and the components eligible for capitalization. The new guidance requires that only the service cost component of net periodic pension cost and net periodic postretirement benefit cost be presented with other employee compensation costs in operating expenses. The other components of net benefit cost, including amortization of prior service cost, and gains and losses from settlements and curtailments, are to be included in non-operating expenses. The new guidance also stipulates that only the service cost component of net benefit cost is eligible for capitalization. This new guidance is effective for annual and interim periods beginning after December 15, 2017, with early adoption permitted. The Company is currently evaluating the new guidance.</w:t>
      </w:r>
    </w:p>
    <w:p>
      <w:pPr>
        <w:spacing w:after="0" w:line="16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Compensation—Stock Compensation: Scope of Modification Accounting—</w:t>
      </w:r>
      <w:r>
        <w:rPr>
          <w:rFonts w:ascii="Arial" w:cs="Arial" w:eastAsia="Arial" w:hAnsi="Arial"/>
          <w:sz w:val="18"/>
          <w:szCs w:val="18"/>
          <w:color w:val="auto"/>
        </w:rPr>
        <w:t>In May 2017, the FASB issued updated guidance on modifications to share-based payment awards. The updated guidance requires entities to account for the effects of a modification to a share-based payment award unless the following are all the same immediately before and after the modification: (i) the fair value of the award, (ii) the vesting conditions of the award, and (iii) the classification of the award as an equity instrument or a liability instrument. This new guidance is effective for annual and interim periods beginning after December 15, 2017, with early adoption permitted. The new guidance is to be applied on a prospective basis. The Company is currently evaluating the new guidance.</w:t>
      </w:r>
    </w:p>
    <w:p>
      <w:pPr>
        <w:spacing w:after="0" w:line="193"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i w:val="1"/>
          <w:iCs w:val="1"/>
          <w:color w:val="auto"/>
        </w:rPr>
        <w:t>Leases</w:t>
      </w:r>
      <w:r>
        <w:rPr>
          <w:rFonts w:ascii="Arial" w:cs="Arial" w:eastAsia="Arial" w:hAnsi="Arial"/>
          <w:sz w:val="16"/>
          <w:szCs w:val="16"/>
          <w:color w:val="auto"/>
        </w:rPr>
        <w:t>—In February 2016, the FASB issued updated guidance for leases. The guidance requires a lessee to (i) recognize a right-of-use asset and a</w:t>
      </w:r>
      <w:r>
        <w:rPr>
          <w:rFonts w:ascii="Arial" w:cs="Arial" w:eastAsia="Arial" w:hAnsi="Arial"/>
          <w:sz w:val="16"/>
          <w:szCs w:val="16"/>
          <w:i w:val="1"/>
          <w:iCs w:val="1"/>
          <w:color w:val="auto"/>
        </w:rPr>
        <w:t xml:space="preserve"> </w:t>
      </w:r>
      <w:r>
        <w:rPr>
          <w:rFonts w:ascii="Arial" w:cs="Arial" w:eastAsia="Arial" w:hAnsi="Arial"/>
          <w:sz w:val="16"/>
          <w:szCs w:val="16"/>
          <w:color w:val="auto"/>
        </w:rPr>
        <w:t>lease liability, initially measured at the present value of the lease payments, in the statement of financial condition, (ii) recognize a single lease cost, calculated so that the cost of the lease is allocated over the lease term on a generally straight-line basis, and (iii) classify all cash payments within operating activities in the statement of cash flows. The new guidance is effective for annual and interim periods beginning after December 15, 2018, with early adoption permitted. The new guidance is to be applied on a modified retrospective basis. The Company is currently evaluating the new guidance.</w:t>
      </w:r>
    </w:p>
    <w:p>
      <w:pPr>
        <w:spacing w:after="0" w:line="158"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i w:val="1"/>
          <w:iCs w:val="1"/>
          <w:color w:val="auto"/>
        </w:rPr>
        <w:t>Financial Instruments—Credit Losses: Measurement of Credit Losses on Financial Instruments</w:t>
      </w:r>
      <w:r>
        <w:rPr>
          <w:rFonts w:ascii="Arial" w:cs="Arial" w:eastAsia="Arial" w:hAnsi="Arial"/>
          <w:sz w:val="17"/>
          <w:szCs w:val="17"/>
          <w:color w:val="auto"/>
        </w:rPr>
        <w:t>—In June 2016, the FASB issued new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The new guidance is effective for annual and interim periods beginning after December 15, 2019 with early adoption permitted for fiscal years beginning after December 15, 2018. The Company is currently evaluating the new guidance.</w:t>
      </w:r>
    </w:p>
    <w:p>
      <w:pPr>
        <w:spacing w:after="0" w:line="173"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i w:val="1"/>
          <w:iCs w:val="1"/>
          <w:color w:val="auto"/>
        </w:rPr>
        <w:t>Intangibles—Goodwill and Other: Simplifying the Test for Goodwill Impairment</w:t>
      </w:r>
      <w:r>
        <w:rPr>
          <w:rFonts w:ascii="Arial" w:cs="Arial" w:eastAsia="Arial" w:hAnsi="Arial"/>
          <w:sz w:val="18"/>
          <w:szCs w:val="18"/>
          <w:color w:val="auto"/>
        </w:rPr>
        <w:t>—In January 2017, the FASB issued updated guidance which</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eliminated Step 2 from the goodwill impairment test. Step 2 is the process of measuring a goodwill impairment loss by comparing the implied fair value of a reporting unit’s goodwill with the carrying amount of that goodwill. The new guidance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 w:name="page14"/>
    <w:bookmarkEnd w:id="1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requires entities to measure a goodwill impairment loss as the amount by which a reporting unit’s carrying value exceeds its fair value, limited to the carrying amount of goodwill. The FASB also eliminated the requirements for entities that have reporting units with zero or negative carrying amounts to perform a qualitative assessment for the goodwill impairment test. Instead, those entities would be required to disclose the amount of goodwill allocated to each reporting unit with a zero or negative carrying amount. The new guidance is effective for interim or annual goodwill impairment tests performed in fiscal years beginning after December 15, 2019, with early adoption permitted. The Company is currently evaluating the new guidance.</w:t>
      </w:r>
    </w:p>
    <w:p>
      <w:pPr>
        <w:spacing w:after="0" w:line="362"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117"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Company’s receivables represent fee receivables, amounts due from customers and other receivables, and amounts due from Lazard Ltd subsidiaries.</w:t>
      </w:r>
    </w:p>
    <w:p>
      <w:pPr>
        <w:spacing w:after="0" w:line="170"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Activity in the allowance for doubtful accounts for the three month and six month periods ended June 30, 2017 and 2016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w w:val="95"/>
              </w:rPr>
              <w:t>Three Months Ended</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9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305"/>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98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800" w:type="dxa"/>
            <w:vAlign w:val="bottom"/>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29,662</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11,230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12,882</w:t>
            </w:r>
          </w:p>
        </w:tc>
        <w:tc>
          <w:tcPr>
            <w:tcW w:w="12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2,065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13,831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2,579</w:t>
            </w:r>
          </w:p>
        </w:tc>
        <w:tc>
          <w:tcPr>
            <w:tcW w:w="120" w:type="dxa"/>
            <w:vAlign w:val="bottom"/>
          </w:tcPr>
          <w:p>
            <w:pPr>
              <w:spacing w:after="0"/>
              <w:rPr>
                <w:sz w:val="19"/>
                <w:szCs w:val="19"/>
                <w:color w:val="auto"/>
              </w:rPr>
            </w:pPr>
          </w:p>
        </w:tc>
      </w:tr>
      <w:tr>
        <w:trPr>
          <w:trHeight w:val="215"/>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Charge-offs, foreign currency translation and other</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w:t>
            </w:r>
          </w:p>
        </w:tc>
        <w:tc>
          <w:tcPr>
            <w:tcW w:w="8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8"/>
              </w:rPr>
              <w:t>(4,748)</w:t>
            </w:r>
          </w:p>
        </w:tc>
        <w:tc>
          <w:tcPr>
            <w:tcW w:w="8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(5,123)</w:t>
            </w:r>
          </w:p>
        </w:tc>
        <w:tc>
          <w:tcPr>
            <w:tcW w:w="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(1,892)</w:t>
            </w: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Ending Balance</w:t>
            </w:r>
          </w:p>
        </w:tc>
        <w:tc>
          <w:tcPr>
            <w:tcW w:w="80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25,094</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13,569</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13,569</w:t>
            </w:r>
          </w:p>
        </w:tc>
        <w:tc>
          <w:tcPr>
            <w:tcW w:w="12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Bad debt expense, net of recoveries is included in “investment banking and other advisory fees” on the condensed consolidated statements of operations.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June 30, 2017 and December 31, 2016, the Company had receivables past due or deemed uncollectible of $38,732 and $22,212, respectively.</w:t>
      </w:r>
    </w:p>
    <w:p>
      <w:pPr>
        <w:spacing w:after="0" w:line="248"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Of the Company’s fee receivables at June 30, 2017 and December 31, 2016, $57,315 and $76,133, respectively, represented interest-bearing financing receivables. In addition, at June 30, 2017 and December 31, 2016, the Company had interest-bearing receivables from Lazard Ltd subsidiaries of $2,129 and $20,365, respectively. Based upon our historical loss experience, the credit quality of the counterparties, and the lack of past due or uncollectible amounts, there was no allowance for doubtful accounts required at those dates related to such receivables.</w:t>
      </w:r>
    </w:p>
    <w:p>
      <w:pPr>
        <w:spacing w:after="0" w:line="171" w:lineRule="exact"/>
        <w:rPr>
          <w:sz w:val="20"/>
          <w:szCs w:val="20"/>
          <w:color w:val="auto"/>
        </w:rPr>
      </w:pPr>
    </w:p>
    <w:p>
      <w:pPr>
        <w:ind w:right="840" w:firstLine="518"/>
        <w:spacing w:after="0" w:line="277" w:lineRule="auto"/>
        <w:rPr>
          <w:sz w:val="20"/>
          <w:szCs w:val="20"/>
          <w:color w:val="auto"/>
        </w:rPr>
      </w:pPr>
      <w:r>
        <w:rPr>
          <w:rFonts w:ascii="Arial" w:cs="Arial" w:eastAsia="Arial" w:hAnsi="Arial"/>
          <w:sz w:val="18"/>
          <w:szCs w:val="18"/>
          <w:color w:val="auto"/>
        </w:rPr>
        <w:t>The aggregate carrying amount of our non-interest bearing receivables of $612,230 and $570,486 at June 30, 2017 and December 31, 2016, respectively, approximates fair value.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June 30, 2017 and December 31,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CFF0FC"/>
            </w:tcBorders>
          </w:tcPr>
          <w:p>
            <w:pPr>
              <w:spacing w:after="0"/>
              <w:rPr>
                <w:sz w:val="14"/>
                <w:szCs w:val="14"/>
                <w:color w:val="auto"/>
              </w:rPr>
            </w:pPr>
          </w:p>
        </w:tc>
        <w:tc>
          <w:tcPr>
            <w:tcW w:w="4820" w:type="dxa"/>
            <w:vAlign w:val="bottom"/>
            <w:tcBorders>
              <w:bottom w:val="single" w:sz="8" w:color="CFF0FC"/>
            </w:tcBorders>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Interest-bearing deposits</w:t>
            </w:r>
          </w:p>
        </w:tc>
        <w:tc>
          <w:tcPr>
            <w:tcW w:w="1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Debt</w:t>
            </w:r>
          </w:p>
        </w:tc>
        <w:tc>
          <w:tcPr>
            <w:tcW w:w="1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Equities</w:t>
            </w:r>
          </w:p>
        </w:tc>
        <w:tc>
          <w:tcPr>
            <w:tcW w:w="1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Funds:</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Alternative investments (a)</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ind w:left="260"/>
              <w:spacing w:after="0"/>
              <w:rPr>
                <w:sz w:val="20"/>
                <w:szCs w:val="20"/>
                <w:color w:val="auto"/>
              </w:rPr>
            </w:pPr>
            <w:r>
              <w:rPr>
                <w:rFonts w:ascii="Arial" w:cs="Arial" w:eastAsia="Arial" w:hAnsi="Arial"/>
                <w:sz w:val="18"/>
                <w:szCs w:val="18"/>
                <w:color w:val="auto"/>
              </w:rPr>
              <w:t>Debt (a)</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86,294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74,597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 (a)</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186,034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Private equity</w:t>
            </w:r>
          </w:p>
        </w:tc>
        <w:tc>
          <w:tcPr>
            <w:tcW w:w="1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79,036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FF0FC"/>
          </w:tcPr>
          <w:p>
            <w:pPr>
              <w:spacing w:after="0"/>
              <w:rPr>
                <w:sz w:val="19"/>
                <w:szCs w:val="19"/>
                <w:color w:val="auto"/>
              </w:rPr>
            </w:pPr>
          </w:p>
        </w:tc>
        <w:tc>
          <w:tcPr>
            <w:tcW w:w="48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374,820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417,727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Equity method</w:t>
            </w:r>
          </w:p>
        </w:tc>
        <w:tc>
          <w:tcPr>
            <w:tcW w:w="1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421,727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459,422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Less:</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Interest-bearing deposits</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Equity method</w:t>
            </w:r>
          </w:p>
        </w:tc>
        <w:tc>
          <w:tcPr>
            <w:tcW w:w="1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1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420,964</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458,744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20" w:right="60" w:hanging="512"/>
        <w:spacing w:after="0" w:line="25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$13,804, $48,374 and $119,648, respectively, at June 30, 2017 and $13,080, $37,869 and $128,219, respectively, at December 31, 2016,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6 and 12).</w:t>
      </w:r>
    </w:p>
    <w:p>
      <w:pPr>
        <w:spacing w:after="0" w:line="202" w:lineRule="exact"/>
        <w:rPr>
          <w:sz w:val="20"/>
          <w:szCs w:val="20"/>
          <w:color w:val="auto"/>
        </w:rPr>
      </w:pPr>
    </w:p>
    <w:p>
      <w:pPr>
        <w:ind w:right="940" w:firstLine="518"/>
        <w:spacing w:after="0" w:line="277"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Alternative investment funds primarily consist of interests in various Lazard-managed hedge funds, funds of funds and mutual funds.</w:t>
      </w:r>
    </w:p>
    <w:p>
      <w:pPr>
        <w:spacing w:after="0" w:line="225"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70"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70" w:lineRule="exact"/>
        <w:rPr>
          <w:sz w:val="20"/>
          <w:szCs w:val="20"/>
          <w:color w:val="auto"/>
        </w:rPr>
      </w:pPr>
    </w:p>
    <w:p>
      <w:pPr>
        <w:ind w:right="300" w:firstLine="518"/>
        <w:spacing w:after="0" w:line="297"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(ii) a fund targeting significant noncontrolling-stake investments in established private companies and (iii) until the second quarter of 2017, a mezzanine fund (the “Mezzanine Fund”), which invests in mezzanine debt of a diversified selection of small- to mid-cap European companies. Lazard sold its interest in the Mezzanine Fund in May 2017.</w:t>
      </w:r>
    </w:p>
    <w:p>
      <w:pPr>
        <w:spacing w:after="0" w:line="158"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40" w:firstLine="518"/>
        <w:spacing w:after="0" w:line="342" w:lineRule="auto"/>
        <w:rPr>
          <w:sz w:val="20"/>
          <w:szCs w:val="20"/>
          <w:color w:val="auto"/>
        </w:rPr>
      </w:pPr>
      <w:r>
        <w:rPr>
          <w:rFonts w:ascii="Arial" w:cs="Arial" w:eastAsia="Arial" w:hAnsi="Arial"/>
          <w:sz w:val="16"/>
          <w:szCs w:val="16"/>
          <w:color w:val="auto"/>
        </w:rPr>
        <w:t>During the three month and six month periods ended June 30, 2017 and 2016, the Company reported in “revenue-other” on its condensed consolidated statements of operations net unrealized investment gains and losses pertaining to “trading” securities still held as of the reporting date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180" w:type="dxa"/>
            <w:vAlign w:val="bottom"/>
            <w:gridSpan w:val="4"/>
          </w:tcPr>
          <w:p>
            <w:pPr>
              <w:jc w:val="center"/>
              <w:ind w:left="267"/>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299"/>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544"/>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unrealized investment gains</w:t>
            </w: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84"/>
              </w:rPr>
              <w:t>7,803</w:t>
            </w:r>
          </w:p>
        </w:tc>
        <w:tc>
          <w:tcPr>
            <w:tcW w:w="1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20,983</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recorded at fair value into a three-level fair value hierarchy as follows:</w:t>
      </w:r>
    </w:p>
    <w:p>
      <w:pPr>
        <w:spacing w:after="0" w:line="62" w:lineRule="exact"/>
        <w:rPr>
          <w:sz w:val="20"/>
          <w:szCs w:val="20"/>
          <w:color w:val="auto"/>
        </w:rPr>
      </w:pPr>
    </w:p>
    <w:p>
      <w:pPr>
        <w:ind w:left="1040" w:right="240" w:hanging="1025"/>
        <w:spacing w:after="0" w:line="277" w:lineRule="auto"/>
        <w:tabs>
          <w:tab w:leader="none" w:pos="102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62" w:lineRule="exact"/>
        <w:rPr>
          <w:sz w:val="20"/>
          <w:szCs w:val="20"/>
          <w:color w:val="auto"/>
        </w:rPr>
      </w:pPr>
    </w:p>
    <w:p>
      <w:pPr>
        <w:ind w:left="1040" w:right="500" w:hanging="1025"/>
        <w:spacing w:after="0" w:line="264" w:lineRule="auto"/>
        <w:tabs>
          <w:tab w:leader="none" w:pos="102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or (ii) inputs other than quoted prices that are directly observable or derived principally from, or corroborated by, market data.</w:t>
      </w:r>
    </w:p>
    <w:p>
      <w:pPr>
        <w:spacing w:after="0" w:line="73" w:lineRule="exact"/>
        <w:rPr>
          <w:sz w:val="20"/>
          <w:szCs w:val="20"/>
          <w:color w:val="auto"/>
        </w:rPr>
      </w:pPr>
    </w:p>
    <w:p>
      <w:pPr>
        <w:ind w:left="1040" w:right="140" w:hanging="1025"/>
        <w:spacing w:after="0" w:line="257" w:lineRule="auto"/>
        <w:tabs>
          <w:tab w:leader="none" w:pos="102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88"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8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70"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 fair value of securities sold, not yet purchased, is classified as Level 1 when the fair values are based on unadjusted quoted prices in active markets.</w:t>
      </w:r>
    </w:p>
    <w:p>
      <w:pPr>
        <w:spacing w:after="0" w:line="170" w:lineRule="exact"/>
        <w:rPr>
          <w:sz w:val="20"/>
          <w:szCs w:val="20"/>
          <w:color w:val="auto"/>
        </w:rPr>
      </w:pPr>
    </w:p>
    <w:p>
      <w:pPr>
        <w:ind w:right="560" w:firstLine="518"/>
        <w:spacing w:after="0" w:line="293" w:lineRule="auto"/>
        <w:rPr>
          <w:sz w:val="20"/>
          <w:szCs w:val="20"/>
          <w:color w:val="auto"/>
        </w:rPr>
      </w:pPr>
      <w:r>
        <w:rPr>
          <w:rFonts w:ascii="Arial" w:cs="Arial" w:eastAsia="Arial" w:hAnsi="Arial"/>
          <w:sz w:val="16"/>
          <w:szCs w:val="16"/>
          <w:color w:val="auto"/>
        </w:rPr>
        <w:t>The fair value of the contingent consideration liability is classified as Level 3 and the estimated fair value of the liability is remeasured at each reporting period. The inputs used to derive the fair value of the contingent consideration include the application of probabilities when assessing certain performance thresholds for the relevant periods. Any change in the fair value is recognized in “amortization and other acquisition-related costs” in the condensed consolidated statement of operations. Our business acquisitions may involve the potential payment of contingent consideration upon the achievement of certain performance thresholds. The contingent consideration liability is initially recorded at the estimated fair value of the contingent payments on the acquisition date and is included in “other liabilities” on the condensed consolidated statements of financial condition. See Note 10.</w:t>
      </w:r>
    </w:p>
    <w:p>
      <w:pPr>
        <w:spacing w:after="0" w:line="16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fair value of derivatives entered into by the Company is classified as Level 2 and is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6.</w:t>
      </w:r>
    </w:p>
    <w:p>
      <w:pPr>
        <w:spacing w:after="0" w:line="193"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b w:val="1"/>
          <w:bCs w:val="1"/>
          <w:i w:val="1"/>
          <w:iCs w:val="1"/>
          <w:color w:val="auto"/>
        </w:rPr>
        <w:t>Investments Measured at Net Asset Value (“NAV”)</w:t>
      </w:r>
      <w:r>
        <w:rPr>
          <w:rFonts w:ascii="Arial" w:cs="Arial" w:eastAsia="Arial" w:hAnsi="Arial"/>
          <w:sz w:val="18"/>
          <w:szCs w:val="18"/>
          <w:color w:val="auto"/>
        </w:rPr>
        <w:t>—As a practical expedient, the Company uses NAV or its equivalent to measure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investments. NAV is primarily determined based on information provided by external fund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spacing w:after="0" w:line="147" w:lineRule="exact"/>
        <w:rPr>
          <w:sz w:val="20"/>
          <w:szCs w:val="20"/>
          <w:color w:val="auto"/>
        </w:rPr>
      </w:pPr>
    </w:p>
    <w:p>
      <w:pPr>
        <w:ind w:right="260" w:firstLine="518"/>
        <w:spacing w:after="0" w:line="342" w:lineRule="auto"/>
        <w:rPr>
          <w:sz w:val="20"/>
          <w:szCs w:val="20"/>
          <w:color w:val="auto"/>
        </w:rPr>
      </w:pPr>
      <w:r>
        <w:rPr>
          <w:rFonts w:ascii="Arial" w:cs="Arial" w:eastAsia="Arial" w:hAnsi="Arial"/>
          <w:sz w:val="16"/>
          <w:szCs w:val="16"/>
          <w:color w:val="auto"/>
        </w:rPr>
        <w:t>The following tables present, as of June 30, 2017 and December 31, 2016, the classification of (i) investments and certain other assets and liabilities measured at fair value on a recurring basis within the fair value hierarchy and (ii) investments measured at NAV or its equivalent as a practical expedient: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2017</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43,065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3,072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46,137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7,808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86,287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86,294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185,987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186,034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79,036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79,036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330,994</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86,898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423,559</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4,527</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4,108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176,300</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176,300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4,527</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176,300</w:t>
            </w: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39,509</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Debt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74,591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74,597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188,229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188,268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122,421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122,421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327,645</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129,591</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460,737</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4,482</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182,223</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182,223</w:t>
            </w: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3,364</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11"/>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7" w:name="page18"/>
    <w:bookmarkEnd w:id="1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following tables provide a summary of changes in fair value of the Company’s Level 3 assets and liabilities for the three month and six month periods ended June 30, 2017 and 2016: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10"/>
          </w:tcPr>
          <w:p>
            <w:pPr>
              <w:jc w:val="center"/>
              <w:ind w:right="80"/>
              <w:spacing w:after="0"/>
              <w:rPr>
                <w:sz w:val="20"/>
                <w:szCs w:val="20"/>
                <w:color w:val="auto"/>
              </w:rPr>
            </w:pPr>
            <w:r>
              <w:rPr>
                <w:rFonts w:ascii="Arial" w:cs="Arial" w:eastAsia="Arial" w:hAnsi="Arial"/>
                <w:sz w:val="14"/>
                <w:szCs w:val="14"/>
                <w:b w:val="1"/>
                <w:bCs w:val="1"/>
                <w:color w:val="auto"/>
                <w:w w:val="93"/>
              </w:rPr>
              <w:t>Three Months Ended June 30, 2017</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Net Unrealized/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88"/>
              <w:spacing w:after="0" w:line="149" w:lineRule="exact"/>
              <w:rPr>
                <w:sz w:val="20"/>
                <w:szCs w:val="20"/>
                <w:color w:val="auto"/>
              </w:rPr>
            </w:pPr>
            <w:r>
              <w:rPr>
                <w:rFonts w:ascii="Arial" w:cs="Arial" w:eastAsia="Arial" w:hAnsi="Arial"/>
                <w:sz w:val="14"/>
                <w:szCs w:val="14"/>
                <w:b w:val="1"/>
                <w:bCs w:val="1"/>
                <w:color w:val="auto"/>
                <w:w w:val="91"/>
              </w:rPr>
              <w:t>Realized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0"/>
              </w:rPr>
              <w:t>Beginning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8"/>
              <w:spacing w:after="0" w:line="149" w:lineRule="exact"/>
              <w:rPr>
                <w:sz w:val="20"/>
                <w:szCs w:val="20"/>
                <w:color w:val="auto"/>
              </w:rPr>
            </w:pPr>
            <w:r>
              <w:rPr>
                <w:rFonts w:ascii="Arial" w:cs="Arial" w:eastAsia="Arial" w:hAnsi="Arial"/>
                <w:sz w:val="14"/>
                <w:szCs w:val="14"/>
                <w:b w:val="1"/>
                <w:bCs w:val="1"/>
                <w:color w:val="auto"/>
                <w:w w:val="87"/>
              </w:rPr>
              <w:t>Gains/Losses</w:t>
            </w:r>
          </w:p>
        </w:tc>
        <w:tc>
          <w:tcPr>
            <w:tcW w:w="160" w:type="dxa"/>
            <w:vAlign w:val="bottom"/>
          </w:tcPr>
          <w:p>
            <w:pPr>
              <w:spacing w:after="0"/>
              <w:rPr>
                <w:sz w:val="12"/>
                <w:szCs w:val="12"/>
                <w:color w:val="auto"/>
              </w:rPr>
            </w:pPr>
          </w:p>
        </w:tc>
        <w:tc>
          <w:tcPr>
            <w:tcW w:w="9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8"/>
              </w:rPr>
              <w:t>Purchases/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Sales/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Currency</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88"/>
              <w:spacing w:after="0" w:line="149" w:lineRule="exact"/>
              <w:rPr>
                <w:sz w:val="20"/>
                <w:szCs w:val="20"/>
                <w:color w:val="auto"/>
              </w:rPr>
            </w:pPr>
            <w:r>
              <w:rPr>
                <w:rFonts w:ascii="Arial" w:cs="Arial" w:eastAsia="Arial" w:hAnsi="Arial"/>
                <w:sz w:val="14"/>
                <w:szCs w:val="14"/>
                <w:b w:val="1"/>
                <w:bCs w:val="1"/>
                <w:color w:val="auto"/>
                <w:w w:val="97"/>
              </w:rPr>
              <w:t>Included In</w:t>
            </w:r>
          </w:p>
        </w:tc>
        <w:tc>
          <w:tcPr>
            <w:tcW w:w="1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Balance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w w:val="93"/>
              </w:rPr>
              <w:t>Earnings (a)</w:t>
            </w:r>
          </w:p>
        </w:tc>
        <w:tc>
          <w:tcPr>
            <w:tcW w:w="160" w:type="dxa"/>
            <w:vAlign w:val="bottom"/>
          </w:tcPr>
          <w:p>
            <w:pPr>
              <w:spacing w:after="0"/>
              <w:rPr>
                <w:sz w:val="14"/>
                <w:szCs w:val="14"/>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Acquisitions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Dispositions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Adjustments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right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left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320" w:type="dxa"/>
            <w:vAlign w:val="bottom"/>
            <w:gridSpan w:val="3"/>
            <w:shd w:val="clear" w:color="auto" w:fill="CFF0FC"/>
          </w:tcPr>
          <w:p>
            <w:pPr>
              <w:ind w:left="24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60" w:type="dxa"/>
            <w:vAlign w:val="bottom"/>
            <w:shd w:val="clear" w:color="auto" w:fill="CFF0FC"/>
          </w:tcPr>
          <w:p>
            <w:pPr>
              <w:spacing w:after="0"/>
              <w:rPr>
                <w:sz w:val="19"/>
                <w:szCs w:val="19"/>
                <w:color w:val="auto"/>
              </w:rPr>
            </w:pPr>
          </w:p>
        </w:tc>
        <w:tc>
          <w:tcPr>
            <w:tcW w:w="34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6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6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left w:val="single" w:sz="8" w:color="CFF0FC"/>
            </w:tcBorders>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4,078</w:t>
            </w:r>
          </w:p>
        </w:tc>
        <w:tc>
          <w:tcPr>
            <w:tcW w:w="320" w:type="dxa"/>
            <w:vAlign w:val="bottom"/>
            <w:gridSpan w:val="3"/>
            <w:shd w:val="clear" w:color="auto" w:fill="CFF0FC"/>
          </w:tcPr>
          <w:p>
            <w:pPr>
              <w:ind w:left="24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4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0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9"/>
          </w:tcPr>
          <w:p>
            <w:pPr>
              <w:jc w:val="center"/>
              <w:ind w:right="120"/>
              <w:spacing w:after="0"/>
              <w:rPr>
                <w:sz w:val="20"/>
                <w:szCs w:val="20"/>
                <w:color w:val="auto"/>
              </w:rPr>
            </w:pPr>
            <w:r>
              <w:rPr>
                <w:rFonts w:ascii="Arial" w:cs="Arial" w:eastAsia="Arial" w:hAnsi="Arial"/>
                <w:sz w:val="14"/>
                <w:szCs w:val="14"/>
                <w:b w:val="1"/>
                <w:bCs w:val="1"/>
                <w:color w:val="auto"/>
                <w:w w:val="92"/>
              </w:rPr>
              <w:t>Six Months Ended June 30, 2017</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8"/>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88"/>
              <w:spacing w:after="0" w:line="149" w:lineRule="exact"/>
              <w:rPr>
                <w:sz w:val="20"/>
                <w:szCs w:val="20"/>
                <w:color w:val="auto"/>
              </w:rPr>
            </w:pPr>
            <w:r>
              <w:rPr>
                <w:rFonts w:ascii="Arial" w:cs="Arial" w:eastAsia="Arial" w:hAnsi="Arial"/>
                <w:sz w:val="14"/>
                <w:szCs w:val="14"/>
                <w:b w:val="1"/>
                <w:bCs w:val="1"/>
                <w:color w:val="auto"/>
                <w:w w:val="91"/>
              </w:rPr>
              <w:t>Realized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0"/>
              </w:rPr>
              <w:t>Beginning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8"/>
              <w:spacing w:after="0" w:line="149" w:lineRule="exact"/>
              <w:rPr>
                <w:sz w:val="20"/>
                <w:szCs w:val="20"/>
                <w:color w:val="auto"/>
              </w:rPr>
            </w:pPr>
            <w:r>
              <w:rPr>
                <w:rFonts w:ascii="Arial" w:cs="Arial" w:eastAsia="Arial" w:hAnsi="Arial"/>
                <w:sz w:val="14"/>
                <w:szCs w:val="14"/>
                <w:b w:val="1"/>
                <w:bCs w:val="1"/>
                <w:color w:val="auto"/>
                <w:w w:val="87"/>
              </w:rPr>
              <w:t>Gains/Losses</w:t>
            </w:r>
          </w:p>
        </w:tc>
        <w:tc>
          <w:tcPr>
            <w:tcW w:w="160" w:type="dxa"/>
            <w:vAlign w:val="bottom"/>
          </w:tcPr>
          <w:p>
            <w:pPr>
              <w:spacing w:after="0"/>
              <w:rPr>
                <w:sz w:val="12"/>
                <w:szCs w:val="12"/>
                <w:color w:val="auto"/>
              </w:rPr>
            </w:pPr>
          </w:p>
        </w:tc>
        <w:tc>
          <w:tcPr>
            <w:tcW w:w="9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8"/>
              </w:rPr>
              <w:t>Purchases/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Sales/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Currency</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88"/>
              <w:spacing w:after="0" w:line="149" w:lineRule="exact"/>
              <w:rPr>
                <w:sz w:val="20"/>
                <w:szCs w:val="20"/>
                <w:color w:val="auto"/>
              </w:rPr>
            </w:pPr>
            <w:r>
              <w:rPr>
                <w:rFonts w:ascii="Arial" w:cs="Arial" w:eastAsia="Arial" w:hAnsi="Arial"/>
                <w:sz w:val="14"/>
                <w:szCs w:val="14"/>
                <w:b w:val="1"/>
                <w:bCs w:val="1"/>
                <w:color w:val="auto"/>
                <w:w w:val="97"/>
              </w:rPr>
              <w:t>Included In</w:t>
            </w:r>
          </w:p>
        </w:tc>
        <w:tc>
          <w:tcPr>
            <w:tcW w:w="1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Balance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w w:val="93"/>
              </w:rPr>
              <w:t>Earnings (a)</w:t>
            </w:r>
          </w:p>
        </w:tc>
        <w:tc>
          <w:tcPr>
            <w:tcW w:w="160" w:type="dxa"/>
            <w:vAlign w:val="bottom"/>
          </w:tcPr>
          <w:p>
            <w:pPr>
              <w:spacing w:after="0"/>
              <w:rPr>
                <w:sz w:val="14"/>
                <w:szCs w:val="14"/>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Acquisitions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Dispositions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Adjustments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right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left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320" w:type="dxa"/>
            <w:vAlign w:val="bottom"/>
            <w:gridSpan w:val="3"/>
            <w:shd w:val="clear" w:color="auto" w:fill="CFF0FC"/>
          </w:tcPr>
          <w:p>
            <w:pPr>
              <w:ind w:left="24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60" w:type="dxa"/>
            <w:vAlign w:val="bottom"/>
            <w:shd w:val="clear" w:color="auto" w:fill="CFF0FC"/>
          </w:tcPr>
          <w:p>
            <w:pPr>
              <w:spacing w:after="0"/>
              <w:rPr>
                <w:sz w:val="19"/>
                <w:szCs w:val="19"/>
                <w:color w:val="auto"/>
              </w:rPr>
            </w:pPr>
          </w:p>
        </w:tc>
        <w:tc>
          <w:tcPr>
            <w:tcW w:w="34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vMerge w:val="restart"/>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1,508</w:t>
            </w:r>
          </w:p>
        </w:tc>
        <w:tc>
          <w:tcPr>
            <w:tcW w:w="14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w:t>
            </w:r>
          </w:p>
        </w:tc>
        <w:tc>
          <w:tcPr>
            <w:tcW w:w="60" w:type="dxa"/>
            <w:vAlign w:val="bottom"/>
            <w:vMerge w:val="continue"/>
          </w:tcPr>
          <w:p>
            <w:pPr>
              <w:spacing w:after="0"/>
              <w:rPr>
                <w:sz w:val="22"/>
                <w:szCs w:val="22"/>
                <w:color w:val="auto"/>
              </w:rPr>
            </w:pPr>
          </w:p>
        </w:tc>
        <w:tc>
          <w:tcPr>
            <w:tcW w:w="160" w:type="dxa"/>
            <w:vAlign w:val="bottom"/>
            <w:vMerge w:val="continue"/>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1,661</w:t>
            </w:r>
          </w:p>
        </w:tc>
        <w:tc>
          <w:tcPr>
            <w:tcW w:w="6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60" w:type="dxa"/>
            <w:vAlign w:val="bottom"/>
            <w:vMerge w:val="continue"/>
          </w:tcPr>
          <w:p>
            <w:pPr>
              <w:spacing w:after="0"/>
              <w:rPr>
                <w:sz w:val="22"/>
                <w:szCs w:val="22"/>
                <w:color w:val="auto"/>
              </w:rPr>
            </w:pPr>
          </w:p>
        </w:tc>
        <w:tc>
          <w:tcPr>
            <w:tcW w:w="40" w:type="dxa"/>
            <w:vAlign w:val="bottom"/>
            <w:vMerge w:val="continue"/>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right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left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3,364</w:t>
            </w:r>
          </w:p>
        </w:tc>
        <w:tc>
          <w:tcPr>
            <w:tcW w:w="320" w:type="dxa"/>
            <w:vAlign w:val="bottom"/>
            <w:gridSpan w:val="3"/>
            <w:shd w:val="clear" w:color="auto" w:fill="CFF0FC"/>
          </w:tcPr>
          <w:p>
            <w:pPr>
              <w:ind w:left="24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w:t>
            </w:r>
          </w:p>
        </w:tc>
        <w:tc>
          <w:tcPr>
            <w:tcW w:w="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4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0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10"/>
          </w:tcPr>
          <w:p>
            <w:pPr>
              <w:jc w:val="center"/>
              <w:ind w:right="40"/>
              <w:spacing w:after="0"/>
              <w:rPr>
                <w:sz w:val="20"/>
                <w:szCs w:val="20"/>
                <w:color w:val="auto"/>
              </w:rPr>
            </w:pPr>
            <w:r>
              <w:rPr>
                <w:rFonts w:ascii="Arial" w:cs="Arial" w:eastAsia="Arial" w:hAnsi="Arial"/>
                <w:sz w:val="14"/>
                <w:szCs w:val="14"/>
                <w:b w:val="1"/>
                <w:bCs w:val="1"/>
                <w:color w:val="auto"/>
                <w:w w:val="93"/>
              </w:rPr>
              <w:t>Three Months Ended June 30, 2016</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4"/>
          </w:tcPr>
          <w:p>
            <w:pPr>
              <w:ind w:left="80"/>
              <w:spacing w:after="0" w:line="133" w:lineRule="exact"/>
              <w:rPr>
                <w:sz w:val="20"/>
                <w:szCs w:val="20"/>
                <w:color w:val="auto"/>
              </w:rPr>
            </w:pPr>
            <w:r>
              <w:rPr>
                <w:rFonts w:ascii="Arial" w:cs="Arial" w:eastAsia="Arial" w:hAnsi="Arial"/>
                <w:sz w:val="14"/>
                <w:szCs w:val="14"/>
                <w:b w:val="1"/>
                <w:bCs w:val="1"/>
                <w:color w:val="auto"/>
              </w:rPr>
              <w:t>Net Unrealized/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3"/>
              </w:rPr>
              <w:t>Foreign</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8"/>
              <w:spacing w:after="0" w:line="149" w:lineRule="exact"/>
              <w:rPr>
                <w:sz w:val="20"/>
                <w:szCs w:val="20"/>
                <w:color w:val="auto"/>
              </w:rPr>
            </w:pPr>
            <w:r>
              <w:rPr>
                <w:rFonts w:ascii="Arial" w:cs="Arial" w:eastAsia="Arial" w:hAnsi="Arial"/>
                <w:sz w:val="14"/>
                <w:szCs w:val="14"/>
                <w:b w:val="1"/>
                <w:bCs w:val="1"/>
                <w:color w:val="auto"/>
                <w:w w:val="94"/>
              </w:rPr>
              <w:t>Realized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0"/>
              </w:rPr>
              <w:t>Beginning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48"/>
              <w:spacing w:after="0" w:line="149" w:lineRule="exact"/>
              <w:rPr>
                <w:sz w:val="20"/>
                <w:szCs w:val="20"/>
                <w:color w:val="auto"/>
              </w:rPr>
            </w:pPr>
            <w:r>
              <w:rPr>
                <w:rFonts w:ascii="Arial" w:cs="Arial" w:eastAsia="Arial" w:hAnsi="Arial"/>
                <w:sz w:val="14"/>
                <w:szCs w:val="14"/>
                <w:b w:val="1"/>
                <w:bCs w:val="1"/>
                <w:color w:val="auto"/>
                <w:w w:val="87"/>
              </w:rPr>
              <w:t>Gains/Losses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Purchases/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Sales/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Currency</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8"/>
              <w:spacing w:after="0" w:line="149" w:lineRule="exact"/>
              <w:rPr>
                <w:sz w:val="20"/>
                <w:szCs w:val="20"/>
                <w:color w:val="auto"/>
              </w:rPr>
            </w:pPr>
            <w:r>
              <w:rPr>
                <w:rFonts w:ascii="Arial" w:cs="Arial" w:eastAsia="Arial" w:hAnsi="Arial"/>
                <w:sz w:val="14"/>
                <w:szCs w:val="14"/>
                <w:b w:val="1"/>
                <w:bCs w:val="1"/>
                <w:color w:val="auto"/>
                <w:w w:val="94"/>
              </w:rPr>
              <w:t>Included In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Balance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w w:val="96"/>
              </w:rPr>
              <w:t>Earnings (a)</w:t>
            </w:r>
          </w:p>
        </w:tc>
        <w:tc>
          <w:tcPr>
            <w:tcW w:w="16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Dispositions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Adjustments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right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left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1,301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center"/>
              <w:ind w:left="651"/>
              <w:spacing w:after="0"/>
              <w:rPr>
                <w:sz w:val="20"/>
                <w:szCs w:val="20"/>
                <w:color w:val="auto"/>
              </w:rPr>
            </w:pPr>
            <w:r>
              <w:rPr>
                <w:rFonts w:ascii="Arial" w:cs="Arial" w:eastAsia="Arial" w:hAnsi="Arial"/>
                <w:sz w:val="18"/>
                <w:szCs w:val="18"/>
                <w:color w:val="auto"/>
                <w:w w:val="99"/>
              </w:rPr>
              <w:t>-</w:t>
            </w:r>
          </w:p>
        </w:tc>
        <w:tc>
          <w:tcPr>
            <w:tcW w:w="340" w:type="dxa"/>
            <w:vAlign w:val="bottom"/>
            <w:gridSpan w:val="3"/>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FF0FC"/>
          </w:tcPr>
          <w:p>
            <w:pPr>
              <w:ind w:left="560"/>
              <w:spacing w:after="0"/>
              <w:rPr>
                <w:sz w:val="20"/>
                <w:szCs w:val="20"/>
                <w:color w:val="auto"/>
              </w:rPr>
            </w:pPr>
            <w:r>
              <w:rPr>
                <w:rFonts w:ascii="Arial" w:cs="Arial" w:eastAsia="Arial" w:hAnsi="Arial"/>
                <w:sz w:val="18"/>
                <w:szCs w:val="18"/>
                <w:color w:val="auto"/>
              </w:rPr>
              <w:t>(10)</w:t>
            </w: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gridSpan w:val="2"/>
          </w:tcPr>
          <w:p>
            <w:pPr>
              <w:jc w:val="center"/>
              <w:ind w:left="651"/>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tcPr>
          <w:p>
            <w:pPr>
              <w:ind w:left="560"/>
              <w:spacing w:after="0"/>
              <w:rPr>
                <w:sz w:val="20"/>
                <w:szCs w:val="20"/>
                <w:color w:val="auto"/>
              </w:rPr>
            </w:pPr>
            <w:r>
              <w:rPr>
                <w:rFonts w:ascii="Arial" w:cs="Arial" w:eastAsia="Arial" w:hAnsi="Arial"/>
                <w:sz w:val="18"/>
                <w:szCs w:val="18"/>
                <w:color w:val="auto"/>
                <w:w w:val="74"/>
              </w:rPr>
              <w:t>(10)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9"/>
          </w:tcPr>
          <w:p>
            <w:pPr>
              <w:jc w:val="center"/>
              <w:ind w:right="120"/>
              <w:spacing w:after="0"/>
              <w:rPr>
                <w:sz w:val="20"/>
                <w:szCs w:val="20"/>
                <w:color w:val="auto"/>
              </w:rPr>
            </w:pPr>
            <w:r>
              <w:rPr>
                <w:rFonts w:ascii="Arial" w:cs="Arial" w:eastAsia="Arial" w:hAnsi="Arial"/>
                <w:sz w:val="14"/>
                <w:szCs w:val="14"/>
                <w:b w:val="1"/>
                <w:bCs w:val="1"/>
                <w:color w:val="auto"/>
                <w:w w:val="92"/>
              </w:rPr>
              <w:t>Six Months Ended June 30, 2016</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8"/>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88"/>
              <w:spacing w:after="0" w:line="149" w:lineRule="exact"/>
              <w:rPr>
                <w:sz w:val="20"/>
                <w:szCs w:val="20"/>
                <w:color w:val="auto"/>
              </w:rPr>
            </w:pPr>
            <w:r>
              <w:rPr>
                <w:rFonts w:ascii="Arial" w:cs="Arial" w:eastAsia="Arial" w:hAnsi="Arial"/>
                <w:sz w:val="14"/>
                <w:szCs w:val="14"/>
                <w:b w:val="1"/>
                <w:bCs w:val="1"/>
                <w:color w:val="auto"/>
                <w:w w:val="91"/>
              </w:rPr>
              <w:t>Realized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0"/>
              </w:rPr>
              <w:t>Beginning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8"/>
              <w:spacing w:after="0" w:line="149" w:lineRule="exact"/>
              <w:rPr>
                <w:sz w:val="20"/>
                <w:szCs w:val="20"/>
                <w:color w:val="auto"/>
              </w:rPr>
            </w:pPr>
            <w:r>
              <w:rPr>
                <w:rFonts w:ascii="Arial" w:cs="Arial" w:eastAsia="Arial" w:hAnsi="Arial"/>
                <w:sz w:val="14"/>
                <w:szCs w:val="14"/>
                <w:b w:val="1"/>
                <w:bCs w:val="1"/>
                <w:color w:val="auto"/>
                <w:w w:val="87"/>
              </w:rPr>
              <w:t>Gains/Losses</w:t>
            </w:r>
          </w:p>
        </w:tc>
        <w:tc>
          <w:tcPr>
            <w:tcW w:w="160" w:type="dxa"/>
            <w:vAlign w:val="bottom"/>
          </w:tcPr>
          <w:p>
            <w:pPr>
              <w:spacing w:after="0"/>
              <w:rPr>
                <w:sz w:val="12"/>
                <w:szCs w:val="12"/>
                <w:color w:val="auto"/>
              </w:rPr>
            </w:pPr>
          </w:p>
        </w:tc>
        <w:tc>
          <w:tcPr>
            <w:tcW w:w="9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8"/>
              </w:rPr>
              <w:t>Purchases/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Sales/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Currency</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88"/>
              <w:spacing w:after="0" w:line="149" w:lineRule="exact"/>
              <w:rPr>
                <w:sz w:val="20"/>
                <w:szCs w:val="20"/>
                <w:color w:val="auto"/>
              </w:rPr>
            </w:pPr>
            <w:r>
              <w:rPr>
                <w:rFonts w:ascii="Arial" w:cs="Arial" w:eastAsia="Arial" w:hAnsi="Arial"/>
                <w:sz w:val="14"/>
                <w:szCs w:val="14"/>
                <w:b w:val="1"/>
                <w:bCs w:val="1"/>
                <w:color w:val="auto"/>
                <w:w w:val="97"/>
              </w:rPr>
              <w:t>Included In</w:t>
            </w:r>
          </w:p>
        </w:tc>
        <w:tc>
          <w:tcPr>
            <w:tcW w:w="1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Balance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w w:val="93"/>
              </w:rPr>
              <w:t>Earnings (a)</w:t>
            </w:r>
          </w:p>
        </w:tc>
        <w:tc>
          <w:tcPr>
            <w:tcW w:w="160" w:type="dxa"/>
            <w:vAlign w:val="bottom"/>
          </w:tcPr>
          <w:p>
            <w:pPr>
              <w:spacing w:after="0"/>
              <w:rPr>
                <w:sz w:val="14"/>
                <w:szCs w:val="14"/>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Acquisitions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Dispositions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Adjustments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right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left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320" w:type="dxa"/>
            <w:vAlign w:val="bottom"/>
            <w:gridSpan w:val="3"/>
            <w:shd w:val="clear" w:color="auto" w:fill="CFF0FC"/>
          </w:tcPr>
          <w:p>
            <w:pPr>
              <w:ind w:left="24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4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24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19"/>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8" w:name="page19"/>
    <w:bookmarkEnd w:id="1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2090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39" w:lineRule="exact"/>
        <w:rPr>
          <w:sz w:val="20"/>
          <w:szCs w:val="20"/>
          <w:color w:val="auto"/>
        </w:rPr>
      </w:pPr>
    </w:p>
    <w:p>
      <w:pPr>
        <w:ind w:left="380" w:right="20" w:hanging="372"/>
        <w:spacing w:after="0" w:line="259"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Earnings recorded in “other revenue” for investments in equities for the three month and six month periods ended June 30, 2017 and the three month and six month periods ended June 30, 2016 include net unrealized gains (losses) of $(128), $(128), $2 and $5, respectively. Earnings recorded in “amortization and other acquisition-related costs” for the contingent consideration liability for the three month and six month periods ended June 30, 2017 includes unrealized losses of $30 and $744, respectively.</w:t>
      </w:r>
    </w:p>
    <w:p>
      <w:pPr>
        <w:spacing w:after="0" w:line="200"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six month periods ended June 30, 2017 and 2016. Certain investments that were valued at NAV as of December 31, 2016 were transferred to Level 2 from the NAV category in the six months ended June 30, 2017, as these investments were valued based on a probable transaction value as of the reporting date that differs from NAV. Such investments were sold in the second quarter of 2017.</w:t>
      </w:r>
    </w:p>
    <w:p>
      <w:pPr>
        <w:spacing w:after="0" w:line="18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following tables present, at June 30, 2017 and December 31, 2016, certain investments that are valued using NAV or its equivalent as a practical expedient in determining fair value: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June 30, 2017</w:t>
            </w: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2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35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60" w:type="dxa"/>
            <w:vAlign w:val="bottom"/>
            <w:tcBorders>
              <w:top w:val="single" w:sz="8" w:color="auto"/>
            </w:tcBorders>
            <w:vMerge w:val="restart"/>
          </w:tcPr>
          <w:p>
            <w:pPr>
              <w:jc w:val="center"/>
              <w:ind w:right="8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ind w:right="46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7"/>
              </w:rPr>
              <w:t>Unfunded</w:t>
            </w: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Next</w:t>
            </w:r>
          </w:p>
        </w:tc>
        <w:tc>
          <w:tcPr>
            <w:tcW w:w="1060" w:type="dxa"/>
            <w:vAlign w:val="bottom"/>
          </w:tcPr>
          <w:p>
            <w:pPr>
              <w:jc w:val="right"/>
              <w:ind w:right="402"/>
              <w:spacing w:after="0" w:line="149" w:lineRule="exact"/>
              <w:rPr>
                <w:sz w:val="20"/>
                <w:szCs w:val="20"/>
                <w:color w:val="auto"/>
              </w:rPr>
            </w:pPr>
            <w:r>
              <w:rPr>
                <w:rFonts w:ascii="Arial" w:cs="Arial" w:eastAsia="Arial" w:hAnsi="Arial"/>
                <w:sz w:val="14"/>
                <w:szCs w:val="14"/>
                <w:b w:val="1"/>
                <w:bCs w:val="1"/>
                <w:color w:val="auto"/>
              </w:rPr>
              <w:t>5-10</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Commitments</w:t>
            </w:r>
          </w:p>
        </w:tc>
        <w:tc>
          <w:tcPr>
            <w:tcW w:w="3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6,717</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days</w:t>
            </w:r>
          </w:p>
        </w:tc>
        <w:tc>
          <w:tcPr>
            <w:tcW w:w="0" w:type="dxa"/>
            <w:vAlign w:val="bottom"/>
          </w:tcPr>
          <w:p>
            <w:pPr>
              <w:spacing w:after="0"/>
              <w:rPr>
                <w:sz w:val="1"/>
                <w:szCs w:val="1"/>
                <w:color w:val="auto"/>
              </w:rPr>
            </w:pPr>
          </w:p>
        </w:tc>
      </w:tr>
      <w:tr>
        <w:trPr>
          <w:trHeight w:val="213"/>
        </w:trPr>
        <w:tc>
          <w:tcPr>
            <w:tcW w:w="212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2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79,036</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9,183</w:t>
            </w:r>
          </w:p>
        </w:tc>
        <w:tc>
          <w:tcPr>
            <w:tcW w:w="38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(f)</w:t>
            </w:r>
          </w:p>
        </w:tc>
        <w:tc>
          <w:tcPr>
            <w:tcW w:w="1180" w:type="dxa"/>
            <w:vAlign w:val="bottom"/>
            <w:tcBorders>
              <w:bottom w:val="single" w:sz="8" w:color="CFF0FC"/>
            </w:tcBorders>
            <w:gridSpan w:val="2"/>
          </w:tcPr>
          <w:p>
            <w:pPr>
              <w:ind w:left="660"/>
              <w:spacing w:after="0"/>
              <w:rPr>
                <w:sz w:val="20"/>
                <w:szCs w:val="20"/>
                <w:color w:val="auto"/>
              </w:rPr>
            </w:pPr>
            <w:r>
              <w:rPr>
                <w:rFonts w:ascii="Arial" w:cs="Arial" w:eastAsia="Arial" w:hAnsi="Arial"/>
                <w:sz w:val="16"/>
                <w:szCs w:val="16"/>
                <w:color w:val="auto"/>
              </w:rPr>
              <w:t>100%</w:t>
            </w:r>
          </w:p>
        </w:tc>
        <w:tc>
          <w:tcPr>
            <w:tcW w:w="10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w w:val="93"/>
              </w:rPr>
              <w:t>15%</w:t>
            </w:r>
          </w:p>
        </w:tc>
        <w:tc>
          <w:tcPr>
            <w:tcW w:w="10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w w:val="93"/>
              </w:rPr>
              <w:t>39%</w:t>
            </w:r>
          </w:p>
        </w:tc>
        <w:tc>
          <w:tcPr>
            <w:tcW w:w="12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w w:val="93"/>
              </w:rPr>
              <w:t>46%</w:t>
            </w:r>
          </w:p>
        </w:tc>
        <w:tc>
          <w:tcPr>
            <w:tcW w:w="120" w:type="dxa"/>
            <w:vAlign w:val="bottom"/>
            <w:tcBorders>
              <w:bottom w:val="single" w:sz="8" w:color="CFF0FC"/>
            </w:tcBorders>
          </w:tcPr>
          <w:p>
            <w:pPr>
              <w:spacing w:after="0"/>
              <w:rPr>
                <w:sz w:val="18"/>
                <w:szCs w:val="18"/>
                <w:color w:val="auto"/>
              </w:rPr>
            </w:pP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1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86,898</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9,183</w:t>
            </w:r>
          </w:p>
        </w:tc>
        <w:tc>
          <w:tcPr>
            <w:tcW w:w="3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9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weekly (53%), monthly (1%) and quarterly (46%)</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monthly (97%) and quarterly (3%)</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(18%), monthly (51%) and quarterly (31%)</w:t>
      </w:r>
    </w:p>
    <w:p>
      <w:pPr>
        <w:spacing w:after="0" w:line="9"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$6,904 are excluded. Such commitments are required to be funded by capital contributions from noncontrolling interest holders.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December 31, 2016</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0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 of</w:t>
            </w:r>
          </w:p>
        </w:tc>
        <w:tc>
          <w:tcPr>
            <w:tcW w:w="35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0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7"/>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Next</w:t>
            </w:r>
          </w:p>
        </w:tc>
        <w:tc>
          <w:tcPr>
            <w:tcW w:w="90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4"/>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5 Years</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Years</w:t>
            </w: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6,190</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3"/>
        </w:trPr>
        <w:tc>
          <w:tcPr>
            <w:tcW w:w="2160" w:type="dxa"/>
            <w:vAlign w:val="bottom"/>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60" w:type="dxa"/>
            <w:vAlign w:val="bottom"/>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days</w:t>
            </w:r>
          </w:p>
        </w:tc>
        <w:tc>
          <w:tcPr>
            <w:tcW w:w="0" w:type="dxa"/>
            <w:vAlign w:val="bottom"/>
          </w:tcPr>
          <w:p>
            <w:pPr>
              <w:spacing w:after="0"/>
              <w:rPr>
                <w:sz w:val="1"/>
                <w:szCs w:val="1"/>
                <w:color w:val="auto"/>
              </w:rPr>
            </w:pPr>
          </w:p>
        </w:tc>
      </w:tr>
      <w:tr>
        <w:trPr>
          <w:trHeight w:val="213"/>
        </w:trPr>
        <w:tc>
          <w:tcPr>
            <w:tcW w:w="2160" w:type="dxa"/>
            <w:vAlign w:val="bottom"/>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160" w:type="dxa"/>
            <w:vAlign w:val="bottom"/>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60" w:type="dxa"/>
            <w:vAlign w:val="bottom"/>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90,824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9,183</w:t>
            </w:r>
          </w:p>
        </w:tc>
        <w:tc>
          <w:tcPr>
            <w:tcW w:w="400" w:type="dxa"/>
            <w:vAlign w:val="bottom"/>
          </w:tcPr>
          <w:p>
            <w:pPr>
              <w:ind w:left="100"/>
              <w:spacing w:after="0"/>
              <w:rPr>
                <w:sz w:val="20"/>
                <w:szCs w:val="20"/>
                <w:color w:val="auto"/>
              </w:rPr>
            </w:pPr>
            <w:r>
              <w:rPr>
                <w:rFonts w:ascii="Arial" w:cs="Arial" w:eastAsia="Arial" w:hAnsi="Arial"/>
                <w:sz w:val="16"/>
                <w:szCs w:val="16"/>
                <w:color w:val="auto"/>
              </w:rPr>
              <w:t>(f)</w:t>
            </w:r>
          </w:p>
        </w:tc>
        <w:tc>
          <w:tcPr>
            <w:tcW w:w="1160" w:type="dxa"/>
            <w:vAlign w:val="bottom"/>
            <w:gridSpan w:val="2"/>
          </w:tcPr>
          <w:p>
            <w:pPr>
              <w:ind w:left="640"/>
              <w:spacing w:after="0"/>
              <w:rPr>
                <w:sz w:val="20"/>
                <w:szCs w:val="20"/>
                <w:color w:val="auto"/>
              </w:rPr>
            </w:pPr>
            <w:r>
              <w:rPr>
                <w:rFonts w:ascii="Arial" w:cs="Arial" w:eastAsia="Arial" w:hAnsi="Arial"/>
                <w:sz w:val="16"/>
                <w:szCs w:val="16"/>
                <w:color w:val="auto"/>
              </w:rPr>
              <w:t>100%</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33%</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55%</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2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Mezzanine debt</w:t>
            </w: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31,597</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100%</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7"/>
        </w:trPr>
        <w:tc>
          <w:tcPr>
            <w:tcW w:w="2160" w:type="dxa"/>
            <w:vAlign w:val="bottom"/>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129,591</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9,183</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32"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weekly (73%), monthly (2%) and quarterly (25%)</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(7%) and monthly (93%)</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(19%), monthly (50%) and quarterly (31%)</w:t>
      </w:r>
    </w:p>
    <w:p>
      <w:pPr>
        <w:spacing w:after="0" w:line="9"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$6,886 are excluded. Such commitments are required to be funded by capital contributions from noncontrolling interest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-979805</wp:posOffset>
            </wp:positionV>
            <wp:extent cx="12090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64"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June 30, 2017, the Company’s maximum unfunded commitments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primarily arose from commitments to EGCP III, which amounted to $8,613. The investment period for EGCP III ended on October 12, 2016, after which point the Company’s obligation to fund capital contributions for new investments in EGCP III expired. The Company remains obligated until October 12, 2023 (or any earlier liquidation of EGCP III) to make capital contributions necessary to fund follow-on investments and to pay for fund expenses.</w:t>
      </w:r>
    </w:p>
    <w:p>
      <w:pPr>
        <w:spacing w:after="0" w:line="377"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are generally included in “interest income” and “interest expense”, respectively, or “revenue-other”, depending on the nature of the underlying item, in the condensed consolidated statements of operations.</w:t>
      </w:r>
    </w:p>
    <w:p>
      <w:pPr>
        <w:spacing w:after="0" w:line="189"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6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table below presents the fair value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12) on the accompanying condensed consolidated statements of financial condition as of June 30, 2017 and December 31, 2016:</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454"/>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920" w:type="dxa"/>
            <w:vAlign w:val="bottom"/>
            <w:tcBorders>
              <w:bottom w:val="single" w:sz="8" w:color="CFF0FC"/>
            </w:tcBorders>
          </w:tcPr>
          <w:p>
            <w:pPr>
              <w:spacing w:after="0"/>
              <w:rPr>
                <w:sz w:val="14"/>
                <w:szCs w:val="14"/>
                <w:color w:val="auto"/>
              </w:rPr>
            </w:pPr>
          </w:p>
        </w:tc>
        <w:tc>
          <w:tcPr>
            <w:tcW w:w="4260" w:type="dxa"/>
            <w:vAlign w:val="bottom"/>
            <w:tcBorders>
              <w:bottom w:val="single" w:sz="8" w:color="CFF0FC"/>
            </w:tcBorders>
          </w:tcPr>
          <w:p>
            <w:pPr>
              <w:spacing w:after="0"/>
              <w:rPr>
                <w:sz w:val="14"/>
                <w:szCs w:val="14"/>
                <w:color w:val="auto"/>
              </w:rPr>
            </w:pPr>
          </w:p>
        </w:tc>
        <w:tc>
          <w:tcPr>
            <w:tcW w:w="16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1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20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2,595</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63"/>
        </w:trPr>
        <w:tc>
          <w:tcPr>
            <w:tcW w:w="1920" w:type="dxa"/>
            <w:vAlign w:val="bottom"/>
            <w:tcBorders>
              <w:bottom w:val="single" w:sz="8" w:color="CFF0FC"/>
            </w:tcBorders>
          </w:tcPr>
          <w:p>
            <w:pPr>
              <w:spacing w:after="0"/>
              <w:rPr>
                <w:sz w:val="22"/>
                <w:szCs w:val="22"/>
                <w:color w:val="auto"/>
              </w:rPr>
            </w:pPr>
          </w:p>
        </w:tc>
        <w:tc>
          <w:tcPr>
            <w:tcW w:w="4260" w:type="dxa"/>
            <w:vAlign w:val="bottom"/>
            <w:tcBorders>
              <w:bottom w:val="single" w:sz="8" w:color="CFF0FC"/>
            </w:tcBorders>
          </w:tcPr>
          <w:p>
            <w:pPr>
              <w:spacing w:after="0"/>
              <w:rPr>
                <w:sz w:val="22"/>
                <w:szCs w:val="22"/>
                <w:color w:val="auto"/>
              </w:rPr>
            </w:pPr>
          </w:p>
        </w:tc>
        <w:tc>
          <w:tcPr>
            <w:tcW w:w="168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Borders>
              <w:bottom w:val="single" w:sz="8" w:color="CFF0FC"/>
            </w:tcBorders>
          </w:tcPr>
          <w:p>
            <w:pPr>
              <w:spacing w:after="0"/>
              <w:rPr>
                <w:sz w:val="22"/>
                <w:szCs w:val="22"/>
                <w:color w:val="auto"/>
              </w:rPr>
            </w:pPr>
          </w:p>
        </w:tc>
      </w:tr>
      <w:tr>
        <w:trPr>
          <w:trHeight w:val="210"/>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Liabilities:</w:t>
            </w:r>
          </w:p>
        </w:tc>
        <w:tc>
          <w:tcPr>
            <w:tcW w:w="1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20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2,694</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9,043</w:t>
            </w: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and other similar deferred compensation arrangements</w:t>
            </w:r>
          </w:p>
        </w:tc>
        <w:tc>
          <w:tcPr>
            <w:tcW w:w="16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167,958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170,388</w:t>
            </w:r>
          </w:p>
        </w:tc>
        <w:tc>
          <w:tcPr>
            <w:tcW w:w="120" w:type="dxa"/>
            <w:vAlign w:val="bottom"/>
            <w:tcBorders>
              <w:bottom w:val="single" w:sz="8" w:color="CFF0FC"/>
            </w:tcBorders>
          </w:tcPr>
          <w:p>
            <w:pPr>
              <w:spacing w:after="0"/>
              <w:rPr>
                <w:sz w:val="19"/>
                <w:szCs w:val="19"/>
                <w:color w:val="auto"/>
              </w:rPr>
            </w:pPr>
          </w:p>
        </w:tc>
      </w:tr>
      <w:tr>
        <w:trPr>
          <w:trHeight w:val="223"/>
        </w:trPr>
        <w:tc>
          <w:tcPr>
            <w:tcW w:w="1920" w:type="dxa"/>
            <w:vAlign w:val="bottom"/>
            <w:tcBorders>
              <w:bottom w:val="single" w:sz="8" w:color="CFF0FC"/>
            </w:tcBorders>
            <w:shd w:val="clear" w:color="auto" w:fill="CFF0FC"/>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176,300</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182,223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2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26" w:lineRule="exact"/>
        <w:rPr>
          <w:sz w:val="20"/>
          <w:szCs w:val="20"/>
          <w:color w:val="auto"/>
        </w:rPr>
      </w:pPr>
    </w:p>
    <w:p>
      <w:pPr>
        <w:ind w:left="520" w:right="60" w:hanging="512"/>
        <w:spacing w:after="0" w:line="27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$413 and $6,061 as of June 30, 2017, respectively, and $357 and $9,400 as of December 31, 2016, respectively, for contracts with the same counterparty under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51" w:lineRule="exact"/>
        <w:rPr>
          <w:sz w:val="20"/>
          <w:szCs w:val="20"/>
          <w:color w:val="auto"/>
        </w:rPr>
      </w:pPr>
    </w:p>
    <w:p>
      <w:pPr>
        <w:ind w:left="520" w:right="220"/>
        <w:spacing w:after="0" w:line="277" w:lineRule="auto"/>
        <w:rPr>
          <w:sz w:val="20"/>
          <w:szCs w:val="20"/>
          <w:color w:val="auto"/>
        </w:rPr>
      </w:pPr>
      <w:r>
        <w:rPr>
          <w:rFonts w:ascii="Arial" w:cs="Arial" w:eastAsia="Arial" w:hAnsi="Arial"/>
          <w:sz w:val="18"/>
          <w:szCs w:val="18"/>
          <w:color w:val="auto"/>
        </w:rPr>
        <w:t>legally enforceable master netting agreements. Such amounts are recorded “net” in “other assets”, with receivables for net cash collateral under such contracts of $14,686 and $16,996 as of June 30, 2017 and December 31, 2016, respectively.</w:t>
      </w:r>
    </w:p>
    <w:p>
      <w:pPr>
        <w:spacing w:after="0" w:line="170"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and six month periods ended June 30, 2017 and 2016,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3"/>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Forward foreign currency exchange rate contracts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(6,630)</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(6,854)</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(5,753)</w:t>
            </w:r>
          </w:p>
        </w:tc>
        <w:tc>
          <w:tcPr>
            <w:tcW w:w="7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(13,106)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Total return swaps and other</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(3,597)</w:t>
            </w:r>
          </w:p>
        </w:tc>
        <w:tc>
          <w:tcPr>
            <w:tcW w:w="7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(169)</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(8,982)</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(206)</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(15,980)</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(27,246)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(4,858)</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June 30, 2017 and December 31, 2016, property consisted of the following:</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Depreciable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144,557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6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172,823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175,810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182,444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507,351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494,994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Accumulated depreciation and amortization</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307,072</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285,997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w:t>
            </w: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200,279</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208,997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June 30, 2017 and December 31, 2016 are presented below:</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317"/>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18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360,092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352,124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0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5,992</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6,858</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366,084</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358,982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20" w:firstLine="518"/>
        <w:spacing w:after="0" w:line="308" w:lineRule="auto"/>
        <w:rPr>
          <w:sz w:val="20"/>
          <w:szCs w:val="20"/>
          <w:color w:val="auto"/>
        </w:rPr>
      </w:pPr>
      <w:r>
        <w:rPr>
          <w:rFonts w:ascii="Arial" w:cs="Arial" w:eastAsia="Arial" w:hAnsi="Arial"/>
          <w:sz w:val="17"/>
          <w:szCs w:val="17"/>
          <w:color w:val="auto"/>
        </w:rPr>
        <w:t>At June 30, 2017 and December 31, 2016, goodwill of $295,551 and $287,583, respectively, was attributable to the Company’s Financial Advisory segment and, at each such respective date, $64,541 of goodwill was attributable to the Company’s Asset Management segment.</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carrying amount of goodwill for the six month periods ended June 30, 2017 and 2016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700" w:type="dxa"/>
            <w:vAlign w:val="bottom"/>
            <w:tcBorders>
              <w:bottom w:val="single" w:sz="8" w:color="CFF0FC"/>
            </w:tcBorders>
          </w:tcPr>
          <w:p>
            <w:pPr>
              <w:spacing w:after="0"/>
              <w:rPr>
                <w:sz w:val="13"/>
                <w:szCs w:val="13"/>
                <w:color w:val="auto"/>
              </w:rPr>
            </w:pPr>
          </w:p>
        </w:tc>
        <w:tc>
          <w:tcPr>
            <w:tcW w:w="25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25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352,124</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320,761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currency translation adjustments</w:t>
            </w:r>
          </w:p>
        </w:tc>
        <w:tc>
          <w:tcPr>
            <w:tcW w:w="25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7,968</w:t>
            </w:r>
          </w:p>
        </w:tc>
        <w:tc>
          <w:tcPr>
            <w:tcW w:w="2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w:t>
            </w:r>
          </w:p>
        </w:tc>
        <w:tc>
          <w:tcPr>
            <w:tcW w:w="25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360,092</w:t>
            </w:r>
          </w:p>
        </w:tc>
        <w:tc>
          <w:tcPr>
            <w:tcW w:w="2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322,939</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540" w:type="dxa"/>
            <w:vAlign w:val="bottom"/>
            <w:vMerge w:val="restart"/>
          </w:tcPr>
          <w:p>
            <w:pPr>
              <w:jc w:val="right"/>
              <w:ind w:right="1510"/>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1" w:name="page22"/>
    <w:bookmarkEnd w:id="2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67" w:lineRule="exact"/>
        <w:rPr>
          <w:sz w:val="20"/>
          <w:szCs w:val="20"/>
          <w:color w:val="auto"/>
        </w:rPr>
      </w:pPr>
    </w:p>
    <w:p>
      <w:pPr>
        <w:jc w:val="both"/>
        <w:ind w:right="240" w:firstLine="518"/>
        <w:spacing w:after="0" w:line="277" w:lineRule="auto"/>
        <w:rPr>
          <w:sz w:val="20"/>
          <w:szCs w:val="20"/>
          <w:color w:val="auto"/>
        </w:rPr>
      </w:pPr>
      <w:r>
        <w:rPr>
          <w:rFonts w:ascii="Arial" w:cs="Arial" w:eastAsia="Arial" w:hAnsi="Arial"/>
          <w:sz w:val="18"/>
          <w:szCs w:val="18"/>
          <w:color w:val="auto"/>
        </w:rPr>
        <w:t>All changes in the carrying amount of goodwill for the six month periods ended June 30, 2017 and 2016 are attributable to the Company’s Financial Advisory segment.</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gross cost and accumulated amortization of other intangible assets as of June 30, 2017 and December 31, 2016, by major intangible asset category,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June 30, 2017</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Accumulated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90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Amortization</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Success/performance fees</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33,040</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27,310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33,040</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26,543</w:t>
            </w:r>
          </w:p>
        </w:tc>
        <w:tc>
          <w:tcPr>
            <w:tcW w:w="18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rPr>
              <w:t>Management fees, customer relationships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and non-compete agreements</w:t>
            </w:r>
          </w:p>
        </w:tc>
        <w:tc>
          <w:tcPr>
            <w:tcW w:w="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33,436</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33,174</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33,436</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33,075</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66,476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60,484</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5,992</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66,476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59,618</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right="220" w:firstLine="380"/>
        <w:spacing w:after="0" w:line="286" w:lineRule="auto"/>
        <w:rPr>
          <w:sz w:val="20"/>
          <w:szCs w:val="20"/>
          <w:color w:val="auto"/>
        </w:rPr>
      </w:pPr>
      <w:r>
        <w:rPr>
          <w:rFonts w:ascii="Arial" w:cs="Arial" w:eastAsia="Arial" w:hAnsi="Arial"/>
          <w:sz w:val="17"/>
          <w:szCs w:val="17"/>
          <w:color w:val="auto"/>
        </w:rPr>
        <w:t>Amortization expense of intangible assets, included in “amortization and other acquisition-related costs” in the condensed consolidated statements of operations, for the three month and six month periods ended June 30, 2017 was $433 and $867, respectively, and for the three month and six month periods ended June 30, 2016 was $330 and $974, respectively. Estimated future amortization expense is as follows: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3400" w:type="dxa"/>
            <w:vAlign w:val="bottom"/>
            <w:vMerge w:val="restart"/>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78"/>
        </w:trPr>
        <w:tc>
          <w:tcPr>
            <w:tcW w:w="1660" w:type="dxa"/>
            <w:vAlign w:val="bottom"/>
            <w:tcBorders>
              <w:bottom w:val="single" w:sz="8" w:color="auto"/>
            </w:tcBorders>
            <w:gridSpan w:val="3"/>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2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Expense (a)</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2017 (July 1 through December 31)</w:t>
            </w:r>
          </w:p>
        </w:tc>
        <w:tc>
          <w:tcPr>
            <w:tcW w:w="24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2018</w:t>
            </w:r>
          </w:p>
        </w:tc>
        <w:tc>
          <w:tcPr>
            <w:tcW w:w="60" w:type="dxa"/>
            <w:vAlign w:val="bottom"/>
            <w:tcBorders>
              <w:bottom w:val="single" w:sz="8" w:color="CFF0FC"/>
            </w:tcBorders>
          </w:tcPr>
          <w:p>
            <w:pPr>
              <w:spacing w:after="0"/>
              <w:rPr>
                <w:sz w:val="19"/>
                <w:szCs w:val="19"/>
                <w:color w:val="auto"/>
              </w:rPr>
            </w:pPr>
          </w:p>
        </w:tc>
        <w:tc>
          <w:tcPr>
            <w:tcW w:w="3400" w:type="dxa"/>
            <w:vAlign w:val="bottom"/>
            <w:tcBorders>
              <w:bottom w:val="single" w:sz="8" w:color="CFF0FC"/>
            </w:tcBorders>
          </w:tcPr>
          <w:p>
            <w:pPr>
              <w:spacing w:after="0"/>
              <w:rPr>
                <w:sz w:val="19"/>
                <w:szCs w:val="19"/>
                <w:color w:val="auto"/>
              </w:rPr>
            </w:pPr>
          </w:p>
        </w:tc>
        <w:tc>
          <w:tcPr>
            <w:tcW w:w="24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amortization expense</w:t>
            </w:r>
          </w:p>
        </w:tc>
        <w:tc>
          <w:tcPr>
            <w:tcW w:w="24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400" w:type="dxa"/>
            <w:vAlign w:val="bottom"/>
          </w:tcPr>
          <w:p>
            <w:pPr>
              <w:spacing w:after="0"/>
              <w:rPr>
                <w:sz w:val="7"/>
                <w:szCs w:val="7"/>
                <w:color w:val="auto"/>
              </w:rPr>
            </w:pPr>
          </w:p>
        </w:tc>
        <w:tc>
          <w:tcPr>
            <w:tcW w:w="2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660" w:hanging="504"/>
        <w:spacing w:after="0"/>
        <w:tabs>
          <w:tab w:leader="none" w:pos="1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Approximately 35% of intangible asset amortization is attributable to a noncontrolling interest.</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June 30, 2017 and December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Initial</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Annual</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Outstanding as of</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4"/>
          </w:tcPr>
          <w:p>
            <w:pPr>
              <w:ind w:left="100"/>
              <w:spacing w:after="0" w:line="155" w:lineRule="exact"/>
              <w:rPr>
                <w:sz w:val="20"/>
                <w:szCs w:val="20"/>
                <w:color w:val="auto"/>
              </w:rPr>
            </w:pPr>
            <w:r>
              <w:rPr>
                <w:rFonts w:ascii="Arial" w:cs="Arial" w:eastAsia="Arial" w:hAnsi="Arial"/>
                <w:sz w:val="14"/>
                <w:szCs w:val="14"/>
                <w:b w:val="1"/>
                <w:bCs w:val="1"/>
                <w:color w:val="auto"/>
              </w:rPr>
              <w:t>June 30, 2017</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6"/>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2016</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Principal</w:t>
            </w:r>
          </w:p>
        </w:tc>
        <w:tc>
          <w:tcPr>
            <w:tcW w:w="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Maturity</w:t>
            </w:r>
          </w:p>
        </w:tc>
        <w:tc>
          <w:tcPr>
            <w:tcW w:w="86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1"/>
                <w:szCs w:val="11"/>
                <w:color w:val="auto"/>
              </w:rPr>
            </w:pPr>
          </w:p>
        </w:tc>
        <w:tc>
          <w:tcPr>
            <w:tcW w:w="92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Unamortized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78"/>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7"/>
              </w:rPr>
              <w:t>Carrying</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Rate(a)</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Debt Costs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78"/>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25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Lazard Group 2020</w:t>
            </w: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70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6"/>
              </w:rPr>
              <w:t>500,000</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11/14/20</w:t>
            </w: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FF0FC"/>
          </w:tcPr>
          <w:p>
            <w:pPr>
              <w:spacing w:after="0"/>
              <w:rPr>
                <w:sz w:val="20"/>
                <w:szCs w:val="20"/>
                <w:color w:val="auto"/>
              </w:rPr>
            </w:pPr>
          </w:p>
        </w:tc>
        <w:tc>
          <w:tcPr>
            <w:tcW w:w="3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3,108</w:t>
            </w:r>
          </w:p>
        </w:tc>
        <w:tc>
          <w:tcPr>
            <w:tcW w:w="1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496,892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42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3,569</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496,431</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40" w:type="dxa"/>
            <w:vAlign w:val="bottom"/>
            <w:gridSpan w:val="2"/>
          </w:tcPr>
          <w:p>
            <w:pPr>
              <w:spacing w:after="0"/>
              <w:rPr>
                <w:sz w:val="20"/>
                <w:szCs w:val="20"/>
                <w:color w:val="auto"/>
              </w:rPr>
            </w:pPr>
            <w:r>
              <w:rPr>
                <w:rFonts w:ascii="Arial" w:cs="Arial" w:eastAsia="Arial" w:hAnsi="Arial"/>
                <w:sz w:val="18"/>
                <w:szCs w:val="18"/>
                <w:color w:val="auto"/>
              </w:rPr>
              <w:t>Lazard Group 2025</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ind w:left="140"/>
              <w:spacing w:after="0"/>
              <w:rPr>
                <w:sz w:val="20"/>
                <w:szCs w:val="20"/>
                <w:color w:val="auto"/>
              </w:rPr>
            </w:pPr>
            <w:r>
              <w:rPr>
                <w:rFonts w:ascii="Arial" w:cs="Arial" w:eastAsia="Arial" w:hAnsi="Arial"/>
                <w:sz w:val="18"/>
                <w:szCs w:val="18"/>
                <w:color w:val="auto"/>
              </w:rPr>
              <w:t>Senior Notes</w:t>
            </w:r>
          </w:p>
        </w:tc>
        <w:tc>
          <w:tcPr>
            <w:tcW w:w="700" w:type="dxa"/>
            <w:vAlign w:val="bottom"/>
          </w:tcPr>
          <w:p>
            <w:pPr>
              <w:ind w:left="120"/>
              <w:spacing w:after="0"/>
              <w:rPr>
                <w:sz w:val="20"/>
                <w:szCs w:val="20"/>
                <w:color w:val="auto"/>
              </w:rPr>
            </w:pPr>
            <w:r>
              <w:rPr>
                <w:rFonts w:ascii="Arial" w:cs="Arial" w:eastAsia="Arial" w:hAnsi="Arial"/>
                <w:sz w:val="18"/>
                <w:szCs w:val="18"/>
                <w:color w:val="auto"/>
                <w:w w:val="86"/>
              </w:rPr>
              <w:t>400,000</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2/13/25</w:t>
            </w: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3,597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396,403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3,833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396,167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2027</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70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6"/>
              </w:rPr>
              <w:t>300,000</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3.625%</w:t>
            </w:r>
          </w:p>
        </w:tc>
        <w:tc>
          <w:tcPr>
            <w:tcW w:w="6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3,806</w:t>
            </w:r>
          </w:p>
        </w:tc>
        <w:tc>
          <w:tcPr>
            <w:tcW w:w="1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296,194</w:t>
            </w:r>
          </w:p>
        </w:tc>
        <w:tc>
          <w:tcPr>
            <w:tcW w:w="2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3,998</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296,002</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1,200,000</w:t>
            </w: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10,511</w:t>
            </w:r>
          </w:p>
        </w:tc>
        <w:tc>
          <w:tcPr>
            <w:tcW w:w="12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1,189,489</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1,200,000</w:t>
            </w: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11,400</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1,188,600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20" w:right="60" w:hanging="512"/>
        <w:spacing w:after="0" w:line="264"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 interest rates of Lazard Group’s 4.25% senior notes due November 14, 2020 (the “2020 Notes”), Lazard Group’s 3.75% senior notes due February 13, 2025 (the “2025 Notes”) and Lazard Group’s 3.625% senior notes due March 1, 2027 (the “2027 Notes”) are 4.43%, 3.87% and 3.76%, respectively.</w:t>
      </w:r>
    </w:p>
    <w:p>
      <w:pPr>
        <w:spacing w:after="0" w:line="181"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specific interest periods determined based on Lazard Group’s highest credit rating from an internationally recognized credit agency. At June 30, 2017 and December 31, 2016, no amounts were outstanding under the Amended and Restated Credit Agreement.</w:t>
      </w:r>
    </w:p>
    <w:p>
      <w:pPr>
        <w:spacing w:after="0" w:line="170"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June 30, 2017, the Company was in compliance with such provisions. All of the Company’s senior debt obligations are unsecured.</w:t>
      </w:r>
    </w:p>
    <w:p>
      <w:pPr>
        <w:spacing w:after="0" w:line="147" w:lineRule="exact"/>
        <w:rPr>
          <w:sz w:val="20"/>
          <w:szCs w:val="20"/>
          <w:color w:val="auto"/>
        </w:rPr>
      </w:pPr>
    </w:p>
    <w:p>
      <w:pPr>
        <w:ind w:right="40" w:firstLine="518"/>
        <w:spacing w:after="0" w:line="342" w:lineRule="auto"/>
        <w:rPr>
          <w:sz w:val="20"/>
          <w:szCs w:val="20"/>
          <w:color w:val="auto"/>
        </w:rPr>
      </w:pPr>
      <w:r>
        <w:rPr>
          <w:rFonts w:ascii="Arial" w:cs="Arial" w:eastAsia="Arial" w:hAnsi="Arial"/>
          <w:sz w:val="16"/>
          <w:szCs w:val="16"/>
          <w:color w:val="auto"/>
        </w:rPr>
        <w:t>As of June 30, 2017, the Company had approximately $174,000 in unused lines of credit available to it, including the credit facility provided under the Amended and Restated Credit Agreement, and unused lines of credit available to LFB of approximately $23,000 (at June 30, 2017 exchange rates).</w:t>
      </w:r>
    </w:p>
    <w:p>
      <w:pPr>
        <w:spacing w:after="0" w:line="124"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The Company’s senior debt at June 30, 2017 and December 31, 2016 is carried at historical amounts of $1,189,489 and $1,188,600, respectively. At those dates, the fair value of such senior debt was approximately $1,240,000 and $1,204,000, respectively. The fair value of the Company’s senior debt is based on market quotations. The Company’s senior debt would be categorized within Level 2 of the hierarchy of fair value measurements if carried at fair value.</w:t>
      </w:r>
    </w:p>
    <w:p>
      <w:pPr>
        <w:spacing w:after="0" w:line="376"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w:t>
      </w:r>
    </w:p>
    <w:p>
      <w:pPr>
        <w:spacing w:after="0" w:line="225"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June 30, 2017, LFB had $3,388 of such indemnifications and held $3,301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87"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b w:val="1"/>
          <w:bCs w:val="1"/>
          <w:i w:val="1"/>
          <w:iCs w:val="1"/>
          <w:color w:val="auto"/>
        </w:rPr>
        <w:t>Business Acquisitions</w:t>
      </w:r>
      <w:r>
        <w:rPr>
          <w:rFonts w:ascii="Arial" w:cs="Arial" w:eastAsia="Arial" w:hAnsi="Arial"/>
          <w:sz w:val="18"/>
          <w:szCs w:val="18"/>
          <w:color w:val="auto"/>
        </w:rPr>
        <w:t>—For a business acquired in 2016, consideration consists of (i) previously paid one-time cash payment and 60,817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common stock subject to non-compete provisions and (ii) up to 210,431 additional shares of Class A common stock that are subject to certain performance thresholds. As of June 30, 2017, none of the contingent shares had been earned.</w:t>
      </w:r>
    </w:p>
    <w:p>
      <w:pPr>
        <w:spacing w:after="0" w:line="181"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each of LFB and LFNY may enter into underwriting commitments in which it will participate as an underwriter. At June 30, 2017, LFB and LFNY had no such underwriting commitments.</w:t>
      </w:r>
    </w:p>
    <w:p>
      <w:pPr>
        <w:spacing w:after="0" w:line="18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See Notes 5 and 13 for information regarding commitments relating to investment capital funding commitments and obligations to fund our pension plans, respectively.</w:t>
      </w:r>
    </w:p>
    <w:p>
      <w:pPr>
        <w:spacing w:after="0" w:line="170"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70"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354"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117" w:lineRule="exact"/>
        <w:rPr>
          <w:sz w:val="20"/>
          <w:szCs w:val="20"/>
          <w:color w:val="auto"/>
        </w:rPr>
      </w:pPr>
    </w:p>
    <w:p>
      <w:pPr>
        <w:ind w:firstLine="552"/>
        <w:spacing w:after="0" w:line="286" w:lineRule="auto"/>
        <w:rPr>
          <w:sz w:val="20"/>
          <w:szCs w:val="20"/>
          <w:color w:val="auto"/>
        </w:rPr>
      </w:pPr>
      <w:r>
        <w:rPr>
          <w:rFonts w:ascii="Arial" w:cs="Arial" w:eastAsia="Arial" w:hAnsi="Arial"/>
          <w:sz w:val="17"/>
          <w:szCs w:val="17"/>
          <w:b w:val="1"/>
          <w:bCs w:val="1"/>
          <w:i w:val="1"/>
          <w:iCs w:val="1"/>
          <w:color w:val="auto"/>
        </w:rPr>
        <w:t>Lazard Group Distributions</w:t>
      </w:r>
      <w:r>
        <w:rPr>
          <w:rFonts w:ascii="Arial" w:cs="Arial" w:eastAsia="Arial" w:hAnsi="Arial"/>
          <w:sz w:val="17"/>
          <w:szCs w:val="17"/>
          <w:color w:val="auto"/>
        </w:rPr>
        <w:t>—Distributions in respect of Lazard Group’s common membership interests are allocated to the holders of such interests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accordance with the provisions of the Operating Agreement. Such distributions primarily represent amounts necessary to fund (i) any dividends Lazard Ltd may declare on its Class A common stock and (ii) tax distributions in respect of income taxes that Lazard Ltd’s subsidiaries incur.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19" w:lineRule="exact"/>
        <w:rPr>
          <w:sz w:val="20"/>
          <w:szCs w:val="20"/>
          <w:color w:val="auto"/>
        </w:rPr>
      </w:pPr>
    </w:p>
    <w:p>
      <w:pPr>
        <w:ind w:right="320" w:firstLine="552"/>
        <w:spacing w:after="0" w:line="277" w:lineRule="auto"/>
        <w:rPr>
          <w:sz w:val="20"/>
          <w:szCs w:val="20"/>
          <w:color w:val="auto"/>
        </w:rPr>
      </w:pPr>
      <w:r>
        <w:rPr>
          <w:rFonts w:ascii="Arial" w:cs="Arial" w:eastAsia="Arial" w:hAnsi="Arial"/>
          <w:sz w:val="18"/>
          <w:szCs w:val="18"/>
          <w:color w:val="auto"/>
        </w:rPr>
        <w:t>During the six month periods ended June 30, 2017 and 2016, Lazard Group distributed $244,722 and $201,147, respectively, to the subsidiaries of Lazard Ltd.</w:t>
      </w:r>
    </w:p>
    <w:p>
      <w:pPr>
        <w:spacing w:after="0" w:line="62" w:lineRule="exact"/>
        <w:rPr>
          <w:sz w:val="20"/>
          <w:szCs w:val="20"/>
          <w:color w:val="auto"/>
        </w:rPr>
      </w:pPr>
    </w:p>
    <w:p>
      <w:pPr>
        <w:ind w:right="460" w:firstLine="518"/>
        <w:spacing w:after="0" w:line="34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16"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six month period ended June 30, 2017 and since 2014, the Board of Directors of Lazard authorized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repurchase of Lazard Ltd Class A common stock as set forth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40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215"/>
              <w:spacing w:after="0"/>
              <w:rPr>
                <w:sz w:val="20"/>
                <w:szCs w:val="20"/>
                <w:color w:val="auto"/>
              </w:rPr>
            </w:pPr>
            <w:r>
              <w:rPr>
                <w:rFonts w:ascii="Arial" w:cs="Arial" w:eastAsia="Arial" w:hAnsi="Arial"/>
                <w:sz w:val="14"/>
                <w:szCs w:val="14"/>
                <w:b w:val="1"/>
                <w:bCs w:val="1"/>
                <w:color w:val="auto"/>
              </w:rPr>
              <w:t>Repurchase</w:t>
            </w:r>
          </w:p>
        </w:tc>
        <w:tc>
          <w:tcPr>
            <w:tcW w:w="22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63"/>
        </w:trPr>
        <w:tc>
          <w:tcPr>
            <w:tcW w:w="300" w:type="dxa"/>
            <w:vAlign w:val="bottom"/>
            <w:tcBorders>
              <w:bottom w:val="single" w:sz="8" w:color="auto"/>
            </w:tcBorders>
            <w:gridSpan w:val="2"/>
            <w:vMerge w:val="continue"/>
          </w:tcPr>
          <w:p>
            <w:pPr>
              <w:spacing w:after="0"/>
              <w:rPr>
                <w:sz w:val="13"/>
                <w:szCs w:val="13"/>
                <w:color w:val="auto"/>
              </w:rPr>
            </w:pPr>
          </w:p>
        </w:tc>
        <w:tc>
          <w:tcPr>
            <w:tcW w:w="3400" w:type="dxa"/>
            <w:vAlign w:val="bottom"/>
            <w:vMerge w:val="continue"/>
          </w:tcPr>
          <w:p>
            <w:pPr>
              <w:spacing w:after="0"/>
              <w:rPr>
                <w:sz w:val="13"/>
                <w:szCs w:val="13"/>
                <w:color w:val="auto"/>
              </w:rPr>
            </w:pPr>
          </w:p>
        </w:tc>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135"/>
              <w:spacing w:after="0" w:line="158" w:lineRule="exact"/>
              <w:rPr>
                <w:sz w:val="20"/>
                <w:szCs w:val="20"/>
                <w:color w:val="auto"/>
              </w:rPr>
            </w:pPr>
            <w:r>
              <w:rPr>
                <w:rFonts w:ascii="Arial" w:cs="Arial" w:eastAsia="Arial" w:hAnsi="Arial"/>
                <w:sz w:val="14"/>
                <w:szCs w:val="14"/>
                <w:b w:val="1"/>
                <w:bCs w:val="1"/>
                <w:color w:val="auto"/>
                <w:w w:val="99"/>
              </w:rPr>
              <w:t>Authorization</w:t>
            </w:r>
          </w:p>
        </w:tc>
        <w:tc>
          <w:tcPr>
            <w:tcW w:w="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April 2014</w:t>
            </w:r>
          </w:p>
        </w:tc>
        <w:tc>
          <w:tcPr>
            <w:tcW w:w="25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gridSpan w:val="2"/>
            <w:vMerge w:val="continue"/>
            <w:shd w:val="clear" w:color="auto" w:fill="CFF0FC"/>
          </w:tcPr>
          <w:p>
            <w:pPr>
              <w:spacing w:after="0"/>
              <w:rPr>
                <w:sz w:val="20"/>
                <w:szCs w:val="20"/>
                <w:color w:val="auto"/>
              </w:rPr>
            </w:pPr>
          </w:p>
        </w:tc>
        <w:tc>
          <w:tcPr>
            <w:tcW w:w="2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February 2015</w:t>
            </w:r>
          </w:p>
        </w:tc>
        <w:tc>
          <w:tcPr>
            <w:tcW w:w="2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January 2016</w:t>
            </w:r>
          </w:p>
        </w:tc>
        <w:tc>
          <w:tcPr>
            <w:tcW w:w="2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April 2016</w:t>
            </w:r>
          </w:p>
        </w:tc>
        <w:tc>
          <w:tcPr>
            <w:tcW w:w="2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113,182</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November 2016</w:t>
            </w:r>
          </w:p>
        </w:tc>
        <w:tc>
          <w:tcPr>
            <w:tcW w:w="2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236,000</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2018</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The Company expects that the share repurchase program will primarily be used to offset a portion of the shares that have been or will be issued under the Lazard Ltd 2008 Incentive Compensation Plan (the “2008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Average</w:t>
            </w: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Price Per</w:t>
            </w:r>
          </w:p>
        </w:tc>
      </w:tr>
      <w:tr>
        <w:trPr>
          <w:trHeight w:val="176"/>
        </w:trPr>
        <w:tc>
          <w:tcPr>
            <w:tcW w:w="6280" w:type="dxa"/>
            <w:vAlign w:val="bottom"/>
            <w:gridSpan w:val="3"/>
          </w:tcPr>
          <w:p>
            <w:pPr>
              <w:spacing w:after="0" w:line="176" w:lineRule="exact"/>
              <w:rPr>
                <w:sz w:val="20"/>
                <w:szCs w:val="20"/>
                <w:color w:val="auto"/>
              </w:rPr>
            </w:pPr>
            <w:r>
              <w:rPr>
                <w:rFonts w:ascii="Arial" w:cs="Arial" w:eastAsia="Arial" w:hAnsi="Arial"/>
                <w:sz w:val="16"/>
                <w:szCs w:val="16"/>
                <w:b w:val="1"/>
                <w:bCs w:val="1"/>
                <w:color w:val="auto"/>
              </w:rPr>
              <w:t>Six Months Ended June 30:</w:t>
            </w:r>
          </w:p>
        </w:tc>
        <w:tc>
          <w:tcPr>
            <w:tcW w:w="12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Purchased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20"/>
              <w:spacing w:after="0" w:line="176" w:lineRule="exact"/>
              <w:rPr>
                <w:sz w:val="20"/>
                <w:szCs w:val="20"/>
                <w:color w:val="auto"/>
              </w:rPr>
            </w:pPr>
            <w:r>
              <w:rPr>
                <w:rFonts w:ascii="Arial" w:cs="Arial" w:eastAsia="Arial" w:hAnsi="Arial"/>
                <w:sz w:val="16"/>
                <w:szCs w:val="16"/>
                <w:b w:val="1"/>
                <w:bCs w:val="1"/>
                <w:color w:val="auto"/>
                <w:w w:val="94"/>
              </w:rPr>
              <w:t>Share</w:t>
            </w: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900" w:type="dxa"/>
            <w:vAlign w:val="bottom"/>
            <w:tcBorders>
              <w:top w:val="single" w:sz="8" w:color="auto"/>
              <w:bottom w:val="single" w:sz="8" w:color="CFF0FC"/>
            </w:tcBorders>
          </w:tcPr>
          <w:p>
            <w:pPr>
              <w:spacing w:after="0" w:line="20" w:lineRule="exact"/>
              <w:rPr>
                <w:sz w:val="1"/>
                <w:szCs w:val="1"/>
                <w:color w:val="auto"/>
              </w:rPr>
            </w:pPr>
          </w:p>
        </w:tc>
        <w:tc>
          <w:tcPr>
            <w:tcW w:w="4360" w:type="dxa"/>
            <w:vAlign w:val="bottom"/>
            <w:tcBorders>
              <w:bottom w:val="single" w:sz="8" w:color="CFF0FC"/>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4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5,646,092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2017</w:t>
            </w:r>
          </w:p>
        </w:tc>
        <w:tc>
          <w:tcPr>
            <w:tcW w:w="4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4,268,479</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43.32</w:t>
            </w:r>
          </w:p>
        </w:tc>
        <w:tc>
          <w:tcPr>
            <w:tcW w:w="80" w:type="dxa"/>
            <w:vAlign w:val="bottom"/>
          </w:tcPr>
          <w:p>
            <w:pPr>
              <w:spacing w:after="0"/>
              <w:rPr>
                <w:sz w:val="20"/>
                <w:szCs w:val="20"/>
                <w:color w:val="auto"/>
              </w:rPr>
            </w:pPr>
          </w:p>
        </w:tc>
      </w:tr>
    </w:tbl>
    <w:p>
      <w:pPr>
        <w:spacing w:after="0" w:line="228"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During the six month periods ended June 30, 2017 and 2016, certain of our executive officers received Lazard Ltd Class A common stock in connection with the vesting or settlement of previously-granted deferred equity incentive awards. The vesting or settlement of such equity awards gave rise to a tax payable by the executive officers, and, consistent with our past practice, the Company purchased shares of Lazard Ltd Class A common stock from the executive officers equal in value to all or a portion of the estimated amount of such tax. In addition, during the six month periods ended June 30, 2017 and 2016, the Company purchased shares of Lazard Ltd Class A common stock from an executive officer. The aggregate value of all such purchases during the six month periods ended June 30, 2017 and 2016 was approximately $14,700 and $4,900, respectively.</w:t>
      </w:r>
    </w:p>
    <w:p>
      <w:pPr>
        <w:spacing w:after="0" w:line="178"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As of June 30, 2017, a total of $170,234 of share repurchase authorization remained available under Lazard Ltd’s share repurchase program, which will expire on December 31, 2018.</w:t>
      </w:r>
    </w:p>
    <w:p>
      <w:pPr>
        <w:spacing w:after="0" w:line="170"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During the six month period ended June 30, 2017, Lazard Ltd had in place trading plans under Rule 10b5-1 of the Securities Exchange Act of 1934, as amended (the “Exchange Act”), pursuant to which it effected stock repurchases in the open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3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Accumulated Other Comprehensive Income (Loss), Net of Tax (“AOCI”)</w:t>
      </w:r>
      <w:r>
        <w:rPr>
          <w:rFonts w:ascii="Arial" w:cs="Arial" w:eastAsia="Arial" w:hAnsi="Arial"/>
          <w:sz w:val="16"/>
          <w:szCs w:val="16"/>
          <w:color w:val="auto"/>
        </w:rPr>
        <w:t>—The tables below reflect the balances of each component of AOCI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2017 and 2016 and activity during the three month and six month periods then ended: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Three Months Ended June 30, 2017</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April 1, 2017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(96,007)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(160,880</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(256,887</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(256,885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25,323</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(8,609)</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16,714</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16,713</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(7,253)</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18,070</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18,069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June 30, 2017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(70,684)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(168,133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(238,817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(238,816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Six Months Ended June 30, 2017</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vMerge w:val="restart"/>
          </w:tcPr>
          <w:p>
            <w:pPr>
              <w:spacing w:after="0"/>
              <w:rPr>
                <w:sz w:val="20"/>
                <w:szCs w:val="20"/>
                <w:color w:val="auto"/>
              </w:rPr>
            </w:pPr>
            <w:r>
              <w:rPr>
                <w:rFonts w:ascii="Arial" w:cs="Arial" w:eastAsia="Arial" w:hAnsi="Arial"/>
                <w:sz w:val="18"/>
                <w:szCs w:val="18"/>
                <w:color w:val="auto"/>
              </w:rPr>
              <w:t>Balance, January 1, 2017</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(109,306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(161,471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(270,777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(270,775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38,622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(9,104)</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29,518</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2,442</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2,442</w:t>
            </w:r>
          </w:p>
        </w:tc>
        <w:tc>
          <w:tcPr>
            <w:tcW w:w="220" w:type="dxa"/>
            <w:vAlign w:val="bottom"/>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2,442</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38,622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31,960</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June 30, 2017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(70,684)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(168,133</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(238,817</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(238,816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Three Months Ended June 30, 2016</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April 1, 2016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(45,186)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(136,028</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(181,214</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(181,212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(15,779)</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(475)</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(16,254)</w:t>
            </w: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(16,255)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(15,133)</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June 30, 2016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(60,965)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(135,382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(196,347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(196,346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16"/>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5" w:name="page26"/>
    <w:bookmarkEnd w:id="2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10"/>
          </w:tcPr>
          <w:p>
            <w:pPr>
              <w:jc w:val="center"/>
              <w:ind w:right="341"/>
              <w:spacing w:after="0"/>
              <w:rPr>
                <w:sz w:val="20"/>
                <w:szCs w:val="20"/>
                <w:color w:val="auto"/>
              </w:rPr>
            </w:pPr>
            <w:r>
              <w:rPr>
                <w:rFonts w:ascii="Arial" w:cs="Arial" w:eastAsia="Arial" w:hAnsi="Arial"/>
                <w:sz w:val="14"/>
                <w:szCs w:val="14"/>
                <w:b w:val="1"/>
                <w:bCs w:val="1"/>
                <w:color w:val="auto"/>
                <w:w w:val="93"/>
              </w:rPr>
              <w:t>Six Months Ended June 30, 2016</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3"/>
              </w:rPr>
              <w:t>Employee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center"/>
              <w:ind w:left="61"/>
              <w:spacing w:after="0" w:line="133"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4"/>
          </w:tcPr>
          <w:p>
            <w:pPr>
              <w:jc w:val="center"/>
              <w:ind w:right="145"/>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4"/>
          </w:tcPr>
          <w:p>
            <w:pPr>
              <w:jc w:val="center"/>
              <w:ind w:right="145"/>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2016</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5"/>
              <w:spacing w:after="0"/>
              <w:rPr>
                <w:sz w:val="20"/>
                <w:szCs w:val="20"/>
                <w:color w:val="auto"/>
              </w:rPr>
            </w:pPr>
            <w:r>
              <w:rPr>
                <w:rFonts w:ascii="Arial" w:cs="Arial" w:eastAsia="Arial" w:hAnsi="Arial"/>
                <w:sz w:val="14"/>
                <w:szCs w:val="14"/>
                <w:b w:val="1"/>
                <w:bCs w:val="1"/>
                <w:color w:val="auto"/>
                <w:w w:val="91"/>
              </w:rPr>
              <w:t>Adjustments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AOCI</w:t>
            </w:r>
          </w:p>
        </w:tc>
        <w:tc>
          <w:tcPr>
            <w:tcW w:w="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ind w:left="61"/>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(52,687)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(137,073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5"/>
              </w:rPr>
              <w:t>(189,760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80" w:type="dxa"/>
            <w:vAlign w:val="bottom"/>
          </w:tcPr>
          <w:p>
            <w:pPr>
              <w:jc w:val="right"/>
              <w:ind w:right="701"/>
              <w:spacing w:after="0"/>
              <w:rPr>
                <w:sz w:val="20"/>
                <w:szCs w:val="20"/>
                <w:color w:val="auto"/>
              </w:rPr>
            </w:pPr>
            <w:r>
              <w:rPr>
                <w:rFonts w:ascii="Arial" w:cs="Arial" w:eastAsia="Arial" w:hAnsi="Arial"/>
                <w:sz w:val="18"/>
                <w:szCs w:val="18"/>
                <w:color w:val="auto"/>
                <w:w w:val="79"/>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(189,758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Other comprehensive loss before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(8,278)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8"/>
                <w:szCs w:val="18"/>
                <w:color w:val="auto"/>
              </w:rPr>
              <w:t>(8,894)</w:t>
            </w:r>
          </w:p>
        </w:tc>
        <w:tc>
          <w:tcPr>
            <w:tcW w:w="8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(8,895)</w:t>
            </w:r>
          </w:p>
        </w:tc>
        <w:tc>
          <w:tcPr>
            <w:tcW w:w="0" w:type="dxa"/>
            <w:vAlign w:val="bottom"/>
          </w:tcPr>
          <w:p>
            <w:pPr>
              <w:spacing w:after="0"/>
              <w:rPr>
                <w:sz w:val="1"/>
                <w:szCs w:val="1"/>
                <w:color w:val="auto"/>
              </w:rPr>
            </w:pPr>
          </w:p>
        </w:tc>
      </w:tr>
      <w:tr>
        <w:trPr>
          <w:trHeight w:val="215"/>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2,307</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2,307</w:t>
            </w:r>
          </w:p>
        </w:tc>
        <w:tc>
          <w:tcPr>
            <w:tcW w:w="220" w:type="dxa"/>
            <w:vAlign w:val="bottom"/>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(8,278)</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1,691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(6,587)</w:t>
            </w:r>
          </w:p>
        </w:tc>
        <w:tc>
          <w:tcPr>
            <w:tcW w:w="2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June 30, 2016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(60,965)</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(135,382</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5"/>
              </w:rPr>
              <w:t>(196,347</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80" w:type="dxa"/>
            <w:vAlign w:val="bottom"/>
            <w:shd w:val="clear" w:color="auto" w:fill="CFF0FC"/>
          </w:tcPr>
          <w:p>
            <w:pPr>
              <w:jc w:val="right"/>
              <w:ind w:right="701"/>
              <w:spacing w:after="0"/>
              <w:rPr>
                <w:sz w:val="20"/>
                <w:szCs w:val="20"/>
                <w:color w:val="auto"/>
              </w:rPr>
            </w:pPr>
            <w:r>
              <w:rPr>
                <w:rFonts w:ascii="Arial" w:cs="Arial" w:eastAsia="Arial" w:hAnsi="Arial"/>
                <w:sz w:val="18"/>
                <w:szCs w:val="18"/>
                <w:color w:val="auto"/>
                <w:w w:val="79"/>
              </w:rPr>
              <w:t>$</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0"/>
              </w:rPr>
              <w:t>(1)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(196,346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336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20" w:type="dxa"/>
            <w:vAlign w:val="bottom"/>
            <w:gridSpan w:val="25"/>
          </w:tcPr>
          <w:p>
            <w:pPr>
              <w:jc w:val="center"/>
              <w:ind w:left="30"/>
              <w:spacing w:after="0"/>
              <w:rPr>
                <w:sz w:val="20"/>
                <w:szCs w:val="20"/>
                <w:color w:val="auto"/>
              </w:rPr>
            </w:pPr>
            <w:r>
              <w:rPr>
                <w:rFonts w:ascii="Arial" w:cs="Arial" w:eastAsia="Arial" w:hAnsi="Arial"/>
                <w:sz w:val="18"/>
                <w:szCs w:val="18"/>
                <w:color w:val="auto"/>
                <w:w w:val="90"/>
              </w:rPr>
              <w:t>The table below reflects adjustments for items reclassified out of AOCI, by component, for the three month and six month periods ended June 30,</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2017 and 2016: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Borders>
              <w:bottom w:val="single" w:sz="8" w:color="CFF0FC"/>
            </w:tcBorders>
          </w:tcPr>
          <w:p>
            <w:pPr>
              <w:spacing w:after="0"/>
              <w:rPr>
                <w:sz w:val="13"/>
                <w:szCs w:val="13"/>
                <w:color w:val="auto"/>
              </w:rPr>
            </w:pPr>
          </w:p>
        </w:tc>
        <w:tc>
          <w:tcPr>
            <w:tcW w:w="33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9"/>
              </w:rPr>
              <w:t>2017</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w w:val="89"/>
              </w:rPr>
              <w:t>2016</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1"/>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relating to employee benefit plans (a)</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1,552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1,524</w:t>
            </w:r>
          </w:p>
        </w:tc>
        <w:tc>
          <w:tcPr>
            <w:tcW w:w="2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2,914</w:t>
            </w:r>
          </w:p>
        </w:tc>
        <w:tc>
          <w:tcPr>
            <w:tcW w:w="260" w:type="dxa"/>
            <w:vAlign w:val="bottom"/>
            <w:gridSpan w:val="2"/>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related income taxes</w:t>
            </w:r>
          </w:p>
        </w:tc>
        <w:tc>
          <w:tcPr>
            <w:tcW w:w="10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reclassifications, net of tax</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1,356</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1,121</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2,442</w:t>
            </w:r>
          </w:p>
        </w:tc>
        <w:tc>
          <w:tcPr>
            <w:tcW w:w="260" w:type="dxa"/>
            <w:vAlign w:val="bottom"/>
            <w:tcBorders>
              <w:bottom w:val="single" w:sz="8" w:color="CFF0FC"/>
            </w:tcBorders>
            <w:gridSpan w:val="2"/>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20" w:right="440" w:hanging="512"/>
        <w:spacing w:after="0" w:line="277"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13). Such amounts are included in “compensation and benefits” expense on the condensed consolidated statements of operations.</w:t>
      </w:r>
    </w:p>
    <w:p>
      <w:pPr>
        <w:spacing w:after="0" w:line="170"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to control, but does not own.</w:t>
      </w:r>
    </w:p>
    <w:p>
      <w:pPr>
        <w:spacing w:after="0" w:line="170" w:lineRule="exact"/>
        <w:rPr>
          <w:sz w:val="20"/>
          <w:szCs w:val="20"/>
          <w:color w:val="auto"/>
        </w:rPr>
      </w:pPr>
    </w:p>
    <w:p>
      <w:pPr>
        <w:ind w:right="320" w:firstLine="518"/>
        <w:spacing w:after="0" w:line="34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and six month periods ended June 30, 2017 and 2016 and noncontrolling interests as of June 30, 2017 and December 31, 2016 in the Company’s condensed consolidated financial statements: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Net Income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gridSpan w:val="7"/>
          </w:tcPr>
          <w:p>
            <w:pPr>
              <w:jc w:val="center"/>
              <w:ind w:right="166"/>
              <w:spacing w:after="0" w:line="149" w:lineRule="exact"/>
              <w:rPr>
                <w:sz w:val="20"/>
                <w:szCs w:val="20"/>
                <w:color w:val="auto"/>
              </w:rPr>
            </w:pPr>
            <w:r>
              <w:rPr>
                <w:rFonts w:ascii="Arial" w:cs="Arial" w:eastAsia="Arial" w:hAnsi="Arial"/>
                <w:sz w:val="14"/>
                <w:szCs w:val="14"/>
                <w:b w:val="1"/>
                <w:bCs w:val="1"/>
                <w:color w:val="auto"/>
                <w:w w:val="94"/>
              </w:rPr>
              <w:t>Attributable to Noncontrolling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92"/>
              </w:rPr>
              <w:t>Interests</w:t>
            </w: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540" w:type="dxa"/>
            <w:vAlign w:val="bottom"/>
            <w:gridSpan w:val="6"/>
          </w:tcPr>
          <w:p>
            <w:pPr>
              <w:jc w:val="right"/>
              <w:ind w:right="541"/>
              <w:spacing w:after="0" w:line="147" w:lineRule="exact"/>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80" w:type="dxa"/>
            <w:vAlign w:val="bottom"/>
            <w:gridSpan w:val="6"/>
          </w:tcPr>
          <w:p>
            <w:pPr>
              <w:ind w:left="20"/>
              <w:spacing w:after="0" w:line="147" w:lineRule="exact"/>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June 30,</w:t>
            </w: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780" w:type="dxa"/>
            <w:vAlign w:val="bottom"/>
          </w:tcPr>
          <w:p>
            <w:pPr>
              <w:jc w:val="right"/>
              <w:ind w:right="7"/>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center"/>
              <w:ind w:right="161"/>
              <w:spacing w:after="0" w:line="155" w:lineRule="exact"/>
              <w:rPr>
                <w:sz w:val="20"/>
                <w:szCs w:val="20"/>
                <w:color w:val="auto"/>
              </w:rPr>
            </w:pPr>
            <w:r>
              <w:rPr>
                <w:rFonts w:ascii="Arial" w:cs="Arial" w:eastAsia="Arial" w:hAnsi="Arial"/>
                <w:sz w:val="14"/>
                <w:szCs w:val="14"/>
                <w:b w:val="1"/>
                <w:bCs w:val="1"/>
                <w:color w:val="auto"/>
                <w:w w:val="89"/>
              </w:rPr>
              <w:t>2016</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7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3540" w:type="dxa"/>
            <w:vAlign w:val="bottom"/>
            <w:gridSpan w:val="2"/>
            <w:shd w:val="clear" w:color="auto" w:fill="CFF0FC"/>
          </w:tcPr>
          <w:p>
            <w:pPr>
              <w:jc w:val="right"/>
              <w:ind w:right="62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3,397</w:t>
            </w:r>
          </w:p>
        </w:tc>
        <w:tc>
          <w:tcPr>
            <w:tcW w:w="4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Other</w:t>
            </w:r>
          </w:p>
        </w:tc>
        <w:tc>
          <w:tcPr>
            <w:tcW w:w="2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102"/>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76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7"/>
              </w:rPr>
              <w:t>3,399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4,906</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20" w:type="dxa"/>
            <w:vAlign w:val="bottom"/>
            <w:gridSpan w:val="10"/>
          </w:tcPr>
          <w:p>
            <w:pPr>
              <w:jc w:val="right"/>
              <w:ind w:right="940"/>
              <w:spacing w:after="0"/>
              <w:rPr>
                <w:sz w:val="20"/>
                <w:szCs w:val="20"/>
                <w:color w:val="auto"/>
              </w:rPr>
            </w:pPr>
            <w:r>
              <w:rPr>
                <w:rFonts w:ascii="Arial" w:cs="Arial" w:eastAsia="Arial" w:hAnsi="Arial"/>
                <w:sz w:val="14"/>
                <w:szCs w:val="14"/>
                <w:b w:val="1"/>
                <w:bCs w:val="1"/>
                <w:color w:val="auto"/>
                <w:w w:val="98"/>
              </w:rPr>
              <w:t>Noncontrolling Interests as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top w:val="single" w:sz="8" w:color="auto"/>
            </w:tcBorders>
            <w:gridSpan w:val="3"/>
          </w:tcPr>
          <w:p>
            <w:pPr>
              <w:jc w:val="center"/>
              <w:ind w:left="421"/>
              <w:spacing w:after="0" w:line="147" w:lineRule="exact"/>
              <w:rPr>
                <w:sz w:val="20"/>
                <w:szCs w:val="20"/>
                <w:color w:val="auto"/>
              </w:rPr>
            </w:pPr>
            <w:r>
              <w:rPr>
                <w:rFonts w:ascii="Arial" w:cs="Arial" w:eastAsia="Arial" w:hAnsi="Arial"/>
                <w:sz w:val="14"/>
                <w:szCs w:val="14"/>
                <w:b w:val="1"/>
                <w:bCs w:val="1"/>
                <w:color w:val="auto"/>
                <w:w w:val="92"/>
              </w:rPr>
              <w:t>June 30,</w:t>
            </w:r>
          </w:p>
        </w:tc>
        <w:tc>
          <w:tcPr>
            <w:tcW w:w="5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right"/>
              <w:ind w:right="294"/>
              <w:spacing w:after="0" w:line="147" w:lineRule="exact"/>
              <w:rPr>
                <w:sz w:val="20"/>
                <w:szCs w:val="20"/>
                <w:color w:val="auto"/>
              </w:rPr>
            </w:pPr>
            <w:r>
              <w:rPr>
                <w:rFonts w:ascii="Arial" w:cs="Arial" w:eastAsia="Arial" w:hAnsi="Arial"/>
                <w:sz w:val="14"/>
                <w:szCs w:val="14"/>
                <w:b w:val="1"/>
                <w:bCs w:val="1"/>
                <w:color w:val="auto"/>
              </w:rPr>
              <w:t>December 31,</w:t>
            </w: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Borders>
              <w:bottom w:val="single" w:sz="8" w:color="CFF0FC"/>
            </w:tcBorders>
          </w:tcPr>
          <w:p>
            <w:pPr>
              <w:spacing w:after="0"/>
              <w:rPr>
                <w:sz w:val="14"/>
                <w:szCs w:val="14"/>
                <w:color w:val="auto"/>
              </w:rPr>
            </w:pPr>
          </w:p>
        </w:tc>
        <w:tc>
          <w:tcPr>
            <w:tcW w:w="276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4"/>
                <w:szCs w:val="14"/>
                <w:b w:val="1"/>
                <w:bCs w:val="1"/>
                <w:color w:val="auto"/>
                <w:w w:val="89"/>
              </w:rPr>
              <w:t>2017</w:t>
            </w: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27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center"/>
              <w:ind w:right="461"/>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59,105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57,238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76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7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center"/>
              <w:ind w:right="461"/>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59,117</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57,246</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760" w:type="dxa"/>
            <w:vAlign w:val="bottom"/>
            <w:vMerge w:val="restart"/>
          </w:tcPr>
          <w:p>
            <w:pPr>
              <w:jc w:val="right"/>
              <w:ind w:right="70"/>
              <w:spacing w:after="0"/>
              <w:rPr>
                <w:sz w:val="20"/>
                <w:szCs w:val="20"/>
                <w:color w:val="auto"/>
              </w:rPr>
            </w:pPr>
            <w:r>
              <w:rPr>
                <w:rFonts w:ascii="Arial" w:cs="Arial" w:eastAsia="Arial" w:hAnsi="Arial"/>
                <w:sz w:val="18"/>
                <w:szCs w:val="18"/>
                <w:color w:val="auto"/>
              </w:rPr>
              <w:t>24</w:t>
            </w: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320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6" w:name="page27"/>
    <w:bookmarkEnd w:id="2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 description of Lazard Ltd’s 2008 Plan and 2005 Equity Incentive Plan (the “2005 Plan”) and activity with respect thereto during the three month and six month periods ended June 30, 2017 and 2016 is presented below.</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Shares Available Under the 2008 Plan and 2005 Plan</w:t>
      </w:r>
    </w:p>
    <w:p>
      <w:pPr>
        <w:spacing w:after="0" w:line="117"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The 2008 Plan authorizes the issuance of shares of Class A common stock pursuant to the grant or exercise of stock options, stock appreciation rights, restricted stock units (“RSUs”), performance-based restricted stock units (“PRSUs”) and other share-based awards. Under the 2008 Plan, the maximum number of shares available is based on a formula that limits the aggregate number of shares that may, at any time, be subject to awards that are considered “outstanding” under the 2008 Plan to 30% of the then-outstanding shares of Class A common stock.</w:t>
      </w:r>
    </w:p>
    <w:p>
      <w:pPr>
        <w:spacing w:after="0" w:line="17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2005 Plan authorized the issuance of up to 25,000,000 shares of Class A common stock pursuant to the grant or exercise of stock options, stock appreciation rights, RSUs and other share-based awards. Each RSU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 The 2005 Plan expired in the second quarter of 2015, although unvested awards granted under the 2005 Plan remain outstanding and continue to be subject to its terms.</w:t>
      </w:r>
    </w:p>
    <w:p>
      <w:pPr>
        <w:spacing w:after="0" w:line="188" w:lineRule="exact"/>
        <w:rPr>
          <w:sz w:val="20"/>
          <w:szCs w:val="20"/>
          <w:color w:val="auto"/>
        </w:rPr>
      </w:pPr>
    </w:p>
    <w:p>
      <w:pPr>
        <w:jc w:val="both"/>
        <w:ind w:right="300" w:firstLine="518"/>
        <w:spacing w:after="0" w:line="312" w:lineRule="auto"/>
        <w:rPr>
          <w:sz w:val="20"/>
          <w:szCs w:val="20"/>
          <w:color w:val="auto"/>
        </w:rPr>
      </w:pPr>
      <w:r>
        <w:rPr>
          <w:rFonts w:ascii="Arial" w:cs="Arial" w:eastAsia="Arial" w:hAnsi="Arial"/>
          <w:sz w:val="16"/>
          <w:szCs w:val="16"/>
          <w:color w:val="auto"/>
        </w:rPr>
        <w:t>The following reflects the amortization expense recorded with respect to share-based incentive plans within “compensation and benefits” expense (with respect to RSUs, PRSUs and restricted stock awards) and “professional services” expense (with respect to deferred stock units (“DSUs”)) within the Company’s accompanying condensed consolidated statements of operations for the three month and six month periods ended June 30, 2017 and 2016: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ind w:left="4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Share-based incentive awards: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RSUs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54,354</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40,564</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110,295</w:t>
            </w:r>
          </w:p>
        </w:tc>
        <w:tc>
          <w:tcPr>
            <w:tcW w:w="260" w:type="dxa"/>
            <w:vAlign w:val="bottom"/>
          </w:tcPr>
          <w:p>
            <w:pPr>
              <w:spacing w:after="0"/>
              <w:rPr>
                <w:sz w:val="19"/>
                <w:szCs w:val="19"/>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94,972</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PRSUs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28,199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27,024</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13,161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8,342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22,810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31,818</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DSUs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84,703</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59,963</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162,152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154,569</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or performance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RSUs and DSUs</w:t>
      </w:r>
    </w:p>
    <w:p>
      <w:pPr>
        <w:spacing w:after="0" w:line="117"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six month periods ended June 30, 2017 and 2016, dividend participation rights required the issuance of 739,079 and 841,433 RSUs, respectively.</w:t>
      </w:r>
    </w:p>
    <w:p>
      <w:pPr>
        <w:spacing w:after="0" w:line="222"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Non-executive members of the Board of Directors of Lazard Group, who are the same Non-Executive Directors of Lazard Ltd (“Non-Executive Directors”), receive approximately 55% of their annual compensation for service on the Board of Directors and its committees in the form of DSUs, which resulted in 31,280 and 38,771 DSUs granted during the six month periods ended June 30, 2017 and 2016,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DSUs include a cash dividend participation right equivalent to dividends paid on Class A common stock.</w:t>
      </w:r>
    </w:p>
    <w:p>
      <w:pPr>
        <w:spacing w:after="0" w:line="19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six month periods ended June 30, 2017 and 2016, 7,035 and 4,467 DSUs, respectively, had been granted pursuant to such Plan.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RSUs and DSUs during the six month periods ended June 30, 2017 and 2016:</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RSUs</w:t>
            </w: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DSUs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Fair Value</w:t>
            </w: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11,698,138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40.65</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276,725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Granted (including 739,079 RSUs relating to dividend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participation)</w:t>
            </w:r>
          </w:p>
        </w:tc>
        <w:tc>
          <w:tcPr>
            <w:tcW w:w="1020" w:type="dxa"/>
            <w:vAlign w:val="bottom"/>
          </w:tcPr>
          <w:p>
            <w:pPr>
              <w:jc w:val="right"/>
              <w:spacing w:after="0"/>
              <w:rPr>
                <w:sz w:val="20"/>
                <w:szCs w:val="20"/>
                <w:color w:val="auto"/>
              </w:rPr>
            </w:pPr>
            <w:r>
              <w:rPr>
                <w:rFonts w:ascii="Arial" w:cs="Arial" w:eastAsia="Arial" w:hAnsi="Arial"/>
                <w:sz w:val="18"/>
                <w:szCs w:val="18"/>
                <w:color w:val="auto"/>
              </w:rPr>
              <w:t>5,134,126</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43.07</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38,315</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(92,011)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39.98</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(3,937,970)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45.36</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(43,465)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2017</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12,802,283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40.17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271,575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Balance, January 1, 2016</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44.06</w:t>
            </w: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9,599,658</w:t>
            </w:r>
          </w:p>
        </w:tc>
        <w:tc>
          <w:tcPr>
            <w:tcW w:w="1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312,670</w:t>
            </w:r>
          </w:p>
        </w:tc>
        <w:tc>
          <w:tcPr>
            <w:tcW w:w="1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Granted (including 841,433 RSUs relating to dividend</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participation)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6,486,463</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34.47</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43,238</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(94,692)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40.75</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(4,233,894)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39.10</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(84,759)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Balance, June 30, 2016</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11,757,535</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40.58</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271,149</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In connection with RSUs that vested during the six month periods ended June 30, 2017 and 2016, the Company satisfied its minimum statutory tax withholding requirements in lieu of delivering 1,267,560 and 1,382,153 shares of Class A common stock during such respective six month periods. Accordingly, 2,670,410 and 2,851,741 shares of Class A common stock held by the Company were delivered during the six month periods ended June 30, 2017 and 2016, respectively.</w:t>
      </w:r>
    </w:p>
    <w:p>
      <w:pPr>
        <w:spacing w:after="0" w:line="18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As of June 30, 2017, estimated unrecognized RSU compensation expense was approximately $211,254, with such expense expected to be recognized over a weighted average period of approximately 1.0 year subsequent to June 30, 2017.</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28" w:name="page29"/>
    <w:bookmarkEnd w:id="2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six month periods ended June 30, 2017 and 2016:</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1,655,073</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841,355</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(32,568)</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(458,814)</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2017</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2,005,046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40.56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2016</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vMerge w:val="restart"/>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47.12</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713,738</w:t>
            </w:r>
          </w:p>
        </w:tc>
        <w:tc>
          <w:tcPr>
            <w:tcW w:w="1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1,795,258</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(30,412)</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(729,457)</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Balance, June 30, 2016</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1,749,127</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In connection with shares of restricted Class A common stock that vested during the six month periods ended June 30, 2017 and 2016, the Company satisfied its minimum statutory tax withholding requirements in lieu of delivering 135,528 and 129,389 shares of Class A common stock during such respective six month periods. Accordingly, 323,286 and 600,068 shares of Class A common stock held by the Company were delivered during the six month periods ended June 30, 2017 and 2016, respectively.</w:t>
      </w:r>
    </w:p>
    <w:p>
      <w:pPr>
        <w:spacing w:after="0" w:line="18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The restricted stock awards include a cash dividend participation right equivalent to dividends paid on Class A common stock during the period, which will vest concurrently with the underlying restricted stock award. At June 30, 2017, estimated unrecognized restricted stock expense was approximately $42,545, with such expense to be recognized over a weighted average period of approximately 0.9 years subsequent to June 30, 2017.</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PRSUs</w:t>
      </w:r>
    </w:p>
    <w:p>
      <w:pPr>
        <w:spacing w:after="0" w:line="117" w:lineRule="exact"/>
        <w:rPr>
          <w:sz w:val="20"/>
          <w:szCs w:val="20"/>
          <w:color w:val="auto"/>
        </w:rPr>
      </w:pPr>
    </w:p>
    <w:p>
      <w:pPr>
        <w:ind w:right="80" w:firstLine="518"/>
        <w:spacing w:after="0" w:line="287" w:lineRule="auto"/>
        <w:rPr>
          <w:sz w:val="20"/>
          <w:szCs w:val="20"/>
          <w:color w:val="auto"/>
        </w:rPr>
      </w:pPr>
      <w:r>
        <w:rPr>
          <w:rFonts w:ascii="Arial" w:cs="Arial" w:eastAsia="Arial" w:hAnsi="Arial"/>
          <w:sz w:val="16"/>
          <w:szCs w:val="16"/>
          <w:color w:val="auto"/>
        </w:rPr>
        <w:t>PRSUs are RSUs that are subject to both performance-based and service-based vesting conditions. The number of shares of Class A common stock that a recipient will receive upon vesting of a PRSU will be calculated by reference to certain performance metrics that relate to Lazard Ltd’s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PRSUs will vest on a single date three years following the date of the grant, provided the applicable service and performance conditions are satisfied. In addition, the performance metrics applicable to each PRSU will be evaluated on an annual basis at the end of each fiscal year during the performance period and, if Lazard Ltd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periods. These dividend equivalents are credited as RSUs that are not subject to the performance-based vesting criteria but are otherwise subject to the same restrictions as the underlying PRSUs to which they relate.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 w:name="page30"/>
    <w:bookmarkEnd w:id="2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PRSUs during the six month periods ended June 30, 2017 and 2016:</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PRSUs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1,590,756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458,113</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(825,565)</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80" w:type="dxa"/>
            <w:vAlign w:val="bottom"/>
            <w:gridSpan w:val="3"/>
          </w:tcPr>
          <w:p>
            <w:pPr>
              <w:spacing w:after="0"/>
              <w:rPr>
                <w:sz w:val="20"/>
                <w:szCs w:val="20"/>
                <w:color w:val="auto"/>
              </w:rPr>
            </w:pPr>
            <w:r>
              <w:rPr>
                <w:rFonts w:ascii="Arial" w:cs="Arial" w:eastAsia="Arial" w:hAnsi="Arial"/>
                <w:sz w:val="18"/>
                <w:szCs w:val="18"/>
                <w:color w:val="auto"/>
              </w:rPr>
              <w:t>Balance, June 30, 2017</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1,223,304</w:t>
            </w:r>
          </w:p>
        </w:tc>
        <w:tc>
          <w:tcPr>
            <w:tcW w:w="120" w:type="dxa"/>
            <w:vAlign w:val="bottom"/>
          </w:tcPr>
          <w:p>
            <w:pPr>
              <w:spacing w:after="0"/>
              <w:rPr>
                <w:sz w:val="22"/>
                <w:szCs w:val="22"/>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40.86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1,019,038</w:t>
            </w: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44.49</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627,956</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(417,018)</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3"/>
          </w:tcPr>
          <w:p>
            <w:pPr>
              <w:spacing w:after="0"/>
              <w:rPr>
                <w:sz w:val="20"/>
                <w:szCs w:val="20"/>
                <w:color w:val="auto"/>
              </w:rPr>
            </w:pPr>
            <w:r>
              <w:rPr>
                <w:rFonts w:ascii="Arial" w:cs="Arial" w:eastAsia="Arial" w:hAnsi="Arial"/>
                <w:sz w:val="18"/>
                <w:szCs w:val="18"/>
                <w:color w:val="auto"/>
              </w:rPr>
              <w:t>Balance, June 30, 2016</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1,229,976</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660" w:hanging="518"/>
        <w:spacing w:after="0"/>
        <w:tabs>
          <w:tab w:leader="none" w:pos="1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PRSU awards granted during the relevant year at the target payout level.</w:t>
      </w:r>
    </w:p>
    <w:p>
      <w:pPr>
        <w:spacing w:after="0" w:line="23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connection with certain PRSUs that vested or were settled during the six month periods ended June 30, 2017 and 2016, the Company satisfied its minimum statutory tax withholding requirements in lieu of delivering 126,264 and 64,169 shares of Class A common stock during such respective six month periods. Accordingly, 699,301 and 352,849 shares of Class A common stock held by the Company were delivered during the six month periods ended June 30, 2017 and 2016, respectively.</w:t>
      </w:r>
    </w:p>
    <w:p>
      <w:pPr>
        <w:spacing w:after="0" w:line="18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June 30, 2017, the total estimated unrecognized compensation expense was approximately $13,089, and the Company expects to amortize such expense over a weighted-average period of approximately 0.9 years subsequent to June 30, 2017.</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30" w:name="page31"/>
    <w:bookmarkEnd w:id="3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is a summary of activity relating to LFI and other similar deferred compensation arrangements during the six month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2017 and 2016:</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49,650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77,580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(95,633)</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(585)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(39,503)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June 30, 2017</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88,084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75,703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193,574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51,871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51,871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(68,628)</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(704)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(37,890)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(873)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June 30, 2016</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88,107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177,129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1.0 year subsequent to June 30, 2017.</w:t>
      </w:r>
    </w:p>
    <w:p>
      <w:pPr>
        <w:spacing w:after="0" w:line="170"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The following is a summary of the impact of LFI and other similar deferred compensation arrangements on “compensation and benefits” expense within the accompanying condensed consolidated statements of operations for the three month and six month periods ended June 30, 2017 and 2016:</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Amortization, net of forfeitures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28,310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41,293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40,751</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5,753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13,106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(2,202)</w:t>
            </w:r>
          </w:p>
        </w:tc>
      </w:tr>
      <w:tr>
        <w:trPr>
          <w:trHeight w:val="223"/>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34,063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20,164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54,399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38,549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and, until December 2016, in the U.S., a partially funded contributory medical post-retirement plan covering certain qualifying U.S. employees (the “medical plan” and together with the pension plans, the “post-retirement plans”). The Company also offers defined contribution plans to its employees. The post-retirement plans generally provide benefits to participants based on average levels of compensation. Expenses related to the Company’s employee benefit plans are included in “compensation and benefits” expense on the condensed consolidated statements of operations.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1" w:name="page32"/>
    <w:bookmarkEnd w:id="3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upon an agreement with the plans’ trustees (the “Trustees”). Management also evaluates from time to time whether to make voluntary contributions to the plans.</w:t>
      </w:r>
    </w:p>
    <w:p>
      <w:pPr>
        <w:spacing w:after="0" w:line="181"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post-retirement plans for the three month and six month periods ended June 30, 2017 and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Plans</w:t>
            </w: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w w:val="96"/>
              </w:rPr>
              <w:t>Medical Plan</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w w:val="93"/>
              </w:rPr>
              <w:t>Three Months Ended June 30,</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19"/>
                <w:szCs w:val="19"/>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4,086</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5,246</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(6,455)</w:t>
            </w:r>
          </w:p>
        </w:tc>
        <w:tc>
          <w:tcPr>
            <w:tcW w:w="3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(7,233)</w:t>
            </w: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Prior service cost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604</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actuarial loss (gain)</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Net periodic benefit cost (credit)</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Plans</w:t>
            </w: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w w:val="96"/>
              </w:rPr>
              <w:t>Medical Plan</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ind w:right="36"/>
              <w:spacing w:after="0" w:line="155" w:lineRule="exact"/>
              <w:rPr>
                <w:sz w:val="20"/>
                <w:szCs w:val="20"/>
                <w:color w:val="auto"/>
              </w:rPr>
            </w:pPr>
            <w:r>
              <w:rPr>
                <w:rFonts w:ascii="Arial" w:cs="Arial" w:eastAsia="Arial" w:hAnsi="Arial"/>
                <w:sz w:val="14"/>
                <w:szCs w:val="14"/>
                <w:b w:val="1"/>
                <w:bCs w:val="1"/>
                <w:color w:val="auto"/>
                <w:w w:val="97"/>
              </w:rPr>
              <w:t>Six Months Ended June 30,</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675</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621</w:t>
            </w:r>
          </w:p>
        </w:tc>
        <w:tc>
          <w:tcPr>
            <w:tcW w:w="240" w:type="dxa"/>
            <w:vAlign w:val="bottom"/>
          </w:tcPr>
          <w:p>
            <w:pPr>
              <w:spacing w:after="0"/>
              <w:rPr>
                <w:sz w:val="19"/>
                <w:szCs w:val="19"/>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10,459</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(12,560)</w:t>
            </w:r>
          </w:p>
        </w:tc>
        <w:tc>
          <w:tcPr>
            <w:tcW w:w="3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(14,399)</w:t>
            </w: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Prior service cost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1,194</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actuarial loss (gain)</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2,884</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2,001</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periodic benefit cost (credit)</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(904)</w:t>
            </w:r>
          </w:p>
        </w:tc>
        <w:tc>
          <w:tcPr>
            <w:tcW w:w="240" w:type="dxa"/>
            <w:vAlign w:val="bottom"/>
            <w:vMerge w:val="continue"/>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(124)</w:t>
            </w:r>
          </w:p>
        </w:tc>
        <w:tc>
          <w:tcPr>
            <w:tcW w:w="240" w:type="dxa"/>
            <w:vAlign w:val="bottom"/>
            <w:vMerge w:val="continue"/>
          </w:tcPr>
          <w:p>
            <w:pPr>
              <w:spacing w:after="0"/>
              <w:rPr>
                <w:sz w:val="19"/>
                <w:szCs w:val="19"/>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Lazard Group,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New York City Unincorporated Business Tax (“UBT”) attributable to its operations apportioned to New York City.</w:t>
      </w:r>
    </w:p>
    <w:p>
      <w:pPr>
        <w:spacing w:after="0" w:line="193" w:lineRule="exact"/>
        <w:rPr>
          <w:sz w:val="20"/>
          <w:szCs w:val="20"/>
          <w:color w:val="auto"/>
        </w:rPr>
      </w:pPr>
    </w:p>
    <w:p>
      <w:pPr>
        <w:ind w:right="220" w:firstLine="518"/>
        <w:spacing w:after="0" w:line="291" w:lineRule="auto"/>
        <w:rPr>
          <w:sz w:val="20"/>
          <w:szCs w:val="20"/>
          <w:color w:val="auto"/>
        </w:rPr>
      </w:pPr>
      <w:r>
        <w:rPr>
          <w:rFonts w:ascii="Arial" w:cs="Arial" w:eastAsia="Arial" w:hAnsi="Arial"/>
          <w:sz w:val="16"/>
          <w:szCs w:val="16"/>
          <w:color w:val="auto"/>
        </w:rPr>
        <w:t>The Company recorded income tax provisions of $32,440 and $54,435 for the three month and six month periods ended June 30, 2017, respectively, and $15,722 and $27,457 for the three month and six month periods ended June 30, 2016, respectively, representing effective tax rates of 18.5%, 16.6%,</w:t>
      </w:r>
    </w:p>
    <w:p>
      <w:pPr>
        <w:ind w:right="160"/>
        <w:spacing w:after="0" w:line="254" w:lineRule="auto"/>
        <w:rPr>
          <w:sz w:val="20"/>
          <w:szCs w:val="20"/>
          <w:color w:val="auto"/>
        </w:rPr>
      </w:pPr>
      <w:r>
        <w:rPr>
          <w:rFonts w:ascii="Arial" w:cs="Arial" w:eastAsia="Arial" w:hAnsi="Arial"/>
          <w:sz w:val="18"/>
          <w:szCs w:val="18"/>
          <w:color w:val="auto"/>
        </w:rPr>
        <w:t>13.9% and 13.0%, respectively. The difference between the U.S. federal statutory rate of 35.0% and the effective tax rates reflected above principally relates to (i) Lazard Group primarily operating as a limited liability company in the U.S., (ii) change in the valuation allowance affecting the provision for income taxes, (iii) taxes payable to foreign jurisdictions, (iv) excess net tax benefit for share-based incentive compensation, and (v) U.S. state and local taxes, which are incremental to the U.S. federal statutory tax rate.</w:t>
      </w:r>
    </w:p>
    <w:p>
      <w:pPr>
        <w:spacing w:after="0" w:line="19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On January 1, 2017, the Company adopted new accounting guidance on share-based incentive compensation. As a result of the adoption of this new guidance, the Company recognized excess tax benefits of $2,018 from the vesting of share-based incentive compensation in the provision for income taxes in the condensed consolidated statements of operations for the six month period ended June 30, 2017. The Company also recorded deferred tax assets of $4,945, net of a valuation allowance of $12,090, as of January 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2017, for previously unrecognized excess tax benefits (including tax benefits from dividends or dividend equivalents) on share-based incentive compensation, with an offsetting adjustment to retained earnings. See Note 2 for further information on the adoption of this new guidance.</w:t>
      </w:r>
    </w:p>
    <w:p>
      <w:pPr>
        <w:spacing w:after="0" w:line="1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Substantially all of Lazard’s operations outside the U.S. are conducted in “pass-through” entities for U.S. income tax purposes. The Company provides for U.S. income taxes on a current basis for the relevant portion of those earnings. The repatriation of prior earnings attributable to “non-pass-through” entities would not result in the recognition of a material amount of additional U.S. income taxes.</w:t>
      </w:r>
    </w:p>
    <w:p>
      <w:pPr>
        <w:spacing w:after="0" w:line="168"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Receivable from and Payable to Lazard Ltd Subsidiaries</w:t>
      </w:r>
    </w:p>
    <w:p>
      <w:pPr>
        <w:spacing w:after="0" w:line="225" w:lineRule="exact"/>
        <w:rPr>
          <w:sz w:val="20"/>
          <w:szCs w:val="20"/>
          <w:color w:val="auto"/>
        </w:rPr>
      </w:pPr>
    </w:p>
    <w:p>
      <w:pPr>
        <w:ind w:right="140" w:firstLine="552"/>
        <w:spacing w:after="0" w:line="259" w:lineRule="auto"/>
        <w:rPr>
          <w:sz w:val="20"/>
          <w:szCs w:val="20"/>
          <w:color w:val="auto"/>
        </w:rPr>
      </w:pPr>
      <w:r>
        <w:rPr>
          <w:rFonts w:ascii="Arial" w:cs="Arial" w:eastAsia="Arial" w:hAnsi="Arial"/>
          <w:sz w:val="18"/>
          <w:szCs w:val="18"/>
          <w:color w:val="auto"/>
        </w:rPr>
        <w:t>Lazard Group’s receivables from subsidiaries of Lazard Ltd at June 30, 2017 and December 31, 2016 included interest-bearing loans of $2,129 and $20,365, respectively, including accrued interest thereon. Interest income relating to interest-bearing loans with subsidiaries of Lazard Ltd amounted to $10 and $143 for the three and six month periods ended June 30, 2017, respectively, and $25 and $210 for the three and six month periods ended June 30, 2016, respectively.</w:t>
      </w:r>
    </w:p>
    <w:p>
      <w:pPr>
        <w:spacing w:after="0" w:line="187" w:lineRule="exact"/>
        <w:rPr>
          <w:sz w:val="20"/>
          <w:szCs w:val="20"/>
          <w:color w:val="auto"/>
        </w:rPr>
      </w:pPr>
    </w:p>
    <w:p>
      <w:pPr>
        <w:ind w:right="100" w:firstLine="552"/>
        <w:spacing w:after="0" w:line="259" w:lineRule="auto"/>
        <w:rPr>
          <w:sz w:val="20"/>
          <w:szCs w:val="20"/>
          <w:color w:val="auto"/>
        </w:rPr>
      </w:pPr>
      <w:r>
        <w:rPr>
          <w:rFonts w:ascii="Arial" w:cs="Arial" w:eastAsia="Arial" w:hAnsi="Arial"/>
          <w:sz w:val="18"/>
          <w:szCs w:val="18"/>
          <w:color w:val="auto"/>
        </w:rPr>
        <w:t>Lazard Group’s payables to subsidiaries of Lazard Ltd at June 30, 2017 and December 31, 2016 included interest-bearing loans, including interest thereon, of approximately $62,800 and $60,500, respectively. Interest expense relating to interest-bearing loans with subsidiaries of Lazard Ltd amounted to $931 and $1,875 for the three and six month periods ended June 30, 2017, respectively, and $862 and $1,729 for the three and six month periods ended June 30, 2016, respectively.</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Sponsored Funds</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Company serves as an investment advisor for certain affiliated investment companies and fund entities and receives management fees and, for the alternative investment funds, performance fees for providing such services. Investment advisory fees relating to such services were $167,382 and $307,959 for the three month and six month periods ended June 30, 2017, respectively, and $124,794 and $243,704 for the three month and six month periods ended June 30, 2016, respectively, and are included in “asset management fees” on the condensed consolidated statements of operations. Of such amounts, $70,069 and $49,944 remained as receivables at June 30, 2017 and December 31, 2016, respectively, and are included in “fees receivable” on the condensed consolidated statements of financial condition.</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11 for information regarding related party transactions pertaining to shares repurchased from certain of our executive officers.</w:t>
      </w:r>
    </w:p>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117" w:lineRule="exact"/>
        <w:rPr>
          <w:sz w:val="20"/>
          <w:szCs w:val="20"/>
          <w:color w:val="auto"/>
        </w:rPr>
      </w:pPr>
    </w:p>
    <w:p>
      <w:pPr>
        <w:ind w:firstLine="518"/>
        <w:spacing w:after="0" w:line="245" w:lineRule="auto"/>
        <w:rPr>
          <w:sz w:val="20"/>
          <w:szCs w:val="20"/>
          <w:color w:val="auto"/>
        </w:rPr>
      </w:pPr>
      <w:r>
        <w:rPr>
          <w:rFonts w:ascii="Arial" w:cs="Arial" w:eastAsia="Arial" w:hAnsi="Arial"/>
          <w:sz w:val="18"/>
          <w:szCs w:val="18"/>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June 30, 2017, LFNY’s regulatory net capital was $137,797, which exceeded the minimum requirement by $132,594. LFNY’s aggregate indebtedness to net capital ratio was 0.57:1 as of June 30, 2017.</w:t>
      </w:r>
    </w:p>
    <w:p>
      <w:pPr>
        <w:spacing w:after="0" w:line="198"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June 30, 2017, the aggregate regulatory net capital of the U.K. Subsidiaries was $175,791, which exceeded the minimum requirement by $157,587.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3" w:name="page34"/>
    <w:bookmarkEnd w:id="3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Autorité de Contrôle Prudentiel et de Résolution (“ACPR”) for its banking activities conducted through its subsidiary, LFB. LFB, as a registered bank, is engaged primarily in commercial and private banking services for clients and funds managed by LFG and other clients, and asset-liability management. The investment services activities of the Paris group, exercised through LFB and other subsidiaries of CFLF, primarily LFG (asset management), also are subject to regulation and supervision by the Autorité des Marchés Financiers. At June 30, 2017, the consolidated regulatory net capital of CFLF was $142,142, which exceeded the minimum requirement set for regulatory capital levels by $94,690. In addition, pursuant to the consolidated supervision rules in the European Union, LFB, in particular, as a French credit institution, is required to be supervised by a regulatory body, either in the U.S. or in the European Union. In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March 31, 2017, the regulatory net capital of the combined European regulated group was $158,032, which exceeded the minimum requirement set for regulatory capital levels by $77,775.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7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June 30, 2017, for those subsidiaries with regulatory capital requirements, their aggregate net capital was $147,083, which exceeded the minimum required capital by $120,275.</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June 30, 2017, each of these subsidiaries individually was in compliance with its regulatory capital requirements.</w:t>
      </w:r>
    </w:p>
    <w:p>
      <w:pPr>
        <w:spacing w:after="0" w:line="225"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360"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the Company records selected other activities in its Corporate segment.</w:t>
      </w:r>
    </w:p>
    <w:p>
      <w:pPr>
        <w:spacing w:after="0" w:line="171"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 Company’s segment information for the three month and six month periods ended June 30, 2017 and 2016 is prepared using the following methodology:</w:t>
      </w:r>
    </w:p>
    <w:p>
      <w:pPr>
        <w:spacing w:after="0" w:line="62" w:lineRule="exact"/>
        <w:rPr>
          <w:sz w:val="20"/>
          <w:szCs w:val="20"/>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17" w:lineRule="exact"/>
        <w:rPr>
          <w:rFonts w:ascii="Arial" w:cs="Arial" w:eastAsia="Arial" w:hAnsi="Arial"/>
          <w:sz w:val="18"/>
          <w:szCs w:val="18"/>
          <w:color w:val="auto"/>
        </w:rPr>
      </w:pPr>
    </w:p>
    <w:p>
      <w:pPr>
        <w:ind w:left="900" w:right="460" w:hanging="379"/>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62" w:lineRule="exact"/>
        <w:rPr>
          <w:rFonts w:ascii="Arial" w:cs="Arial" w:eastAsia="Arial" w:hAnsi="Arial"/>
          <w:sz w:val="18"/>
          <w:szCs w:val="18"/>
          <w:color w:val="auto"/>
        </w:rPr>
      </w:pPr>
    </w:p>
    <w:p>
      <w:pPr>
        <w:ind w:left="900" w:right="60" w:hanging="379"/>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70"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70"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4" w:name="page35"/>
    <w:bookmarkEnd w:id="3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520" w:firstLine="518"/>
        <w:spacing w:after="0" w:line="308" w:lineRule="auto"/>
        <w:rPr>
          <w:sz w:val="20"/>
          <w:szCs w:val="20"/>
          <w:color w:val="auto"/>
        </w:rPr>
      </w:pPr>
      <w:r>
        <w:rPr>
          <w:rFonts w:ascii="Arial" w:cs="Arial" w:eastAsia="Arial" w:hAnsi="Arial"/>
          <w:sz w:val="17"/>
          <w:szCs w:val="17"/>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7"/>
          </w:tcPr>
          <w:p>
            <w:pPr>
              <w:ind w:left="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w w:val="96"/>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24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4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359"/>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3"/>
          </w:tcPr>
          <w:p>
            <w:pPr>
              <w:jc w:val="right"/>
              <w:ind w:right="168"/>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Advisory</w:t>
            </w:r>
          </w:p>
        </w:tc>
        <w:tc>
          <w:tcPr>
            <w:tcW w:w="3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410,632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286,965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746,316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552,979</w:t>
            </w:r>
          </w:p>
        </w:tc>
        <w:tc>
          <w:tcPr>
            <w:tcW w:w="120" w:type="dxa"/>
            <w:vAlign w:val="bottom"/>
            <w:shd w:val="clear" w:color="auto" w:fill="CFF0FC"/>
          </w:tcPr>
          <w:p>
            <w:pPr>
              <w:spacing w:after="0"/>
              <w:rPr>
                <w:sz w:val="19"/>
                <w:szCs w:val="19"/>
                <w:color w:val="auto"/>
              </w:rPr>
            </w:pPr>
          </w:p>
        </w:tc>
      </w:tr>
      <w:tr>
        <w:trPr>
          <w:trHeight w:val="230"/>
        </w:trPr>
        <w:tc>
          <w:tcPr>
            <w:tcW w:w="24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311,285</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233,727</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570,647</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460,805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23"/>
        </w:trPr>
        <w:tc>
          <w:tcPr>
            <w:tcW w:w="2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99,347</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53,238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175,669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92,174</w:t>
            </w:r>
          </w:p>
        </w:tc>
        <w:tc>
          <w:tcPr>
            <w:tcW w:w="120" w:type="dxa"/>
            <w:vAlign w:val="bottom"/>
            <w:shd w:val="clear" w:color="auto" w:fill="CFF0FC"/>
          </w:tcPr>
          <w:p>
            <w:pPr>
              <w:spacing w:after="0"/>
              <w:rPr>
                <w:sz w:val="19"/>
                <w:szCs w:val="19"/>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b w:val="1"/>
                <w:bCs w:val="1"/>
                <w:color w:val="auto"/>
              </w:rPr>
              <w:t>Asset Management</w:t>
            </w: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309,878</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254,126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593,241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499,885</w:t>
            </w:r>
          </w:p>
        </w:tc>
        <w:tc>
          <w:tcPr>
            <w:tcW w:w="120" w:type="dxa"/>
            <w:vAlign w:val="bottom"/>
          </w:tcPr>
          <w:p>
            <w:pPr>
              <w:spacing w:after="0"/>
              <w:rPr>
                <w:sz w:val="19"/>
                <w:szCs w:val="19"/>
                <w:color w:val="auto"/>
              </w:rPr>
            </w:pPr>
          </w:p>
        </w:tc>
      </w:tr>
      <w:tr>
        <w:trPr>
          <w:trHeight w:val="230"/>
        </w:trPr>
        <w:tc>
          <w:tcPr>
            <w:tcW w:w="2460" w:type="dxa"/>
            <w:vAlign w:val="bottom"/>
          </w:tcPr>
          <w:p>
            <w:pPr>
              <w:spacing w:after="0"/>
              <w:rPr>
                <w:sz w:val="20"/>
                <w:szCs w:val="20"/>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215,901</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182,702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404,652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357,863</w:t>
            </w:r>
          </w:p>
        </w:tc>
        <w:tc>
          <w:tcPr>
            <w:tcW w:w="120" w:type="dxa"/>
            <w:vAlign w:val="bottom"/>
          </w:tcPr>
          <w:p>
            <w:pPr>
              <w:spacing w:after="0"/>
              <w:rPr>
                <w:sz w:val="20"/>
                <w:szCs w:val="20"/>
                <w:color w:val="auto"/>
              </w:rPr>
            </w:pPr>
          </w:p>
        </w:tc>
      </w:tr>
      <w:tr>
        <w:trPr>
          <w:trHeight w:val="223"/>
        </w:trPr>
        <w:tc>
          <w:tcPr>
            <w:tcW w:w="2460" w:type="dxa"/>
            <w:vAlign w:val="bottom"/>
            <w:tcBorders>
              <w:bottom w:val="single" w:sz="8" w:color="CFF0FC"/>
            </w:tcBorders>
          </w:tcPr>
          <w:p>
            <w:pPr>
              <w:spacing w:after="0"/>
              <w:rPr>
                <w:sz w:val="19"/>
                <w:szCs w:val="19"/>
                <w:color w:val="auto"/>
              </w:rPr>
            </w:pPr>
          </w:p>
        </w:tc>
        <w:tc>
          <w:tcPr>
            <w:tcW w:w="35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93,977</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71,424</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188,589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142,022</w:t>
            </w:r>
          </w:p>
        </w:tc>
        <w:tc>
          <w:tcPr>
            <w:tcW w:w="120" w:type="dxa"/>
            <w:vAlign w:val="bottom"/>
            <w:tcBorders>
              <w:bottom w:val="single" w:sz="8" w:color="CFF0FC"/>
            </w:tcBorders>
          </w:tcPr>
          <w:p>
            <w:pPr>
              <w:spacing w:after="0"/>
              <w:rPr>
                <w:sz w:val="19"/>
                <w:szCs w:val="19"/>
                <w:color w:val="auto"/>
              </w:rPr>
            </w:pPr>
          </w:p>
        </w:tc>
      </w:tr>
      <w:tr>
        <w:trPr>
          <w:trHeight w:val="223"/>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Corporate</w:t>
            </w:r>
          </w:p>
        </w:tc>
        <w:tc>
          <w:tcPr>
            <w:tcW w:w="3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(7,380)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spacing w:after="0"/>
              <w:rPr>
                <w:sz w:val="19"/>
                <w:szCs w:val="19"/>
                <w:color w:val="auto"/>
              </w:rPr>
            </w:pP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0"/>
              </w:rPr>
              <w:t>(1,054)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(21,549)</w:t>
            </w:r>
          </w:p>
        </w:tc>
        <w:tc>
          <w:tcPr>
            <w:tcW w:w="120" w:type="dxa"/>
            <w:vAlign w:val="bottom"/>
            <w:shd w:val="clear" w:color="auto" w:fill="CFF0FC"/>
          </w:tcPr>
          <w:p>
            <w:pPr>
              <w:spacing w:after="0"/>
              <w:rPr>
                <w:sz w:val="19"/>
                <w:szCs w:val="19"/>
                <w:color w:val="auto"/>
              </w:rPr>
            </w:pPr>
          </w:p>
        </w:tc>
      </w:tr>
      <w:tr>
        <w:trPr>
          <w:trHeight w:val="230"/>
        </w:trPr>
        <w:tc>
          <w:tcPr>
            <w:tcW w:w="24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13,594</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3,948</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34,946</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23"/>
        </w:trPr>
        <w:tc>
          <w:tcPr>
            <w:tcW w:w="2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(18,078)</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(11,328)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(36,000)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(22,815)</w:t>
            </w:r>
          </w:p>
        </w:tc>
        <w:tc>
          <w:tcPr>
            <w:tcW w:w="120" w:type="dxa"/>
            <w:vAlign w:val="bottom"/>
            <w:shd w:val="clear" w:color="auto" w:fill="CFF0FC"/>
          </w:tcPr>
          <w:p>
            <w:pPr>
              <w:spacing w:after="0"/>
              <w:rPr>
                <w:sz w:val="19"/>
                <w:szCs w:val="19"/>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716,026</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533,711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w w:val="94"/>
              </w:rPr>
              <w:t>1,338,503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1,031,315</w:t>
            </w:r>
          </w:p>
        </w:tc>
        <w:tc>
          <w:tcPr>
            <w:tcW w:w="120" w:type="dxa"/>
            <w:vAlign w:val="bottom"/>
          </w:tcPr>
          <w:p>
            <w:pPr>
              <w:spacing w:after="0"/>
              <w:rPr>
                <w:sz w:val="19"/>
                <w:szCs w:val="19"/>
                <w:color w:val="auto"/>
              </w:rPr>
            </w:pPr>
          </w:p>
        </w:tc>
      </w:tr>
      <w:tr>
        <w:trPr>
          <w:trHeight w:val="230"/>
        </w:trPr>
        <w:tc>
          <w:tcPr>
            <w:tcW w:w="2460" w:type="dxa"/>
            <w:vAlign w:val="bottom"/>
          </w:tcPr>
          <w:p>
            <w:pPr>
              <w:spacing w:after="0"/>
              <w:rPr>
                <w:sz w:val="20"/>
                <w:szCs w:val="20"/>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540,780</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420,377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4"/>
              </w:rPr>
              <w:t>1,010,245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819,934</w:t>
            </w:r>
          </w:p>
        </w:tc>
        <w:tc>
          <w:tcPr>
            <w:tcW w:w="120" w:type="dxa"/>
            <w:vAlign w:val="bottom"/>
          </w:tcPr>
          <w:p>
            <w:pPr>
              <w:spacing w:after="0"/>
              <w:rPr>
                <w:sz w:val="20"/>
                <w:szCs w:val="20"/>
                <w:color w:val="auto"/>
              </w:rPr>
            </w:pPr>
          </w:p>
        </w:tc>
      </w:tr>
      <w:tr>
        <w:trPr>
          <w:trHeight w:val="223"/>
        </w:trPr>
        <w:tc>
          <w:tcPr>
            <w:tcW w:w="2460" w:type="dxa"/>
            <w:vAlign w:val="bottom"/>
          </w:tcPr>
          <w:p>
            <w:pPr>
              <w:spacing w:after="0"/>
              <w:rPr>
                <w:sz w:val="19"/>
                <w:szCs w:val="19"/>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175,246</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113,334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328,258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211,381</w:t>
            </w:r>
          </w:p>
        </w:tc>
        <w:tc>
          <w:tcPr>
            <w:tcW w:w="120" w:type="dxa"/>
            <w:vAlign w:val="bottom"/>
          </w:tcPr>
          <w:p>
            <w:pPr>
              <w:spacing w:after="0"/>
              <w:rPr>
                <w:sz w:val="19"/>
                <w:szCs w:val="19"/>
                <w:color w:val="auto"/>
              </w:rPr>
            </w:pPr>
          </w:p>
        </w:tc>
      </w:tr>
      <w:tr>
        <w:trPr>
          <w:trHeight w:val="20"/>
        </w:trPr>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As Of</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24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40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June 30, 2017</w:t>
            </w: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right"/>
              <w:ind w:right="131"/>
              <w:spacing w:after="0" w:line="155" w:lineRule="exact"/>
              <w:rPr>
                <w:sz w:val="20"/>
                <w:szCs w:val="20"/>
                <w:color w:val="auto"/>
              </w:rPr>
            </w:pPr>
            <w:r>
              <w:rPr>
                <w:rFonts w:ascii="Arial" w:cs="Arial" w:eastAsia="Arial" w:hAnsi="Arial"/>
                <w:sz w:val="14"/>
                <w:szCs w:val="14"/>
                <w:b w:val="1"/>
                <w:bCs w:val="1"/>
                <w:color w:val="auto"/>
                <w:w w:val="91"/>
              </w:rPr>
              <w:t>December 31, 2016</w:t>
            </w:r>
          </w:p>
        </w:tc>
        <w:tc>
          <w:tcPr>
            <w:tcW w:w="120" w:type="dxa"/>
            <w:vAlign w:val="bottom"/>
            <w:tcBorders>
              <w:bottom w:val="single" w:sz="8" w:color="CFF0FC"/>
            </w:tcBorders>
          </w:tcPr>
          <w:p>
            <w:pPr>
              <w:spacing w:after="0"/>
              <w:rPr>
                <w:sz w:val="13"/>
                <w:szCs w:val="13"/>
                <w:color w:val="auto"/>
              </w:rPr>
            </w:pPr>
          </w:p>
        </w:tc>
      </w:tr>
      <w:tr>
        <w:trPr>
          <w:trHeight w:val="223"/>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460" w:type="dxa"/>
            <w:vAlign w:val="bottom"/>
          </w:tcPr>
          <w:p>
            <w:pPr>
              <w:ind w:left="140"/>
              <w:spacing w:after="0"/>
              <w:rPr>
                <w:sz w:val="20"/>
                <w:szCs w:val="20"/>
                <w:color w:val="auto"/>
              </w:rPr>
            </w:pPr>
            <w:r>
              <w:rPr>
                <w:rFonts w:ascii="Arial" w:cs="Arial" w:eastAsia="Arial" w:hAnsi="Arial"/>
                <w:sz w:val="18"/>
                <w:szCs w:val="18"/>
                <w:color w:val="auto"/>
              </w:rPr>
              <w:t>Financial Advisory</w:t>
            </w:r>
          </w:p>
        </w:tc>
        <w:tc>
          <w:tcPr>
            <w:tcW w:w="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964,254</w:t>
            </w:r>
          </w:p>
        </w:tc>
        <w:tc>
          <w:tcPr>
            <w:tcW w:w="480" w:type="dxa"/>
            <w:vAlign w:val="bottom"/>
            <w:gridSpan w:val="3"/>
          </w:tcPr>
          <w:p>
            <w:pPr>
              <w:jc w:val="right"/>
              <w:ind w:right="2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883,384</w:t>
            </w:r>
          </w:p>
        </w:tc>
        <w:tc>
          <w:tcPr>
            <w:tcW w:w="120" w:type="dxa"/>
            <w:vAlign w:val="bottom"/>
          </w:tcPr>
          <w:p>
            <w:pPr>
              <w:spacing w:after="0"/>
              <w:rPr>
                <w:sz w:val="19"/>
                <w:szCs w:val="19"/>
                <w:color w:val="auto"/>
              </w:rPr>
            </w:pPr>
          </w:p>
        </w:tc>
      </w:tr>
      <w:tr>
        <w:trPr>
          <w:trHeight w:val="230"/>
        </w:trPr>
        <w:tc>
          <w:tcPr>
            <w:tcW w:w="2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 Management</w:t>
            </w:r>
          </w:p>
        </w:tc>
        <w:tc>
          <w:tcPr>
            <w:tcW w:w="1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624,973</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645,653</w:t>
            </w:r>
          </w:p>
        </w:tc>
        <w:tc>
          <w:tcPr>
            <w:tcW w:w="120" w:type="dxa"/>
            <w:vAlign w:val="bottom"/>
            <w:shd w:val="clear" w:color="auto" w:fill="CFF0FC"/>
          </w:tcPr>
          <w:p>
            <w:pPr>
              <w:spacing w:after="0"/>
              <w:rPr>
                <w:sz w:val="19"/>
                <w:szCs w:val="19"/>
                <w:color w:val="auto"/>
              </w:rPr>
            </w:pPr>
          </w:p>
        </w:tc>
      </w:tr>
      <w:tr>
        <w:trPr>
          <w:trHeight w:val="230"/>
        </w:trPr>
        <w:tc>
          <w:tcPr>
            <w:tcW w:w="24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Corporate</w:t>
            </w:r>
          </w:p>
        </w:tc>
        <w:tc>
          <w:tcPr>
            <w:tcW w:w="140" w:type="dxa"/>
            <w:vAlign w:val="bottom"/>
            <w:tcBorders>
              <w:bottom w:val="single" w:sz="8" w:color="CFF0FC"/>
            </w:tcBorders>
          </w:tcPr>
          <w:p>
            <w:pPr>
              <w:spacing w:after="0"/>
              <w:rPr>
                <w:sz w:val="19"/>
                <w:szCs w:val="19"/>
                <w:color w:val="auto"/>
              </w:rPr>
            </w:pPr>
          </w:p>
        </w:tc>
        <w:tc>
          <w:tcPr>
            <w:tcW w:w="34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2,109,502</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1,986,947</w:t>
            </w:r>
          </w:p>
        </w:tc>
        <w:tc>
          <w:tcPr>
            <w:tcW w:w="120" w:type="dxa"/>
            <w:vAlign w:val="bottom"/>
            <w:tcBorders>
              <w:bottom w:val="single" w:sz="8" w:color="CFF0FC"/>
            </w:tcBorders>
          </w:tcPr>
          <w:p>
            <w:pPr>
              <w:spacing w:after="0"/>
              <w:rPr>
                <w:sz w:val="19"/>
                <w:szCs w:val="19"/>
                <w:color w:val="auto"/>
              </w:rPr>
            </w:pPr>
          </w:p>
        </w:tc>
      </w:tr>
      <w:tr>
        <w:trPr>
          <w:trHeight w:val="223"/>
        </w:trPr>
        <w:tc>
          <w:tcPr>
            <w:tcW w:w="24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shd w:val="clear" w:color="auto" w:fill="CFF0FC"/>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4"/>
              </w:rPr>
              <w:t>3,698,729</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3,515,984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2016 (the “Form 10-K”). All references to “2017,” “2016,” “second quarter,” “first half” or “the period” refer to, as the context requires, the three month and six month periods ended June 30, 2017 and June 30, 2016.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121"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89" w:lineRule="exact"/>
        <w:rPr>
          <w:sz w:val="20"/>
          <w:szCs w:val="20"/>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decline in general economic conditions or global or regional financial markets;</w:t>
      </w:r>
    </w:p>
    <w:p>
      <w:pPr>
        <w:spacing w:after="0" w:line="117" w:lineRule="exact"/>
        <w:rPr>
          <w:rFonts w:ascii="Arial" w:cs="Arial" w:eastAsia="Arial" w:hAnsi="Arial"/>
          <w:sz w:val="18"/>
          <w:szCs w:val="18"/>
          <w:color w:val="auto"/>
        </w:rPr>
      </w:pPr>
    </w:p>
    <w:p>
      <w:pPr>
        <w:ind w:left="900" w:right="240" w:hanging="379"/>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88"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goals, including the ratio of awarded compensation and benefits expense to operating revenue;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ability to deploy surplus cash through distributions to members, purchases of Lazard Ltd Class A common stock and debt repurchases;</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6" w:name="page37"/>
    <w:bookmarkEnd w:id="36"/>
    <w:p>
      <w:pPr>
        <w:ind w:left="900" w:right="56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levels of compensation expense, including awarded compensation and benefits expense and adjusted compensation and benefits expense, and non-compensation expense;</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900" w:right="26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225"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 xml:space="preserve">The Company is committed to providing timely and accurate information to the investing public, consistent with our legal and regulatory obligations. To that end, the Company uses its website, its twitter account (twitter.com/Lazard) and other social media 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our Asset Management business. Investors can link to Lazard Ltd, Lazard Group and their operating company websites through </w:t>
      </w:r>
      <w:r>
        <w:rPr>
          <w:rFonts w:ascii="Arial" w:cs="Arial" w:eastAsia="Arial" w:hAnsi="Arial"/>
          <w:sz w:val="17"/>
          <w:szCs w:val="17"/>
          <w:i w:val="1"/>
          <w:iCs w:val="1"/>
          <w:color w:val="auto"/>
        </w:rPr>
        <w:t>http://www.lazard.com</w:t>
      </w:r>
      <w:r>
        <w:rPr>
          <w:rFonts w:ascii="Arial" w:cs="Arial" w:eastAsia="Arial" w:hAnsi="Arial"/>
          <w:sz w:val="17"/>
          <w:szCs w:val="17"/>
          <w:color w:val="auto"/>
        </w:rPr>
        <w:t>. Our websites and social media sites and the information contained therein or connected thereto shall not be deemed to be incorporated into this Form 10-Q.</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87" w:lineRule="exact"/>
        <w:rPr>
          <w:sz w:val="20"/>
          <w:szCs w:val="20"/>
          <w:color w:val="auto"/>
        </w:rPr>
      </w:pPr>
    </w:p>
    <w:p>
      <w:pPr>
        <w:jc w:val="both"/>
        <w:ind w:right="40" w:firstLine="518"/>
        <w:spacing w:after="0" w:line="312"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47"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regional and local economic conditions. We believe that our business model as an independent advisor will continue to create opportunities for us to attract new clients and key personnel.</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117" w:lineRule="exact"/>
        <w:rPr>
          <w:sz w:val="20"/>
          <w:szCs w:val="20"/>
          <w:color w:val="auto"/>
        </w:rPr>
      </w:pPr>
    </w:p>
    <w:p>
      <w:pPr>
        <w:ind w:left="900" w:right="20" w:hanging="379"/>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shareholder advisory, and various other financial matters, and</w:t>
      </w:r>
    </w:p>
    <w:p>
      <w:pPr>
        <w:spacing w:after="0" w:line="73" w:lineRule="exact"/>
        <w:rPr>
          <w:rFonts w:ascii="Arial" w:cs="Arial" w:eastAsia="Arial" w:hAnsi="Arial"/>
          <w:sz w:val="18"/>
          <w:szCs w:val="18"/>
          <w:color w:val="auto"/>
        </w:rPr>
      </w:pPr>
    </w:p>
    <w:p>
      <w:pPr>
        <w:ind w:left="900" w:right="120" w:hanging="379"/>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37" w:name="page38"/>
    <w:bookmarkEnd w:id="37"/>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78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248"/>
              <w:spacing w:after="0"/>
              <w:rPr>
                <w:sz w:val="20"/>
                <w:szCs w:val="20"/>
                <w:color w:val="auto"/>
              </w:rPr>
            </w:pPr>
            <w:r>
              <w:rPr>
                <w:rFonts w:ascii="Arial" w:cs="Arial" w:eastAsia="Arial" w:hAnsi="Arial"/>
                <w:sz w:val="14"/>
                <w:szCs w:val="14"/>
                <w:b w:val="1"/>
                <w:bCs w:val="1"/>
                <w:color w:val="auto"/>
                <w:w w:val="89"/>
              </w:rPr>
              <w:t>June 30,</w:t>
            </w:r>
          </w:p>
        </w:tc>
        <w:tc>
          <w:tcPr>
            <w:tcW w:w="3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Borders>
              <w:bottom w:val="single" w:sz="8" w:color="auto"/>
            </w:tcBorders>
            <w:gridSpan w:val="3"/>
          </w:tcPr>
          <w:p>
            <w:pPr>
              <w:jc w:val="center"/>
              <w:ind w:left="598"/>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Financial Advisory</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57%</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54%</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Asset Management</w:t>
            </w: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100%</w:t>
            </w:r>
          </w:p>
        </w:tc>
        <w:tc>
          <w:tcPr>
            <w:tcW w:w="6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Edgewater, our Chicago-based private equity firm, (ii) a fund targeting significant noncontrolling-stake investments in established private companies and (iii) until the second quarter of 2017, a mezzanine fund (the “Mezzanine Fund”), which invests in mezzanine debt of a diversified selection of small- to mid-cap European companies. Lazard sold its interest in the Mezzanine Fund in May 2017.We also make investments to seed our Asset Management strategies.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58"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Equity market indices for developed and emerging markets at June 30, 2017 generally increased as compared to such indices at June 30, 2016 and December 31, 2016. In the global M&amp;A markets during the first half of 2017, the value and number of all completed M&amp;A transactions decreased as compared to the same period in the prior year, as did the subset of such transactions involving values greater than $500 million. During the same time, the value and number of all announced M&amp;A transactions, as well as the value of the subset of such transactions involving values greater than $500 million, also decreased. During the first half of 2017, global restructuring activity, as measured by the number of corporate defaults, decreased as compared to the first half of 2016, primarily due to a lower level of defaults in the commodity sectors.</w:t>
      </w:r>
    </w:p>
    <w:p>
      <w:pPr>
        <w:spacing w:after="0" w:line="178"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On an ongoing basis, regional, macroeconomic and geopolitical factors, including any potential regional tax or regulatory reform, may impact our business. Overall, the global macroeconomic outlook for the near- to mid-term appears positive. The U.S. economy appears to be healthy, and the European economy seems to continue to recover. Corporate cash balances remain high, and interest rates remain low for companies with strong credit ratings. Although market volatility may affect our business from time to time, the longer-term trends appear to remain favorable for both of our businesses.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117" w:lineRule="exact"/>
        <w:rPr>
          <w:sz w:val="20"/>
          <w:szCs w:val="20"/>
          <w:color w:val="auto"/>
        </w:rPr>
      </w:pPr>
    </w:p>
    <w:p>
      <w:pPr>
        <w:ind w:left="900" w:right="40" w:hanging="379"/>
        <w:spacing w:after="0" w:line="270"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Financial Advisory</w:t>
      </w:r>
      <w:r>
        <w:rPr>
          <w:rFonts w:ascii="Arial" w:cs="Arial" w:eastAsia="Arial" w:hAnsi="Arial"/>
          <w:sz w:val="17"/>
          <w:szCs w:val="17"/>
          <w:color w:val="auto"/>
        </w:rPr>
        <w:t>—The fundamentals for continued M&amp;A activity appear to remain in place. Although the strength of our Financial Advisory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in the second half of 2016 could make comparisons to future periods more challenging, we believe our Financial Advisory business is in a strong competitive position. Demand continues for expert, independent strategic advice that can be levered across geographies and our range of advisory capabilities. The global scale and breadth of our Financial Advisory business allows us to advise on large, complex cross-border transactions and restructuring transactions across a variety of industries. In addition, we believe our businesses throughout the emerging markets position us for growth in these markets, while enhancing our relationships with, and the services that we can provide to, clients in other economies. In the third quarter of 2016, Lazard Ltd expanded its North American Financial Advisory business through the acquisition of an independent financial advisory firm based in Canada. In addition, in October 2016, we acquired the portion of MBA Lazard that we did not previously own, thereby fully integrating our Latin American operations. We believe that these transactions have augmented the strength of our Financial Advisory business throughout the Americas.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8" w:name="page39"/>
    <w:bookmarkEnd w:id="38"/>
    <w:p>
      <w:pPr>
        <w:ind w:left="900" w:right="20" w:hanging="379"/>
        <w:spacing w:after="0" w:line="270"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Asset Management</w:t>
      </w:r>
      <w:r>
        <w:rPr>
          <w:rFonts w:ascii="Arial" w:cs="Arial" w:eastAsia="Arial" w:hAnsi="Arial"/>
          <w:sz w:val="17"/>
          <w:szCs w:val="17"/>
          <w:color w:val="auto"/>
        </w:rPr>
        <w:t>—In the short to intermediate term, we expect most investor demand will come from defined benefit and defined contribution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slowly expand. Given our diversified investment platform and our ability to provide investment solutions for a global mix of clients, we believe we are positioned to benefit from growth that may occur in the asset management industry. We are continually developing and seeding new investment strategies that extend our existing platforms. Recent examples of growth initiatives include the following investment strategies: European Long/Short Equity, various Quantitative Equity strategies, various Multi-Asset strategies, a Real Assets strategy, and a Global Equity Franchise strategy.</w:t>
      </w:r>
    </w:p>
    <w:p>
      <w:pPr>
        <w:spacing w:after="0" w:line="18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188" w:lineRule="exact"/>
        <w:rPr>
          <w:sz w:val="20"/>
          <w:szCs w:val="20"/>
          <w:color w:val="auto"/>
        </w:rPr>
      </w:pPr>
    </w:p>
    <w:p>
      <w:pPr>
        <w:ind w:right="280" w:firstLine="518"/>
        <w:spacing w:after="0" w:line="308" w:lineRule="auto"/>
        <w:rPr>
          <w:sz w:val="20"/>
          <w:szCs w:val="20"/>
          <w:color w:val="auto"/>
        </w:rPr>
      </w:pPr>
      <w:r>
        <w:rPr>
          <w:rFonts w:ascii="Arial" w:cs="Arial" w:eastAsia="Arial" w:hAnsi="Arial"/>
          <w:sz w:val="17"/>
          <w:szCs w:val="17"/>
          <w:color w:val="auto"/>
        </w:rPr>
        <w:t>Overall, we continue to focus on the development of our business, including the generation of stable revenue growth, earnings growth and member returns, the prudent management of our costs and expenses, the efficient use of our assets and the return of equity to our members.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ind w:right="360" w:firstLine="518"/>
        <w:spacing w:after="0" w:line="259" w:lineRule="auto"/>
        <w:rPr>
          <w:sz w:val="20"/>
          <w:szCs w:val="20"/>
          <w:color w:val="auto"/>
        </w:rPr>
      </w:pPr>
      <w:r>
        <w:rPr>
          <w:rFonts w:ascii="Arial" w:cs="Arial" w:eastAsia="Arial" w:hAnsi="Arial"/>
          <w:sz w:val="18"/>
          <w:szCs w:val="18"/>
          <w:color w:val="auto"/>
        </w:rPr>
        <w:t>As reflected in the following table, which sets forth global M&amp;A industry statistics, the value and number of all completed transactions, including completed transactions with values greater than $500 million, decreased in the first half of 2017 as compared to 2016. With respect to announced M&amp;A transactions, the value and number of all transactions, as well as the value of the subset of such transactions involving values greater than $500 million, decreased in the first half of 2017 as compared to 2016.</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1"/>
                <w:szCs w:val="11"/>
                <w:color w:val="auto"/>
              </w:rPr>
            </w:pPr>
          </w:p>
        </w:tc>
        <w:tc>
          <w:tcPr>
            <w:tcW w:w="78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89"/>
              </w:rPr>
              <w:t>2016</w:t>
            </w:r>
          </w:p>
        </w:tc>
        <w:tc>
          <w:tcPr>
            <w:tcW w:w="900" w:type="dxa"/>
            <w:vAlign w:val="bottom"/>
          </w:tcPr>
          <w:p>
            <w:pPr>
              <w:jc w:val="right"/>
              <w:ind w:right="254"/>
              <w:spacing w:after="0" w:line="133"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1"/>
                <w:szCs w:val="11"/>
                <w:color w:val="auto"/>
              </w:rPr>
            </w:pPr>
          </w:p>
        </w:tc>
        <w:tc>
          <w:tcPr>
            <w:tcW w:w="800" w:type="dxa"/>
            <w:vAlign w:val="bottom"/>
          </w:tcPr>
          <w:p>
            <w:pPr>
              <w:jc w:val="right"/>
              <w:ind w:right="254"/>
              <w:spacing w:after="0" w:line="13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Incr / (Decr)</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Incr / (Decr)</w:t>
            </w: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 in billions)</w:t>
            </w:r>
          </w:p>
        </w:tc>
        <w:tc>
          <w:tcPr>
            <w:tcW w:w="9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Completed M&amp;A Transactions: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All deals: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861</w:t>
            </w:r>
          </w:p>
        </w:tc>
        <w:tc>
          <w:tcPr>
            <w:tcW w:w="22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938</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w:t>
            </w:r>
          </w:p>
        </w:tc>
        <w:tc>
          <w:tcPr>
            <w:tcW w:w="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8,608</w:t>
            </w:r>
          </w:p>
        </w:tc>
        <w:tc>
          <w:tcPr>
            <w:tcW w:w="22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9,694</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18,412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19,674</w:t>
            </w:r>
          </w:p>
        </w:tc>
        <w:tc>
          <w:tcPr>
            <w:tcW w:w="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Deals Greater than $500 million:</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672</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710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1,307</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1,393</w:t>
            </w:r>
          </w:p>
        </w:tc>
        <w:tc>
          <w:tcPr>
            <w:tcW w:w="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275</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539</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deals: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833</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925</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1,595</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1,662</w:t>
            </w:r>
          </w:p>
        </w:tc>
        <w:tc>
          <w:tcPr>
            <w:tcW w:w="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9,280</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9,734</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19,753</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Deals Greater than $500 million:</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610</w:t>
            </w:r>
          </w:p>
        </w:tc>
        <w:tc>
          <w:tcPr>
            <w:tcW w:w="22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686</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w:t>
            </w:r>
          </w:p>
        </w:tc>
        <w:tc>
          <w:tcPr>
            <w:tcW w:w="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1,201</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306</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544</w:t>
            </w:r>
          </w:p>
        </w:tc>
        <w:tc>
          <w:tcPr>
            <w:tcW w:w="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59690</wp:posOffset>
            </wp:positionV>
            <wp:extent cx="12090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Source: Dealogic as of July 7, 2017.</w:t>
      </w:r>
    </w:p>
    <w:p>
      <w:pPr>
        <w:spacing w:after="0" w:line="225"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Global restructuring activity during the first half of 2017, as measured by the number of corporate defaults, decreased as compared to the first half of 2016. The number of defaulting issuers decreased to 50 in the first half of 2017, according to Moody’s Investors Service, Inc., as compared to 88 in the first half of 2016, primarily due to a lower level of defaults in the commodity sectors.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9" w:name="page40"/>
    <w:bookmarkEnd w:id="39"/>
    <w:p>
      <w:pPr>
        <w:ind w:firstLine="518"/>
        <w:spacing w:after="0" w:line="269" w:lineRule="auto"/>
        <w:rPr>
          <w:sz w:val="20"/>
          <w:szCs w:val="20"/>
          <w:color w:val="auto"/>
        </w:rPr>
      </w:pPr>
      <w:r>
        <w:rPr>
          <w:rFonts w:ascii="Arial" w:cs="Arial" w:eastAsia="Arial" w:hAnsi="Arial"/>
          <w:sz w:val="17"/>
          <w:szCs w:val="17"/>
          <w:color w:val="auto"/>
        </w:rPr>
        <w:t>Net revenue trends in Financial Advisory for M&amp;A and Strategic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our M&amp;A and Strategic Advisory revenue, which includes M&amp;A Advisory, Capital Advisory, Capital Raising and Sovereign Advisory revenue, increased 30% in the first half of 2017 as compared to 2016. The industry statistics for global M&amp;A transactions described above reflect a 7% and 6% decrease in the value and number, respectively, of all completed transactions in the first half of 2017 as compared to 2016. For M&amp;A deals with values greater than $500 million, the value and number of completed transactions in the first half of 2017 decreased 6% and 1%, respectively, as compared to 2016. In addition, with respect to our restructuring activity, revenue increased 53% in the first half of 2017 as compared to 2016, in contrast to a 43% decrease in global default activity in the first half of 2017 as compared to 2016.</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percentage change in major equity market indices at June 30, 2017, as compared to such indices at March 31, 2017, December 31, 2016, and at June 30, 2016, is shown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Percentage Changes</w:t>
            </w:r>
          </w:p>
        </w:tc>
        <w:tc>
          <w:tcPr>
            <w:tcW w:w="12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0"/>
              </w:rPr>
              <w:t>June 30, 2017 vs.</w:t>
            </w:r>
          </w:p>
        </w:tc>
        <w:tc>
          <w:tcPr>
            <w:tcW w:w="120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860" w:type="dxa"/>
            <w:vAlign w:val="bottom"/>
          </w:tcPr>
          <w:p>
            <w:pPr>
              <w:jc w:val="center"/>
              <w:ind w:left="88"/>
              <w:spacing w:after="0" w:line="133" w:lineRule="exact"/>
              <w:rPr>
                <w:sz w:val="20"/>
                <w:szCs w:val="20"/>
                <w:color w:val="auto"/>
              </w:rPr>
            </w:pPr>
            <w:r>
              <w:rPr>
                <w:rFonts w:ascii="Arial" w:cs="Arial" w:eastAsia="Arial" w:hAnsi="Arial"/>
                <w:sz w:val="14"/>
                <w:szCs w:val="14"/>
                <w:b w:val="1"/>
                <w:bCs w:val="1"/>
                <w:color w:val="auto"/>
                <w:w w:val="95"/>
              </w:rPr>
              <w:t>March 31,</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00" w:type="dxa"/>
            <w:vAlign w:val="bottom"/>
          </w:tcPr>
          <w:p>
            <w:pPr>
              <w:jc w:val="right"/>
              <w:ind w:right="356"/>
              <w:spacing w:after="0" w:line="133" w:lineRule="exact"/>
              <w:rPr>
                <w:sz w:val="20"/>
                <w:szCs w:val="20"/>
                <w:color w:val="auto"/>
              </w:rPr>
            </w:pPr>
            <w:r>
              <w:rPr>
                <w:rFonts w:ascii="Arial" w:cs="Arial" w:eastAsia="Arial" w:hAnsi="Arial"/>
                <w:sz w:val="14"/>
                <w:szCs w:val="14"/>
                <w:b w:val="1"/>
                <w:bCs w:val="1"/>
                <w:color w:val="auto"/>
              </w:rPr>
              <w:t>June 30,</w:t>
            </w:r>
          </w:p>
        </w:tc>
      </w:tr>
      <w:tr>
        <w:trPr>
          <w:trHeight w:val="171"/>
        </w:trPr>
        <w:tc>
          <w:tcPr>
            <w:tcW w:w="604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4"/>
                <w:szCs w:val="14"/>
                <w:color w:val="auto"/>
              </w:rPr>
            </w:pPr>
          </w:p>
        </w:tc>
        <w:tc>
          <w:tcPr>
            <w:tcW w:w="1200" w:type="dxa"/>
            <w:vAlign w:val="bottom"/>
          </w:tcPr>
          <w:p>
            <w:pPr>
              <w:jc w:val="right"/>
              <w:ind w:right="476"/>
              <w:spacing w:after="0"/>
              <w:rPr>
                <w:sz w:val="20"/>
                <w:szCs w:val="20"/>
                <w:color w:val="auto"/>
              </w:rPr>
            </w:pPr>
            <w:r>
              <w:rPr>
                <w:rFonts w:ascii="Arial" w:cs="Arial" w:eastAsia="Arial" w:hAnsi="Arial"/>
                <w:sz w:val="14"/>
                <w:szCs w:val="14"/>
                <w:b w:val="1"/>
                <w:bCs w:val="1"/>
                <w:color w:val="auto"/>
              </w:rPr>
              <w:t>2016</w:t>
            </w:r>
          </w:p>
        </w:tc>
      </w:tr>
      <w:tr>
        <w:trPr>
          <w:trHeight w:val="223"/>
        </w:trPr>
        <w:tc>
          <w:tcPr>
            <w:tcW w:w="20" w:type="dxa"/>
            <w:vAlign w:val="bottom"/>
          </w:tcPr>
          <w:p>
            <w:pPr>
              <w:spacing w:after="0"/>
              <w:rPr>
                <w:sz w:val="19"/>
                <w:szCs w:val="19"/>
                <w:color w:val="auto"/>
              </w:rPr>
            </w:pPr>
          </w:p>
        </w:tc>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MSCI World Index</w:t>
            </w:r>
          </w:p>
        </w:tc>
        <w:tc>
          <w:tcPr>
            <w:tcW w:w="86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Euro Stoxx</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(2)%</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20" w:type="dxa"/>
            <w:vAlign w:val="bottom"/>
          </w:tcPr>
          <w:p>
            <w:pPr>
              <w:spacing w:after="0"/>
              <w:rPr>
                <w:sz w:val="19"/>
                <w:szCs w:val="19"/>
                <w:color w:val="auto"/>
              </w:rPr>
            </w:pPr>
          </w:p>
        </w:tc>
        <w:tc>
          <w:tcPr>
            <w:tcW w:w="6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MSCI Emerging Market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20" w:type="dxa"/>
            <w:vAlign w:val="bottom"/>
          </w:tcPr>
          <w:p>
            <w:pPr>
              <w:spacing w:after="0"/>
              <w:rPr>
                <w:sz w:val="20"/>
                <w:szCs w:val="20"/>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41" w:lineRule="exact"/>
        <w:rPr>
          <w:sz w:val="20"/>
          <w:szCs w:val="20"/>
          <w:color w:val="auto"/>
        </w:rPr>
      </w:pPr>
    </w:p>
    <w:p>
      <w:pPr>
        <w:jc w:val="both"/>
        <w:ind w:right="100" w:firstLine="518"/>
        <w:spacing w:after="0" w:line="288"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w:t>
      </w:r>
    </w:p>
    <w:p>
      <w:pPr>
        <w:spacing w:after="0" w:line="254" w:lineRule="auto"/>
        <w:rPr>
          <w:sz w:val="20"/>
          <w:szCs w:val="20"/>
          <w:color w:val="auto"/>
        </w:rPr>
      </w:pPr>
      <w:r>
        <w:rPr>
          <w:rFonts w:ascii="Arial" w:cs="Arial" w:eastAsia="Arial" w:hAnsi="Arial"/>
          <w:sz w:val="18"/>
          <w:szCs w:val="18"/>
          <w:color w:val="auto"/>
        </w:rPr>
        <w:t>Movements in AUM during the period generally reflect the changes in equity market indices. Our AUM at June 30, 2017 increased 14% versus AUM at December 31, 2016, primarily due to market and foreign exchange appreciation and net inflows. Average AUM for the second quarter of 2017 was 15% higher than the average AUM for the second quarter of 2016. Average AUM for the first half of 2017 increased 14% as compared to average AUM in the first half of 2016.</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82"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Lazard’s Asset Management segment principally includes Lazard Asset Management LLC (together with its subsidiaries, “LAM”), Lazard Frères Gestion SAS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0" w:name="page41"/>
    <w:bookmarkEnd w:id="40"/>
    <w:p>
      <w:pPr>
        <w:spacing w:after="0" w:line="270" w:lineRule="auto"/>
        <w:rPr>
          <w:sz w:val="20"/>
          <w:szCs w:val="20"/>
          <w:color w:val="auto"/>
        </w:rPr>
      </w:pPr>
      <w:r>
        <w:rPr>
          <w:rFonts w:ascii="Arial" w:cs="Arial" w:eastAsia="Arial" w:hAnsi="Arial"/>
          <w:sz w:val="17"/>
          <w:szCs w:val="17"/>
          <w:color w:val="auto"/>
        </w:rPr>
        <w:t>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and the overall amount of management fees generated by the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82"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a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6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8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Although Corporate segment net revenue during 2017 is not significant compared to Lazard’s net revenue, total assets in the Corporate segment represented 57% of Lazard’s consolidated total assets as of June 30, 2017, which are attributable to cash and cash equivalents, investments in debt and equity securities, interests in alternative investment, debt, equity and private equity funds, deferred tax assets and certain assets associated with LFB. LFB, as a registered bank, is engaged primarily in commercial and private banking services for clients and funds managed by LFG and other clients, and asset-liability management.</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2008 Incentive Compensation Plan (the “2008 Plan”), and (b) LFI and other similar deferred compensation arrangements (see Note 12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6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8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ind w:right="260"/>
        <w:spacing w:after="0" w:line="277" w:lineRule="auto"/>
        <w:rPr>
          <w:sz w:val="20"/>
          <w:szCs w:val="20"/>
          <w:color w:val="auto"/>
        </w:rPr>
      </w:pPr>
      <w:r>
        <w:rPr>
          <w:rFonts w:ascii="Arial" w:cs="Arial" w:eastAsia="Arial" w:hAnsi="Arial"/>
          <w:sz w:val="18"/>
          <w:szCs w:val="18"/>
          <w:color w:val="auto"/>
        </w:rPr>
        <w:t>“Awarded compensation and benefits expense” for a given year is calculated using “adjusted compensation and benefits expense,” also a non-U.S. GAAP measure, as modified by the following items:</w:t>
      </w:r>
    </w:p>
    <w:p>
      <w:pPr>
        <w:spacing w:after="0" w:line="62" w:lineRule="exact"/>
        <w:rPr>
          <w:sz w:val="20"/>
          <w:szCs w:val="20"/>
          <w:color w:val="auto"/>
        </w:rPr>
      </w:pPr>
    </w:p>
    <w:p>
      <w:pPr>
        <w:ind w:left="900" w:right="40" w:hanging="379"/>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117" w:lineRule="exact"/>
        <w:rPr>
          <w:rFonts w:ascii="Arial" w:cs="Arial" w:eastAsia="Arial" w:hAnsi="Arial"/>
          <w:sz w:val="18"/>
          <w:szCs w:val="18"/>
          <w:color w:val="auto"/>
        </w:rPr>
      </w:pPr>
    </w:p>
    <w:p>
      <w:pPr>
        <w:ind w:left="1420" w:right="220" w:hanging="386"/>
        <w:spacing w:after="0" w:line="264" w:lineRule="auto"/>
        <w:tabs>
          <w:tab w:leader="none" w:pos="14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deferred incentive compensation awards granted in the year-end compensation process with respect to the fiscal year (</w:t>
      </w:r>
      <w:r>
        <w:rPr>
          <w:rFonts w:ascii="Arial" w:cs="Arial" w:eastAsia="Arial" w:hAnsi="Arial"/>
          <w:sz w:val="18"/>
          <w:szCs w:val="18"/>
          <w:i w:val="1"/>
          <w:iCs w:val="1"/>
          <w:color w:val="auto"/>
        </w:rPr>
        <w:t>e.g</w:t>
      </w:r>
      <w:r>
        <w:rPr>
          <w:rFonts w:ascii="Arial" w:cs="Arial" w:eastAsia="Arial" w:hAnsi="Arial"/>
          <w:sz w:val="18"/>
          <w:szCs w:val="18"/>
          <w:color w:val="auto"/>
        </w:rPr>
        <w:t>., deferred incentive compensation awards granted in 2017 related to the 2016 year-end compensation process), including Performance-based restricted stock unit (“PRSU”) awards (based on the target payout level);</w:t>
      </w:r>
    </w:p>
    <w:p>
      <w:pPr>
        <w:spacing w:after="0" w:line="73" w:lineRule="exact"/>
        <w:rPr>
          <w:rFonts w:ascii="Arial" w:cs="Arial" w:eastAsia="Arial" w:hAnsi="Arial"/>
          <w:sz w:val="18"/>
          <w:szCs w:val="18"/>
          <w:color w:val="auto"/>
        </w:rPr>
      </w:pPr>
    </w:p>
    <w:p>
      <w:pPr>
        <w:ind w:left="1420" w:right="400" w:hanging="386"/>
        <w:spacing w:after="0" w:line="277" w:lineRule="auto"/>
        <w:tabs>
          <w:tab w:leader="none" w:pos="14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“sign-on” bonuses or retention awards) and other special deferred incentive compensation awards that is applicable to the fiscal year the award becomes effective; and</w:t>
      </w:r>
    </w:p>
    <w:p>
      <w:pPr>
        <w:spacing w:after="0" w:line="62" w:lineRule="exact"/>
        <w:rPr>
          <w:rFonts w:ascii="Arial" w:cs="Arial" w:eastAsia="Arial" w:hAnsi="Arial"/>
          <w:sz w:val="18"/>
          <w:szCs w:val="18"/>
          <w:color w:val="auto"/>
        </w:rPr>
      </w:pPr>
    </w:p>
    <w:p>
      <w:pPr>
        <w:ind w:left="1420" w:hanging="386"/>
        <w:spacing w:after="0"/>
        <w:tabs>
          <w:tab w:leader="none" w:pos="14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amounts in excess of the target payout level for PRSU awards at the end of their respective performance periods;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225"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Compensation and benefits expense is the largest component of our operating expenses. We seek to maintain discipline with respect to compensation, including the rate at which we award deferred compensation. Our goal is to maintain a ratio of awarded compensation and benefits expense to operating revenue and a ratio of adjusted compensation and benefits expense to operating revenue over the cycle in the mid-to-high-50s percentage range, which compares to 55.8% and 56.5%, respectively, for the year ended December 31, 2016. While we have implemented policies and initiatives that we believe will assist us in maintaining ratios within this range, there can be no guarantee that we will continue to maintain such ratios,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or various other factors could prevent us from achieving this goal.</w:t>
      </w:r>
    </w:p>
    <w:p>
      <w:pPr>
        <w:spacing w:after="0" w:line="182" w:lineRule="exact"/>
        <w:rPr>
          <w:sz w:val="20"/>
          <w:szCs w:val="20"/>
          <w:color w:val="auto"/>
        </w:rPr>
      </w:pPr>
    </w:p>
    <w:p>
      <w:pPr>
        <w:ind w:right="500" w:firstLine="518"/>
        <w:spacing w:after="0" w:line="342" w:lineRule="auto"/>
        <w:rPr>
          <w:sz w:val="20"/>
          <w:szCs w:val="20"/>
          <w:color w:val="auto"/>
        </w:rPr>
      </w:pPr>
      <w:r>
        <w:rPr>
          <w:rFonts w:ascii="Arial" w:cs="Arial" w:eastAsia="Arial" w:hAnsi="Arial"/>
          <w:sz w:val="16"/>
          <w:szCs w:val="16"/>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w:t>
      </w:r>
    </w:p>
    <w:p>
      <w:pPr>
        <w:spacing w:after="0" w:line="124" w:lineRule="exact"/>
        <w:rPr>
          <w:sz w:val="20"/>
          <w:szCs w:val="20"/>
          <w:color w:val="auto"/>
        </w:rPr>
      </w:pPr>
    </w:p>
    <w:p>
      <w:pPr>
        <w:ind w:right="140" w:firstLine="518"/>
        <w:spacing w:after="0" w:line="342" w:lineRule="auto"/>
        <w:rPr>
          <w:sz w:val="20"/>
          <w:szCs w:val="20"/>
          <w:color w:val="auto"/>
        </w:rPr>
      </w:pPr>
      <w:r>
        <w:rPr>
          <w:rFonts w:ascii="Arial" w:cs="Arial" w:eastAsia="Arial" w:hAnsi="Arial"/>
          <w:sz w:val="16"/>
          <w:szCs w:val="16"/>
          <w:color w:val="auto"/>
        </w:rPr>
        <w:t>We believe that “adjusted non-compensation expense”, a non-U.S. GAAP measure, provides a more meaningful basis for our investors to assess our operating results. For calculations with respect to “adjusted non-compensation expense”, see the table under “Consolidated Results of Operations” below.</w:t>
      </w:r>
    </w:p>
    <w:p>
      <w:pPr>
        <w:spacing w:after="0" w:line="124"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Our operating expenses also include “amortization and other acquisition-related costs”, which includes the change in fair value of the contingent consideration associated with business acquisitions.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 because taxes associated with such income represent obligations of the individual partners. Lazard Group,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14 of Notes to Condensed Consolidated Financial Statements for additional information).</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320" w:firstLine="518"/>
        <w:spacing w:after="0" w:line="342" w:lineRule="auto"/>
        <w:rPr>
          <w:sz w:val="20"/>
          <w:szCs w:val="20"/>
          <w:color w:val="auto"/>
        </w:rPr>
      </w:pPr>
      <w:r>
        <w:rPr>
          <w:rFonts w:ascii="Arial" w:cs="Arial" w:eastAsia="Arial" w:hAnsi="Arial"/>
          <w:sz w:val="16"/>
          <w:szCs w:val="16"/>
          <w:color w:val="auto"/>
        </w:rPr>
        <w:t>Noncontrolling interests primarily consist of amounts related to Edgewater’s management vehicles that the Company is deemed to control but not own. See Note 11 of Notes to Condensed Consolidated Financial Statements for information regarding the Company’s noncontrolling interests.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in the condensed consolidated statements of operations.</w:t>
      </w:r>
    </w:p>
    <w:p>
      <w:pPr>
        <w:spacing w:after="0" w:line="165"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A portion of our net revenue is derived from transactions that are denominated in currencies other than the U.S. Dollar. Since the middle of 2014, the value of the U.S. Dollar has strengthened against many other major currencies. As a result, net revenue for the three month and six month periods ended June 30, 2017 was negatively impacted in comparison to the prior year period. The majority of the negative impact was offset by the positive impact of the exchange rate movements on our operating expenses denominated in currencies other than the U.S. Dollar.</w:t>
      </w:r>
    </w:p>
    <w:p>
      <w:pPr>
        <w:spacing w:after="0" w:line="171"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The condensed consolidated financial statements are prepared in conformity with U.S. GAAP. Selected financial data derived from the Company’s reported condensed consolidated results of operations is set forth below, followed by a more detailed discussion of both the consolidated and business segment results.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225"/>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Revenue</w:t>
            </w:r>
          </w:p>
        </w:tc>
        <w:tc>
          <w:tcPr>
            <w:tcW w:w="9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716,026</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533,711</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1,338,503</w:t>
            </w:r>
          </w:p>
        </w:tc>
        <w:tc>
          <w:tcPr>
            <w:tcW w:w="2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1,031,315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7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413,532</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308,296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774,848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605,494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Non-compensation</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126,785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111,751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233,786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213,466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other acquisition-related costs</w:t>
            </w:r>
          </w:p>
        </w:tc>
        <w:tc>
          <w:tcPr>
            <w:tcW w:w="7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540,780</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420,377</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1,010,245</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819,934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175,246</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113,334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328,258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211,381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32,440</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15,722</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54,435</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27,457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142,806</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97,612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273,823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183,924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3,399</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4,906</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142,284</w:t>
            </w:r>
          </w:p>
        </w:tc>
        <w:tc>
          <w:tcPr>
            <w:tcW w:w="3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96,606</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270,424</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179,018</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24.5%</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716,026</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533,711</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1,338,503</w:t>
            </w:r>
          </w:p>
        </w:tc>
        <w:tc>
          <w:tcPr>
            <w:tcW w:w="160" w:type="dxa"/>
            <w:vAlign w:val="bottom"/>
          </w:tcPr>
          <w:p>
            <w:pPr>
              <w:spacing w:after="0"/>
              <w:rPr>
                <w:sz w:val="19"/>
                <w:szCs w:val="19"/>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1,031,315</w:t>
            </w:r>
          </w:p>
        </w:tc>
        <w:tc>
          <w:tcPr>
            <w:tcW w:w="100" w:type="dxa"/>
            <w:vAlign w:val="bottom"/>
          </w:tcPr>
          <w:p>
            <w:pPr>
              <w:spacing w:after="0"/>
              <w:rPr>
                <w:sz w:val="19"/>
                <w:szCs w:val="19"/>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gridSpan w:val="2"/>
          </w:tcPr>
          <w:p>
            <w:pPr>
              <w:ind w:left="260"/>
              <w:spacing w:after="0"/>
              <w:rPr>
                <w:sz w:val="20"/>
                <w:szCs w:val="20"/>
                <w:color w:val="auto"/>
              </w:rPr>
            </w:pPr>
            <w:r>
              <w:rPr>
                <w:rFonts w:ascii="Arial" w:cs="Arial" w:eastAsia="Arial" w:hAnsi="Arial"/>
                <w:sz w:val="18"/>
                <w:szCs w:val="18"/>
                <w:color w:val="auto"/>
              </w:rPr>
              <w:t>Interest expense (a)</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12,764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12,199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26,897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24,547</w:t>
            </w:r>
          </w:p>
        </w:tc>
        <w:tc>
          <w:tcPr>
            <w:tcW w:w="100" w:type="dxa"/>
            <w:vAlign w:val="bottom"/>
          </w:tcPr>
          <w:p>
            <w:pPr>
              <w:spacing w:after="0"/>
              <w:rPr>
                <w:sz w:val="19"/>
                <w:szCs w:val="19"/>
                <w:color w:val="auto"/>
              </w:rPr>
            </w:pPr>
          </w:p>
        </w:tc>
      </w:tr>
      <w:tr>
        <w:trPr>
          <w:trHeight w:val="230"/>
        </w:trPr>
        <w:tc>
          <w:tcPr>
            <w:tcW w:w="5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Revenue related to noncontrolling interests (b)</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(3,098)</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(3,398)</w:t>
            </w: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(8,040)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(9,610)</w:t>
            </w:r>
          </w:p>
        </w:tc>
      </w:tr>
      <w:tr>
        <w:trPr>
          <w:trHeight w:val="230"/>
        </w:trPr>
        <w:tc>
          <w:tcPr>
            <w:tcW w:w="5960" w:type="dxa"/>
            <w:vAlign w:val="bottom"/>
            <w:gridSpan w:val="2"/>
          </w:tcPr>
          <w:p>
            <w:pPr>
              <w:ind w:left="260"/>
              <w:spacing w:after="0"/>
              <w:rPr>
                <w:sz w:val="20"/>
                <w:szCs w:val="20"/>
                <w:color w:val="auto"/>
              </w:rPr>
            </w:pPr>
            <w:r>
              <w:rPr>
                <w:rFonts w:ascii="Arial" w:cs="Arial" w:eastAsia="Arial" w:hAnsi="Arial"/>
                <w:sz w:val="18"/>
                <w:szCs w:val="18"/>
                <w:color w:val="auto"/>
              </w:rPr>
              <w:t>(Gains) losses on investments pertaining to LFI (c)</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(5,753)</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(13,106)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revenue</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719,939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542,200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1,344,254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1,048,454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380" w:right="40" w:hanging="372"/>
        <w:spacing w:after="0" w:line="277"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spacing w:after="0" w:line="62" w:lineRule="exact"/>
        <w:rPr>
          <w:rFonts w:ascii="Arial" w:cs="Arial" w:eastAsia="Arial" w:hAnsi="Arial"/>
          <w:sz w:val="18"/>
          <w:szCs w:val="18"/>
          <w:color w:val="auto"/>
        </w:rPr>
      </w:pPr>
    </w:p>
    <w:p>
      <w:pPr>
        <w:ind w:left="380" w:right="220" w:hanging="372"/>
        <w:spacing w:after="0" w:line="277"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spacing w:after="0" w:line="62" w:lineRule="exact"/>
        <w:rPr>
          <w:rFonts w:ascii="Arial" w:cs="Arial" w:eastAsia="Arial" w:hAnsi="Arial"/>
          <w:sz w:val="18"/>
          <w:szCs w:val="18"/>
          <w:color w:val="auto"/>
        </w:rPr>
      </w:pPr>
    </w:p>
    <w:p>
      <w:pPr>
        <w:ind w:left="380" w:right="460" w:hanging="372"/>
        <w:spacing w:after="0" w:line="277"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w w:val="83"/>
              </w:rPr>
              <w:t>2016</w:t>
            </w:r>
          </w:p>
        </w:tc>
        <w:tc>
          <w:tcPr>
            <w:tcW w:w="18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413,532</w:t>
            </w:r>
          </w:p>
        </w:tc>
        <w:tc>
          <w:tcPr>
            <w:tcW w:w="22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308,296</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774,848</w:t>
            </w:r>
          </w:p>
        </w:tc>
        <w:tc>
          <w:tcPr>
            <w:tcW w:w="240" w:type="dxa"/>
            <w:vAlign w:val="bottom"/>
          </w:tcPr>
          <w:p>
            <w:pPr>
              <w:spacing w:after="0"/>
              <w:rPr>
                <w:sz w:val="19"/>
                <w:szCs w:val="19"/>
                <w:color w:val="auto"/>
              </w:rPr>
            </w:pP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605,494</w:t>
            </w:r>
          </w:p>
        </w:tc>
        <w:tc>
          <w:tcPr>
            <w:tcW w:w="180" w:type="dxa"/>
            <w:vAlign w:val="bottom"/>
          </w:tcPr>
          <w:p>
            <w:pPr>
              <w:spacing w:after="0"/>
              <w:rPr>
                <w:sz w:val="19"/>
                <w:szCs w:val="19"/>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(a)</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(1,968)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(1,594)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(3,611)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(3,346)</w:t>
            </w:r>
          </w:p>
        </w:tc>
      </w:tr>
      <w:tr>
        <w:trPr>
          <w:trHeight w:val="230"/>
        </w:trPr>
        <w:tc>
          <w:tcPr>
            <w:tcW w:w="5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 credits pertaining to LFI (b)</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(5,753)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(13,106)</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2,202</w:t>
            </w:r>
          </w:p>
        </w:tc>
        <w:tc>
          <w:tcPr>
            <w:tcW w:w="180" w:type="dxa"/>
            <w:vAlign w:val="bottom"/>
            <w:shd w:val="clear" w:color="auto" w:fill="CFF0FC"/>
          </w:tcPr>
          <w:p>
            <w:pPr>
              <w:spacing w:after="0"/>
              <w:rPr>
                <w:sz w:val="19"/>
                <w:szCs w:val="19"/>
                <w:color w:val="auto"/>
              </w:rPr>
            </w:pPr>
          </w:p>
        </w:tc>
      </w:tr>
      <w:tr>
        <w:trPr>
          <w:trHeight w:val="263"/>
        </w:trPr>
        <w:tc>
          <w:tcPr>
            <w:tcW w:w="5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Adjusted compensation and benefits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405,811</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306,390</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758,131</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604,350</w:t>
            </w:r>
          </w:p>
        </w:tc>
        <w:tc>
          <w:tcPr>
            <w:tcW w:w="180" w:type="dxa"/>
            <w:vAlign w:val="bottom"/>
            <w:tcBorders>
              <w:bottom w:val="single" w:sz="8" w:color="CFF0FC"/>
            </w:tcBorders>
          </w:tcPr>
          <w:p>
            <w:pPr>
              <w:spacing w:after="0"/>
              <w:rPr>
                <w:sz w:val="22"/>
                <w:szCs w:val="22"/>
                <w:color w:val="auto"/>
              </w:rPr>
            </w:pPr>
          </w:p>
        </w:tc>
      </w:tr>
      <w:tr>
        <w:trPr>
          <w:trHeight w:val="21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5"/>
              </w:rPr>
              <w:t>Adjusted compensation and benefits expense, as a % of operating revenue</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56.4%</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56.5%</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56.4%</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57.6%</w:t>
            </w: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38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3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13"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Lazard has no economic interest in such amounts.</w:t>
      </w:r>
    </w:p>
    <w:p>
      <w:pPr>
        <w:spacing w:after="0" w:line="130"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w w:val="83"/>
              </w:rPr>
              <w:t>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7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126,785</w:t>
            </w:r>
          </w:p>
        </w:tc>
        <w:tc>
          <w:tcPr>
            <w:tcW w:w="3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111,751</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233,786</w:t>
            </w:r>
          </w:p>
        </w:tc>
        <w:tc>
          <w:tcPr>
            <w:tcW w:w="240" w:type="dxa"/>
            <w:vAlign w:val="bottom"/>
          </w:tcPr>
          <w:p>
            <w:pPr>
              <w:spacing w:after="0"/>
              <w:rPr>
                <w:sz w:val="19"/>
                <w:szCs w:val="19"/>
                <w:color w:val="auto"/>
              </w:rPr>
            </w:pP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213,466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Expenses associated with ERP system implementation (a)</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(8,861)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(8,861)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Expenses related to office space reorganization (b)</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(3,161)</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(3,161)</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(c)</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(677)</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(1,099)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Adjusted non-compensation expense</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114,086</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111,114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220,665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212,431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w w:val="98"/>
              </w:rPr>
              <w:t>Adjusted non-compensation expense, as a % of operating revenue</w:t>
            </w: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expenses associated with the Enterprise Resource Planning (“ERP”) system implementation.</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incremental rent expense and lease abandonment costs related to office space reorganization.</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Expenses related to the consolidation of noncontrolling interests are excluded because the Company has no economic interest in such amounts.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8"/>
          </w:tcPr>
          <w:p>
            <w:pPr>
              <w:jc w:val="right"/>
              <w:ind w:right="9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9"/>
          </w:tcPr>
          <w:p>
            <w:pPr>
              <w:jc w:val="right"/>
              <w:ind w:right="1020"/>
              <w:spacing w:after="0" w:line="155"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Operating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719,939</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542,200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1,344,254</w:t>
            </w:r>
          </w:p>
        </w:tc>
        <w:tc>
          <w:tcPr>
            <w:tcW w:w="200" w:type="dxa"/>
            <w:vAlign w:val="bottom"/>
          </w:tcPr>
          <w:p>
            <w:pPr>
              <w:spacing w:after="0"/>
              <w:rPr>
                <w:sz w:val="19"/>
                <w:szCs w:val="19"/>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1,048,454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Deduct: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Adjusted compensation and benefits expense</w:t>
            </w:r>
          </w:p>
        </w:tc>
        <w:tc>
          <w:tcPr>
            <w:tcW w:w="260" w:type="dxa"/>
            <w:vAlign w:val="bottom"/>
          </w:tcPr>
          <w:p>
            <w:pPr>
              <w:spacing w:after="0"/>
              <w:rPr>
                <w:sz w:val="19"/>
                <w:szCs w:val="19"/>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(405,811)</w:t>
            </w:r>
          </w:p>
        </w:tc>
        <w:tc>
          <w:tcPr>
            <w:tcW w:w="10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(306,390)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(758,131)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(604,350)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non-compensation expense</w:t>
            </w:r>
          </w:p>
        </w:tc>
        <w:tc>
          <w:tcPr>
            <w:tcW w:w="26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(114,086)</w:t>
            </w:r>
          </w:p>
        </w:tc>
        <w:tc>
          <w:tcPr>
            <w:tcW w:w="100" w:type="dxa"/>
            <w:vAlign w:val="bottom"/>
            <w:shd w:val="clear" w:color="auto" w:fill="CFF0FC"/>
          </w:tcPr>
          <w:p>
            <w:pPr>
              <w:spacing w:after="0"/>
              <w:rPr>
                <w:sz w:val="19"/>
                <w:szCs w:val="19"/>
                <w:color w:val="auto"/>
              </w:rPr>
            </w:pPr>
          </w:p>
        </w:tc>
        <w:tc>
          <w:tcPr>
            <w:tcW w:w="128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(111,114)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(220,665)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(212,431)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from operations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200,042</w:t>
            </w:r>
          </w:p>
        </w:tc>
        <w:tc>
          <w:tcPr>
            <w:tcW w:w="3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124,696</w:t>
            </w:r>
          </w:p>
        </w:tc>
        <w:tc>
          <w:tcPr>
            <w:tcW w:w="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365,458</w:t>
            </w:r>
          </w:p>
        </w:tc>
        <w:tc>
          <w:tcPr>
            <w:tcW w:w="2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231,673</w:t>
            </w:r>
          </w:p>
        </w:tc>
        <w:tc>
          <w:tcPr>
            <w:tcW w:w="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Earnings from operations, as a % of operating revenue</w:t>
            </w:r>
          </w:p>
        </w:tc>
        <w:tc>
          <w:tcPr>
            <w:tcW w:w="26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bottom w:val="single" w:sz="8" w:color="CFF0FC"/>
            </w:tcBorders>
            <w:vMerge w:val="restart"/>
          </w:tcPr>
          <w:p>
            <w:pPr>
              <w:ind w:left="520"/>
              <w:spacing w:after="0"/>
              <w:rPr>
                <w:sz w:val="20"/>
                <w:szCs w:val="20"/>
                <w:color w:val="auto"/>
              </w:rPr>
            </w:pPr>
            <w:r>
              <w:rPr>
                <w:rFonts w:ascii="Arial" w:cs="Arial" w:eastAsia="Arial" w:hAnsi="Arial"/>
                <w:sz w:val="18"/>
                <w:szCs w:val="18"/>
                <w:color w:val="auto"/>
              </w:rPr>
              <w:t>Headcount information is set forth below:</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7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5"/>
          </w:tcPr>
          <w:p>
            <w:pPr>
              <w:jc w:val="right"/>
              <w:ind w:right="860"/>
              <w:spacing w:after="0" w:line="133" w:lineRule="exact"/>
              <w:rPr>
                <w:sz w:val="20"/>
                <w:szCs w:val="20"/>
                <w:color w:val="auto"/>
              </w:rPr>
            </w:pPr>
            <w:r>
              <w:rPr>
                <w:rFonts w:ascii="Arial" w:cs="Arial" w:eastAsia="Arial" w:hAnsi="Arial"/>
                <w:sz w:val="14"/>
                <w:szCs w:val="14"/>
                <w:b w:val="1"/>
                <w:bCs w:val="1"/>
                <w:color w:val="auto"/>
                <w:w w:val="89"/>
              </w:rPr>
              <w:t>June 30,</w:t>
            </w:r>
          </w:p>
        </w:tc>
        <w:tc>
          <w:tcPr>
            <w:tcW w:w="1420" w:type="dxa"/>
            <w:vAlign w:val="bottom"/>
            <w:gridSpan w:val="5"/>
          </w:tcPr>
          <w:p>
            <w:pPr>
              <w:ind w:left="60"/>
              <w:spacing w:after="0" w:line="13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2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Headcount: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Managing Directors:</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Financial Advisory</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500"/>
              <w:spacing w:after="0"/>
              <w:rPr>
                <w:sz w:val="20"/>
                <w:szCs w:val="20"/>
                <w:color w:val="auto"/>
              </w:rPr>
            </w:pPr>
            <w:r>
              <w:rPr>
                <w:rFonts w:ascii="Arial" w:cs="Arial" w:eastAsia="Arial" w:hAnsi="Arial"/>
                <w:sz w:val="18"/>
                <w:szCs w:val="18"/>
                <w:color w:val="auto"/>
              </w:rPr>
              <w:t>Asset Management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500"/>
              <w:spacing w:after="0"/>
              <w:rPr>
                <w:sz w:val="20"/>
                <w:szCs w:val="20"/>
                <w:color w:val="auto"/>
              </w:rPr>
            </w:pPr>
            <w:r>
              <w:rPr>
                <w:rFonts w:ascii="Arial" w:cs="Arial" w:eastAsia="Arial" w:hAnsi="Arial"/>
                <w:sz w:val="18"/>
                <w:szCs w:val="18"/>
                <w:color w:val="auto"/>
              </w:rPr>
              <w:t>Total Managing Directors</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Employees:</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500"/>
              <w:spacing w:after="0"/>
              <w:rPr>
                <w:sz w:val="20"/>
                <w:szCs w:val="20"/>
                <w:color w:val="auto"/>
              </w:rPr>
            </w:pPr>
            <w:r>
              <w:rPr>
                <w:rFonts w:ascii="Arial" w:cs="Arial" w:eastAsia="Arial" w:hAnsi="Arial"/>
                <w:sz w:val="18"/>
                <w:szCs w:val="18"/>
                <w:color w:val="auto"/>
              </w:rPr>
              <w:t>Business segment professionals</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 other professionals and support staff</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50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17" w:lineRule="exact"/>
        <w:rPr>
          <w:sz w:val="20"/>
          <w:szCs w:val="20"/>
          <w:color w:val="auto"/>
        </w:rPr>
      </w:pPr>
    </w:p>
    <w:p>
      <w:pPr>
        <w:ind w:right="220" w:firstLine="518"/>
        <w:spacing w:after="0" w:line="261"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2017 versus June 30, 2016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reported net income attributable to Lazard Group of $142 million, as compared to net income of $97 million in the 2016 period.</w:t>
      </w:r>
    </w:p>
    <w:p>
      <w:pPr>
        <w:spacing w:after="0" w:line="237"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Net revenue increased $182 million, or 34%, with operating revenue increasing $178 million, or 33%, as compared to the 2016 period. Fee revenue from investment banking and other advisory activities increased $123 million, or 43%, as compared to the 2016 period, due to an increase in M&amp;A and Strategic Advisory and Restructuring revenue. Asset management fees, including incentive fees, increased $53 million, or 22%, as compared to the 2016 period, primarily due to an increase in average AUM. In the aggregate, interest income, other revenue and interest expense increased $6 million as compared to the 2016 period, primarily due to gains in the 2017 period attributable to investments held in connection with LFI.</w:t>
      </w:r>
    </w:p>
    <w:p>
      <w:pPr>
        <w:spacing w:after="0" w:line="173"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Compensation and benefits expense increased $105 million, or 34%, as compared to the 2016 period, primarily associated with increased operating revenue.</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Adjusted compensation and benefits expense (which excludes certain items and which we believe allows for improved comparability between periods, as described above) was $406 million, an increase of $100 million, or 32%, as compared to $306 million in the 2016 period. The ratio of adjusted compensation and benefits expense to operating revenue was 56.4% for the 2017 period, as compared to 56.5% for the 2016 period and 56.5% for full-year 2016.</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sectPr>
      </w:pPr>
    </w:p>
    <w:bookmarkStart w:id="45" w:name="page46"/>
    <w:bookmarkEnd w:id="45"/>
    <w:p>
      <w:pPr>
        <w:ind w:right="20" w:firstLine="518"/>
        <w:spacing w:after="0" w:line="257" w:lineRule="auto"/>
        <w:rPr>
          <w:sz w:val="20"/>
          <w:szCs w:val="20"/>
          <w:color w:val="auto"/>
        </w:rPr>
      </w:pPr>
      <w:r>
        <w:rPr>
          <w:rFonts w:ascii="Arial" w:cs="Arial" w:eastAsia="Arial" w:hAnsi="Arial"/>
          <w:sz w:val="18"/>
          <w:szCs w:val="18"/>
          <w:color w:val="auto"/>
        </w:rPr>
        <w:t>Non-compensation expense increased $15 million, or 13%, as compared to the 2016 period, primarily due to expenses associated with the ERP system implementation and expenses related to office space reorganization, as well as higher mutual fund service fees related to the growth in AUM. Adjusted non-compensation expense, which excludes non-compensation costs related to the ERP system implementation, office space reorganization and noncontrolling interests, increased $3 million, or 3%, as compared to the 2016 period. The ratio of adjusted non-compensation expense to operating revenue was 15.8% for the 2017 period, as compared to 20.5% in the 2016 period.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and other acquisition-related costs was substantially unchanged as compared to the 2016 period.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increased $62 million, or 55%, as compared to the 2016 period.</w:t>
      </w:r>
    </w:p>
    <w:p>
      <w:pPr>
        <w:spacing w:after="0" w:line="225"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Earnings from operations increased $75 million, or 60%, as compared to the 2016 period, and, as a percentage of operating revenue, was 27.8%, as compared to 23.0% in the 2016 period.</w:t>
      </w:r>
    </w:p>
    <w:p>
      <w:pPr>
        <w:spacing w:after="0" w:line="170"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provision for income taxes reflects an effective tax rate of 18.5%, as compared to 13.9% for the 2016 period. The effective tax rate increased primarily due to the change in the geographic mix of earnings.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was substantially unchanged as compared to the 2016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2017 versus June 30, 2016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reported net income attributable to Lazard Group of $270 million, as compared to net income of $179 million in the 2016 period.</w:t>
      </w:r>
    </w:p>
    <w:p>
      <w:pPr>
        <w:spacing w:after="0" w:line="23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Net revenue increased $307 million, or 30%, with operating revenue increasing $296 million, or 28%, as compared to the 2016 period. Fee revenue from investment banking and other advisory activities increased $193 million, or 35%, as compared to the 2016 period, due to an increase in M&amp;A and Strategic Advisory and Restructuring revenue. Asset management fees, including incentive fees, increased $92 million, or 19%, as compared to the 2016 period, primarily due to an increase in average AUM. In the aggregate, interest income, other revenue and interest expense increased $22 million as compared to the 2016 period, primarily due to gains in the 2017 period attributable to investments held in connection with LFI.</w:t>
      </w:r>
    </w:p>
    <w:p>
      <w:pPr>
        <w:spacing w:after="0" w:line="173"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Compensation and benefits expense increased $169 million, or 28%, as compared to the 2016 period, primarily associated with increased operating revenue.</w:t>
      </w:r>
    </w:p>
    <w:p>
      <w:pPr>
        <w:spacing w:after="0" w:line="17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Adjusted compensation and benefits expense (which excludes certain items and which we believe allows for improved comparability between periods, as described above) was $758 million, an increase of $154 million, or 25%, as compared to $604 million in the 2016 period. The ratio of adjusted compensation and benefits expense to operating revenue was 56.4% for the 2017 period, as compared to 57.6% for the 2016 period and 56.5% for full-year 2016.</w:t>
      </w:r>
    </w:p>
    <w:p>
      <w:pPr>
        <w:spacing w:after="0" w:line="18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Non-compensation expense increased $20 million, or 10%, as compared to the 2016 period, primarily due to expenses associated with the ERP system implementation and expenses related to office space reorganization, as well as higher mutual fund service fees related to the growth in AUM. Adjusted non-compensation expense, which excludes non-compensation costs related to the ERP system implementation, office space reorganization and noncontrolling interests, increased $8 million, or 4%, as compared to the 2016 period. The ratio of adjusted non-compensation expense to operating revenue was 16.4% for the 2017 period, as compared to 20.3% in the 2016 period.</w:t>
      </w:r>
    </w:p>
    <w:p>
      <w:pPr>
        <w:spacing w:after="0" w:line="188"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Amortization and other acquisition-related costs increased $1 million as compared to the 2016 period, primarily due to the change in the fair market value of contingent consideration.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increased $117 million, or 55%, as compared to the 2016 period.</w:t>
      </w:r>
    </w:p>
    <w:p>
      <w:pPr>
        <w:spacing w:after="0" w:line="225"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Earnings from operations increased $134 million, or 58%, as compared to the 2016 period, and, as a percentage of operating revenue, was 27.2%, as compared to 22.1% in the 2016 period.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6" w:name="page47"/>
    <w:bookmarkEnd w:id="46"/>
    <w:p>
      <w:pPr>
        <w:ind w:right="140" w:firstLine="518"/>
        <w:spacing w:after="0" w:line="264" w:lineRule="auto"/>
        <w:rPr>
          <w:sz w:val="20"/>
          <w:szCs w:val="20"/>
          <w:color w:val="auto"/>
        </w:rPr>
      </w:pPr>
      <w:r>
        <w:rPr>
          <w:rFonts w:ascii="Arial" w:cs="Arial" w:eastAsia="Arial" w:hAnsi="Arial"/>
          <w:sz w:val="18"/>
          <w:szCs w:val="18"/>
          <w:color w:val="auto"/>
        </w:rPr>
        <w:t>The provision for income taxes reflects an effective tax rate of 16.6%, as compared to 13.0% for the 2016 period. The effective tax rate reflects the Company’s adoption of new accounting guidance on share-based incentive compensation and the change in the geographic mix of earnings. See Notes 2 and 14 of Notes to Condensed Consolidated Financial Statements.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decreased $2 million, or 31%, as compared to the 2016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620" w:firstLine="518"/>
        <w:spacing w:after="0" w:line="291"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w:t>
      </w:r>
    </w:p>
    <w:p>
      <w:pPr>
        <w:ind w:right="20" w:firstLine="8"/>
        <w:spacing w:after="0" w:line="271" w:lineRule="auto"/>
        <w:tabs>
          <w:tab w:leader="none" w:pos="265" w:val="left"/>
        </w:tabs>
        <w:numPr>
          <w:ilvl w:val="0"/>
          <w:numId w:val="43"/>
        </w:numPr>
        <w:rPr>
          <w:rFonts w:ascii="Arial" w:cs="Arial" w:eastAsia="Arial" w:hAnsi="Arial"/>
          <w:sz w:val="17"/>
          <w:szCs w:val="17"/>
          <w:color w:val="auto"/>
        </w:rPr>
      </w:pPr>
      <w:r>
        <w:rPr>
          <w:rFonts w:ascii="Arial" w:cs="Arial" w:eastAsia="Arial" w:hAnsi="Arial"/>
          <w:sz w:val="17"/>
          <w:szCs w:val="17"/>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165"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Effective January 1, 2017, the Company’s reporting by geographic region was transitioned from the Company’s previously disclosed North America, Europe and rest of the world regions to the Americas; Europe, Middle East and Africa (“EMEA”); and Asia Pacific. Comparable prior year information has been recast to reflect our revised geographic presentation.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Financial Advisory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4"/>
          </w:tcPr>
          <w:p>
            <w:pPr>
              <w:jc w:val="right"/>
              <w:ind w:right="557"/>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245"/>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7"/>
        </w:trPr>
        <w:tc>
          <w:tcPr>
            <w:tcW w:w="5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w w:val="96"/>
              </w:rPr>
              <w:t>2017</w:t>
            </w:r>
          </w:p>
        </w:tc>
        <w:tc>
          <w:tcPr>
            <w:tcW w:w="3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3"/>
              </w:rPr>
              <w:t>2016</w:t>
            </w:r>
          </w:p>
        </w:tc>
        <w:tc>
          <w:tcPr>
            <w:tcW w:w="180" w:type="dxa"/>
            <w:vAlign w:val="bottom"/>
          </w:tcPr>
          <w:p>
            <w:pPr>
              <w:spacing w:after="0"/>
              <w:rPr>
                <w:sz w:val="20"/>
                <w:szCs w:val="20"/>
                <w:color w:val="auto"/>
              </w:rPr>
            </w:pPr>
          </w:p>
        </w:tc>
      </w:tr>
      <w:tr>
        <w:trPr>
          <w:trHeight w:val="168"/>
        </w:trPr>
        <w:tc>
          <w:tcPr>
            <w:tcW w:w="5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Net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410,632</w:t>
            </w:r>
          </w:p>
        </w:tc>
        <w:tc>
          <w:tcPr>
            <w:tcW w:w="32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286,965</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746,316</w:t>
            </w:r>
          </w:p>
        </w:tc>
        <w:tc>
          <w:tcPr>
            <w:tcW w:w="320" w:type="dxa"/>
            <w:vAlign w:val="bottom"/>
          </w:tcPr>
          <w:p>
            <w:pPr>
              <w:spacing w:after="0"/>
              <w:rPr>
                <w:sz w:val="20"/>
                <w:szCs w:val="20"/>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552,979</w:t>
            </w:r>
          </w:p>
        </w:tc>
        <w:tc>
          <w:tcPr>
            <w:tcW w:w="180" w:type="dxa"/>
            <w:vAlign w:val="bottom"/>
          </w:tcPr>
          <w:p>
            <w:pPr>
              <w:spacing w:after="0"/>
              <w:rPr>
                <w:sz w:val="20"/>
                <w:szCs w:val="20"/>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311,285</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233,727</w:t>
            </w:r>
          </w:p>
        </w:tc>
        <w:tc>
          <w:tcPr>
            <w:tcW w:w="3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570,647</w:t>
            </w:r>
          </w:p>
        </w:tc>
        <w:tc>
          <w:tcPr>
            <w:tcW w:w="3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460,805</w:t>
            </w:r>
          </w:p>
        </w:tc>
        <w:tc>
          <w:tcPr>
            <w:tcW w:w="180" w:type="dxa"/>
            <w:vAlign w:val="bottom"/>
            <w:shd w:val="clear" w:color="auto" w:fill="CFF0FC"/>
          </w:tcPr>
          <w:p>
            <w:pPr>
              <w:spacing w:after="0"/>
              <w:rPr>
                <w:sz w:val="19"/>
                <w:szCs w:val="19"/>
                <w:color w:val="auto"/>
              </w:rPr>
            </w:pPr>
          </w:p>
        </w:tc>
      </w:tr>
      <w:tr>
        <w:trPr>
          <w:trHeight w:val="237"/>
        </w:trPr>
        <w:tc>
          <w:tcPr>
            <w:tcW w:w="5720" w:type="dxa"/>
            <w:vAlign w:val="bottom"/>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99,347</w:t>
            </w:r>
          </w:p>
        </w:tc>
        <w:tc>
          <w:tcPr>
            <w:tcW w:w="32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53,238</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175,669</w:t>
            </w:r>
          </w:p>
        </w:tc>
        <w:tc>
          <w:tcPr>
            <w:tcW w:w="320" w:type="dxa"/>
            <w:vAlign w:val="bottom"/>
          </w:tcPr>
          <w:p>
            <w:pPr>
              <w:spacing w:after="0"/>
              <w:rPr>
                <w:sz w:val="20"/>
                <w:szCs w:val="20"/>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92,174</w:t>
            </w:r>
          </w:p>
        </w:tc>
        <w:tc>
          <w:tcPr>
            <w:tcW w:w="180" w:type="dxa"/>
            <w:vAlign w:val="bottom"/>
          </w:tcPr>
          <w:p>
            <w:pPr>
              <w:spacing w:after="0"/>
              <w:rPr>
                <w:sz w:val="20"/>
                <w:szCs w:val="20"/>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6500" w:type="dxa"/>
            <w:vAlign w:val="bottom"/>
            <w:gridSpan w:val="3"/>
          </w:tcPr>
          <w:p>
            <w:pPr>
              <w:spacing w:after="0"/>
              <w:rPr>
                <w:sz w:val="20"/>
                <w:szCs w:val="20"/>
                <w:color w:val="auto"/>
              </w:rPr>
            </w:pPr>
            <w:r>
              <w:rPr>
                <w:rFonts w:ascii="Arial" w:cs="Arial" w:eastAsia="Arial" w:hAnsi="Arial"/>
                <w:sz w:val="18"/>
                <w:szCs w:val="18"/>
                <w:color w:val="auto"/>
              </w:rPr>
              <w:t>Operating Income, as a % of net revenue</w:t>
            </w: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w w:val="97"/>
              </w:rPr>
              <w:t>18.6%</w:t>
            </w:r>
          </w:p>
        </w:tc>
        <w:tc>
          <w:tcPr>
            <w:tcW w:w="12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r>
      <w:tr>
        <w:trPr>
          <w:trHeight w:val="20"/>
        </w:trPr>
        <w:tc>
          <w:tcPr>
            <w:tcW w:w="57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53"/>
        </w:trPr>
        <w:tc>
          <w:tcPr>
            <w:tcW w:w="7960" w:type="dxa"/>
            <w:vAlign w:val="bottom"/>
            <w:gridSpan w:val="8"/>
          </w:tcPr>
          <w:p>
            <w:pPr>
              <w:ind w:left="520"/>
              <w:spacing w:after="0"/>
              <w:rPr>
                <w:sz w:val="20"/>
                <w:szCs w:val="20"/>
                <w:color w:val="auto"/>
              </w:rPr>
            </w:pPr>
            <w:r>
              <w:rPr>
                <w:rFonts w:ascii="Arial" w:cs="Arial" w:eastAsia="Arial" w:hAnsi="Arial"/>
                <w:sz w:val="18"/>
                <w:szCs w:val="18"/>
                <w:color w:val="auto"/>
                <w:w w:val="93"/>
              </w:rPr>
              <w:t>Certain Lazard fee and transaction statistics for the Financial Advisory segment are set forth below:</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6"/>
        </w:trPr>
        <w:tc>
          <w:tcPr>
            <w:tcW w:w="5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gridSpan w:val="6"/>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4"/>
          </w:tcPr>
          <w:p>
            <w:pPr>
              <w:jc w:val="center"/>
              <w:ind w:left="648"/>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1"/>
        </w:trPr>
        <w:tc>
          <w:tcPr>
            <w:tcW w:w="5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Borders>
              <w:bottom w:val="single" w:sz="8" w:color="auto"/>
            </w:tcBorders>
            <w:gridSpan w:val="4"/>
          </w:tcPr>
          <w:p>
            <w:pPr>
              <w:jc w:val="center"/>
              <w:ind w:left="648"/>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r>
      <w:tr>
        <w:trPr>
          <w:trHeight w:val="156"/>
        </w:trPr>
        <w:tc>
          <w:tcPr>
            <w:tcW w:w="5780" w:type="dxa"/>
            <w:vAlign w:val="bottom"/>
            <w:gridSpan w:val="2"/>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460" w:type="dxa"/>
            <w:vAlign w:val="bottom"/>
            <w:gridSpan w:val="5"/>
          </w:tcPr>
          <w:p>
            <w:pPr>
              <w:ind w:left="1140"/>
              <w:spacing w:after="0" w:line="155" w:lineRule="exact"/>
              <w:rPr>
                <w:sz w:val="20"/>
                <w:szCs w:val="20"/>
                <w:color w:val="auto"/>
              </w:rPr>
            </w:pPr>
            <w:r>
              <w:rPr>
                <w:rFonts w:ascii="Arial" w:cs="Arial" w:eastAsia="Arial" w:hAnsi="Arial"/>
                <w:sz w:val="14"/>
                <w:szCs w:val="14"/>
                <w:b w:val="1"/>
                <w:bCs w:val="1"/>
                <w:color w:val="auto"/>
                <w:w w:val="96"/>
              </w:rPr>
              <w:t>2016</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jc w:val="right"/>
              <w:ind w:right="348"/>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jc w:val="right"/>
              <w:ind w:right="333"/>
              <w:spacing w:after="0" w:line="155"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3"/>
                <w:szCs w:val="13"/>
                <w:color w:val="auto"/>
              </w:rPr>
            </w:pPr>
          </w:p>
        </w:tc>
      </w:tr>
      <w:tr>
        <w:trPr>
          <w:trHeight w:val="223"/>
        </w:trPr>
        <w:tc>
          <w:tcPr>
            <w:tcW w:w="5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Lazard Statistics:</w:t>
            </w:r>
          </w:p>
        </w:tc>
        <w:tc>
          <w:tcPr>
            <w:tcW w:w="7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r>
      <w:tr>
        <w:trPr>
          <w:trHeight w:val="230"/>
        </w:trPr>
        <w:tc>
          <w:tcPr>
            <w:tcW w:w="6500" w:type="dxa"/>
            <w:vAlign w:val="bottom"/>
            <w:gridSpan w:val="3"/>
          </w:tcPr>
          <w:p>
            <w:pPr>
              <w:spacing w:after="0"/>
              <w:rPr>
                <w:sz w:val="20"/>
                <w:szCs w:val="20"/>
                <w:color w:val="auto"/>
              </w:rPr>
            </w:pPr>
            <w:r>
              <w:rPr>
                <w:rFonts w:ascii="Arial" w:cs="Arial" w:eastAsia="Arial" w:hAnsi="Arial"/>
                <w:sz w:val="18"/>
                <w:szCs w:val="18"/>
                <w:color w:val="auto"/>
              </w:rPr>
              <w:t>Number of clients with fees greater than $1 million:</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65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Total Financial Advisory</w:t>
            </w:r>
          </w:p>
        </w:tc>
        <w:tc>
          <w:tcPr>
            <w:tcW w:w="5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FF0FC"/>
          </w:tcPr>
          <w:p>
            <w:pPr>
              <w:spacing w:after="0"/>
              <w:rPr>
                <w:sz w:val="19"/>
                <w:szCs w:val="19"/>
                <w:color w:val="auto"/>
              </w:rPr>
            </w:pPr>
          </w:p>
        </w:tc>
      </w:tr>
      <w:tr>
        <w:trPr>
          <w:trHeight w:val="230"/>
        </w:trPr>
        <w:tc>
          <w:tcPr>
            <w:tcW w:w="6500" w:type="dxa"/>
            <w:vAlign w:val="bottom"/>
            <w:gridSpan w:val="3"/>
          </w:tcPr>
          <w:p>
            <w:pPr>
              <w:ind w:left="260"/>
              <w:spacing w:after="0"/>
              <w:rPr>
                <w:sz w:val="20"/>
                <w:szCs w:val="20"/>
                <w:color w:val="auto"/>
              </w:rPr>
            </w:pPr>
            <w:r>
              <w:rPr>
                <w:rFonts w:ascii="Arial" w:cs="Arial" w:eastAsia="Arial" w:hAnsi="Arial"/>
                <w:sz w:val="18"/>
                <w:szCs w:val="18"/>
                <w:color w:val="auto"/>
              </w:rPr>
              <w:t>M&amp;A and Strategic Advisory</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9"/>
                <w:szCs w:val="19"/>
                <w:color w:val="auto"/>
              </w:rPr>
            </w:pPr>
          </w:p>
        </w:tc>
      </w:tr>
      <w:tr>
        <w:trPr>
          <w:trHeight w:val="215"/>
        </w:trPr>
        <w:tc>
          <w:tcPr>
            <w:tcW w:w="65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Percentage of total Financial Advisory net revenue from top 10</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650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clients</w:t>
            </w:r>
          </w:p>
        </w:tc>
        <w:tc>
          <w:tcPr>
            <w:tcW w:w="5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94"/>
              </w:rPr>
              <w:t>43%</w:t>
            </w: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5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94"/>
              </w:rPr>
              <w:t>40%</w:t>
            </w:r>
          </w:p>
        </w:tc>
        <w:tc>
          <w:tcPr>
            <w:tcW w:w="120" w:type="dxa"/>
            <w:vAlign w:val="bottom"/>
            <w:shd w:val="clear" w:color="auto" w:fill="CFF0FC"/>
          </w:tcPr>
          <w:p>
            <w:pPr>
              <w:spacing w:after="0"/>
              <w:rPr>
                <w:sz w:val="20"/>
                <w:szCs w:val="20"/>
                <w:color w:val="auto"/>
              </w:rPr>
            </w:pPr>
          </w:p>
        </w:tc>
        <w:tc>
          <w:tcPr>
            <w:tcW w:w="13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r>
      <w:tr>
        <w:trPr>
          <w:trHeight w:val="215"/>
        </w:trPr>
        <w:tc>
          <w:tcPr>
            <w:tcW w:w="6500" w:type="dxa"/>
            <w:vAlign w:val="bottom"/>
            <w:gridSpan w:val="3"/>
          </w:tcPr>
          <w:p>
            <w:pPr>
              <w:spacing w:after="0"/>
              <w:rPr>
                <w:sz w:val="20"/>
                <w:szCs w:val="20"/>
                <w:color w:val="auto"/>
              </w:rPr>
            </w:pPr>
            <w:r>
              <w:rPr>
                <w:rFonts w:ascii="Arial" w:cs="Arial" w:eastAsia="Arial" w:hAnsi="Arial"/>
                <w:sz w:val="18"/>
                <w:szCs w:val="18"/>
                <w:color w:val="auto"/>
              </w:rPr>
              <w:t>Number of M&amp;A transactions completed with values greater than</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6500" w:type="dxa"/>
            <w:vAlign w:val="bottom"/>
            <w:gridSpan w:val="3"/>
          </w:tcPr>
          <w:p>
            <w:pPr>
              <w:ind w:left="140"/>
              <w:spacing w:after="0"/>
              <w:rPr>
                <w:sz w:val="20"/>
                <w:szCs w:val="20"/>
                <w:color w:val="auto"/>
              </w:rPr>
            </w:pPr>
            <w:r>
              <w:rPr>
                <w:rFonts w:ascii="Arial" w:cs="Arial" w:eastAsia="Arial" w:hAnsi="Arial"/>
                <w:sz w:val="18"/>
                <w:szCs w:val="18"/>
                <w:color w:val="auto"/>
              </w:rPr>
              <w:t>$500 million (a)</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2090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Source: Dealogic as of July 7,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p>
      <w:pPr>
        <w:ind w:right="60" w:firstLine="518"/>
        <w:spacing w:after="0" w:line="259" w:lineRule="auto"/>
        <w:rPr>
          <w:sz w:val="20"/>
          <w:szCs w:val="20"/>
          <w:color w:val="auto"/>
        </w:rPr>
      </w:pPr>
      <w:r>
        <w:rPr>
          <w:rFonts w:ascii="Arial" w:cs="Arial" w:eastAsia="Arial" w:hAnsi="Arial"/>
          <w:sz w:val="18"/>
          <w:szCs w:val="18"/>
          <w:color w:val="auto"/>
        </w:rPr>
        <w:t>The geographical distribution of Financial Advisory net revenue is set forth below in percentage terms and is based on the Lazard offices that generate Financial Advisory net revenue, which are located in the Americas (primarily in the U.S. and Latin America), EMEA (primarily in the U.K., France, Germany, Italy and Spain) and the Asia Pacific region (primarily in Australia) and therefore may not be reflective of the geography in which the clients are located.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22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57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68"/>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53%</w:t>
            </w:r>
          </w:p>
        </w:tc>
        <w:tc>
          <w:tcPr>
            <w:tcW w:w="7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w:t>
            </w: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EMEA</w:t>
            </w:r>
          </w:p>
        </w:tc>
        <w:tc>
          <w:tcPr>
            <w:tcW w:w="34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7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69" w:lineRule="exact"/>
        <w:rPr>
          <w:sz w:val="20"/>
          <w:szCs w:val="20"/>
          <w:color w:val="auto"/>
        </w:rPr>
      </w:pPr>
    </w:p>
    <w:p>
      <w:pPr>
        <w:ind w:right="360" w:firstLine="518"/>
        <w:spacing w:after="0" w:line="297"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113" w:lineRule="exact"/>
        <w:rPr>
          <w:sz w:val="20"/>
          <w:szCs w:val="20"/>
          <w:color w:val="auto"/>
        </w:rPr>
      </w:pPr>
    </w:p>
    <w:p>
      <w:pPr>
        <w:ind w:right="260" w:firstLine="518"/>
        <w:spacing w:after="0" w:line="261"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2017 versus June 30, 2016</w:t>
      </w:r>
    </w:p>
    <w:p>
      <w:pPr>
        <w:spacing w:after="0" w:line="11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Financial Advisory net revenue increased $124 million, or 43%, as compared to the 2016 period. M&amp;A and Strategic Advisory net revenue was $323 million, an increase of $108 million, or 50%, as compared to $215 million in the 2016 period. Restructuring revenue was $88 million, an increase of $16 million, or 22%, as compared to $72 million in the 2016 period. The increase in M&amp;A and Strategic Advisory revenue was primarily due to an increase in the number of, and average transaction fees paid with respect to, completed transactions involving fees greater than $1 million as compared to the 2016 period. Clients which in the aggregate represented a significant portion of our M&amp;A and Strategic Advisory revenue in the 2017 period included Alinta Holdings, Danone, Johnson &amp; Johnson, TIAA-CREF, United Arab Shipping Company and VocaLink.</w:t>
      </w:r>
    </w:p>
    <w:p>
      <w:pPr>
        <w:spacing w:after="0" w:line="17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Restructuring revenue in the 2017 period primarily reflected the closing of large assignments. Clients which in the aggregate represented a significant portion of our Restructuring revenue in the 2017 period included AFGlobal, Peabody Energy and Tidewater.</w:t>
      </w:r>
    </w:p>
    <w:p>
      <w:pPr>
        <w:spacing w:after="0" w:line="170"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Operating expenses increased $78 million, or 33%, as compared to the 2016 period, primarily due to an increase in compensation associated with increased operating revenue.</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Financial Advisory operating income was $99 million, an increase of $46 million, or 87%, as compared to operating income of $53 million in the 2016 period and, as a percentage of net revenue, was 24.2%, as compared to 18.6% in the 2016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2017 versus June 30, 2016</w:t>
      </w:r>
    </w:p>
    <w:p>
      <w:pPr>
        <w:spacing w:after="0" w:line="11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Financial Advisory net revenue increased $193 million, or 35%, as compared to the 2016 period. M&amp;A and Strategic Advisory net revenue was $570 million, an increase of $132 million, or 30%, as compared to $438 million in the 2016 period. Restructuring revenue was $176 million, an increase of $61 million, or 53%, as compared to $115 million in the 2016 period. The increase in M&amp;A and Strategic Advisory revenue was primarily due to an increase in the number of, and average transaction fees paid with respect to, completed transactions involving fees greater than $1 million as compared to the 2016 period.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Restructuring revenue in the 2017 period primarily reflected the closing of large assignments.</w:t>
      </w:r>
    </w:p>
    <w:p>
      <w:pPr>
        <w:spacing w:after="0" w:line="225"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Operating expenses increased $110 million, or 24%, as compared to the 2016 period, primarily due to an increase in compensation associated with increased operating revenue.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8" w:name="page49"/>
    <w:bookmarkEnd w:id="48"/>
    <w:p>
      <w:pPr>
        <w:ind w:right="340" w:firstLine="518"/>
        <w:spacing w:after="0" w:line="277" w:lineRule="auto"/>
        <w:rPr>
          <w:sz w:val="20"/>
          <w:szCs w:val="20"/>
          <w:color w:val="auto"/>
        </w:rPr>
      </w:pPr>
      <w:r>
        <w:rPr>
          <w:rFonts w:ascii="Arial" w:cs="Arial" w:eastAsia="Arial" w:hAnsi="Arial"/>
          <w:sz w:val="18"/>
          <w:szCs w:val="18"/>
          <w:color w:val="auto"/>
        </w:rPr>
        <w:t>Financial Advisory operating income was $176 million, an increase of $84 million, or 91%, as compared to operating income of $92 million in the 2016 period and, as a percentage of net revenue, was 23.5%, as compared to 16.7% in the 2016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48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454"/>
              <w:spacing w:after="0" w:line="133"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292"/>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1"/>
                <w:szCs w:val="11"/>
                <w:color w:val="auto"/>
              </w:rPr>
            </w:pPr>
          </w:p>
        </w:tc>
      </w:t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156"/>
        </w:trPr>
        <w:tc>
          <w:tcPr>
            <w:tcW w:w="48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AUM by Asset Class:</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33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48,115</w:t>
            </w:r>
          </w:p>
        </w:tc>
        <w:tc>
          <w:tcPr>
            <w:tcW w:w="6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41,363</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37,012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30,567</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39,034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36,243</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63,930</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54,668</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Equity</w:t>
            </w:r>
          </w:p>
        </w:tc>
        <w:tc>
          <w:tcPr>
            <w:tcW w:w="29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188,091</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162,841</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3,860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3,483</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4,245</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8,584</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7,847</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Fixed Income</w:t>
            </w:r>
          </w:p>
        </w:tc>
        <w:tc>
          <w:tcPr>
            <w:tcW w:w="29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33,165</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31,155</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2,621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2,422</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Private Equity</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Management</w:t>
            </w:r>
          </w:p>
        </w:tc>
        <w:tc>
          <w:tcPr>
            <w:tcW w:w="29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AUM</w:t>
            </w:r>
          </w:p>
        </w:tc>
        <w:tc>
          <w:tcPr>
            <w:tcW w:w="29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225,761</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197,910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80" w:firstLine="518"/>
        <w:spacing w:after="0" w:line="286" w:lineRule="auto"/>
        <w:rPr>
          <w:sz w:val="20"/>
          <w:szCs w:val="20"/>
          <w:color w:val="auto"/>
        </w:rPr>
      </w:pPr>
      <w:r>
        <w:rPr>
          <w:rFonts w:ascii="Arial" w:cs="Arial" w:eastAsia="Arial" w:hAnsi="Arial"/>
          <w:sz w:val="17"/>
          <w:szCs w:val="17"/>
          <w:color w:val="auto"/>
        </w:rPr>
        <w:t>Total AUM at June 30, 2017 was $226 billion, an increase of $28 billion, or 14%, as compared to total AUM of $198 billion at December 31, 2016, primarily due to market and foreign exchange appreciation and net inflows. Average AUM for the three month and six month periods ended June 30, 2017 increased 15% and 14%, respectively, as compared to the three month and six month periods ended June 30, 2016, respectively.</w:t>
      </w:r>
    </w:p>
    <w:p>
      <w:pPr>
        <w:spacing w:after="0" w:line="166"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As of June 30, 2017, approximately 89% of our AUM was managed on behalf of institutional clients, including corporations, labor unions, public pension funds, insurance companies and banks, and through sub-advisory relationships, mutual fund sponsors, broker-dealers and registered advisors, compared to approximately 88% as of December 31, 2016. As of June 30, 2017, approximately 11% of our AUM was managed on behalf of individual client relationships, which are principally with family offices and individuals, compared to approximately 12% at December 31, 2016.</w:t>
      </w:r>
    </w:p>
    <w:p>
      <w:pPr>
        <w:spacing w:after="0" w:line="171"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As of June 30, 2017, AUM with foreign currency exposure represented approximately 73% of our total AUM as compared to 70% at December 31, 2016. AUM with foreign currency exposure generally declines in value with the strengthening of the U.S. Dollar and increases in value as the U.S. Dollar weakens, with all other factors held constant.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changes in AUM by asset class for the three month and six month periods ended June 30, 2017 and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Three Months Ended June 30, 2017</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8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2"/>
              </w:rPr>
              <w:t>Inflows (a)</w:t>
            </w:r>
          </w:p>
        </w:tc>
        <w:tc>
          <w:tcPr>
            <w:tcW w:w="220" w:type="dxa"/>
            <w:vAlign w:val="bottom"/>
          </w:tcPr>
          <w:p>
            <w:pPr>
              <w:spacing w:after="0"/>
              <w:rPr>
                <w:sz w:val="12"/>
                <w:szCs w:val="12"/>
                <w:color w:val="auto"/>
              </w:rPr>
            </w:pP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178,979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8,506</w:t>
            </w:r>
          </w:p>
        </w:tc>
        <w:tc>
          <w:tcPr>
            <w:tcW w:w="44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(8,440)</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6,206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188,091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32,218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(703)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845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215,178</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10,106</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7,223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gridSpan w:val="2"/>
          </w:tcPr>
          <w:p>
            <w:pPr>
              <w:jc w:val="right"/>
              <w:ind w:right="139"/>
              <w:spacing w:after="0"/>
              <w:rPr>
                <w:sz w:val="20"/>
                <w:szCs w:val="20"/>
                <w:color w:val="auto"/>
              </w:rPr>
            </w:pPr>
            <w:r>
              <w:rPr>
                <w:rFonts w:ascii="Arial" w:cs="Arial" w:eastAsia="Arial" w:hAnsi="Arial"/>
                <w:sz w:val="18"/>
                <w:szCs w:val="18"/>
                <w:color w:val="auto"/>
                <w:w w:val="99"/>
              </w:rPr>
              <w:t>47</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49" w:name="page50"/>
    <w:bookmarkEnd w:id="49"/>
    <w:p>
      <w:pPr>
        <w:ind w:left="380" w:right="20" w:hanging="372"/>
        <w:spacing w:after="0" w:line="312" w:lineRule="auto"/>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286385</wp:posOffset>
            </wp:positionV>
            <wp:extent cx="12090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09040" cy="8890"/>
                    </a:xfrm>
                    <a:prstGeom prst="rect">
                      <a:avLst/>
                    </a:prstGeom>
                    <a:noFill/>
                  </pic:spPr>
                </pic:pic>
              </a:graphicData>
            </a:graphic>
          </wp:anchor>
        </w:drawing>
        <w:t>Inflows in the Equity asset class were primarily attributable to the Multi-Regional and Global platforms, and inflows in the Fixed Income asset class were primarily attributable to the Emerging Markets and Multi-Regional platforms. Outflows in the Equity asset class were primarily attributable to the Global and Multi-Regional equity platforms, and outflows in the Fixed Income asset class were primarily attributable to the Emerging Markets platform.</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Six Months Ended June 30, 2017</w:t>
            </w: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Inflows (a)</w:t>
            </w: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(16,736)</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3,555</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16,429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(873)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1,695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197,910</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23,885</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18,353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right="60" w:hanging="372"/>
        <w:spacing w:after="0" w:line="259"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Multi-Regional, Global and Emerging Markets platforms, and inflows in the Fixed Income asset class were primarily attributable to the Emerging Markets and Multi-Regional platforms. Outflows in the Equity asset class were primarily attributable to the Multi-Regional, Global and Emerging Markets equity platforms, and outflows in the Fixed Income asset class were primarily attributable to the Emerging Markets and Multi-Regional platforms.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jc w:val="center"/>
              <w:ind w:left="256"/>
              <w:spacing w:after="0"/>
              <w:rPr>
                <w:sz w:val="20"/>
                <w:szCs w:val="20"/>
                <w:color w:val="auto"/>
              </w:rPr>
            </w:pPr>
            <w:r>
              <w:rPr>
                <w:rFonts w:ascii="Arial" w:cs="Arial" w:eastAsia="Arial" w:hAnsi="Arial"/>
                <w:sz w:val="14"/>
                <w:szCs w:val="14"/>
                <w:b w:val="1"/>
                <w:bCs w:val="1"/>
                <w:color w:val="auto"/>
                <w:w w:val="93"/>
              </w:rPr>
              <w:t>Three Months Ended June 30, 2016</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 in millions)</w:t>
            </w: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155,812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(7,735)</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w:t>
            </w:r>
          </w:p>
        </w:tc>
        <w:tc>
          <w:tcPr>
            <w:tcW w:w="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(822)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30,370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(335)</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190,554</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2,076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8"/>
          </w:tcPr>
          <w:p>
            <w:pPr>
              <w:jc w:val="center"/>
              <w:ind w:left="276"/>
              <w:spacing w:after="0"/>
              <w:rPr>
                <w:sz w:val="20"/>
                <w:szCs w:val="20"/>
                <w:color w:val="auto"/>
              </w:rPr>
            </w:pPr>
            <w:r>
              <w:rPr>
                <w:rFonts w:ascii="Arial" w:cs="Arial" w:eastAsia="Arial" w:hAnsi="Arial"/>
                <w:sz w:val="14"/>
                <w:szCs w:val="14"/>
                <w:b w:val="1"/>
                <w:bCs w:val="1"/>
                <w:color w:val="auto"/>
                <w:w w:val="92"/>
              </w:rPr>
              <w:t>Six Months Ended June 30, 2016</w:t>
            </w: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 in millions)</w:t>
            </w: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151,495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(14,724)</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w:t>
            </w:r>
          </w:p>
        </w:tc>
        <w:tc>
          <w:tcPr>
            <w:tcW w:w="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1,145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30,387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(1,707)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1,295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186,380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2,685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2,708</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As of July 25, 2017, AUM was $231.2 billion, a $5.4 billion increase since June 30, 2017. The increase in AUM was due to market appreciation of $3.9 billion and foreign exchange appreciation of $2.2 billion, partially offset by net outflows of $0.7 billion.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0" w:name="page51"/>
    <w:bookmarkEnd w:id="50"/>
    <w:p>
      <w:pPr>
        <w:ind w:right="340" w:firstLine="518"/>
        <w:spacing w:after="0" w:line="277" w:lineRule="auto"/>
        <w:rPr>
          <w:sz w:val="20"/>
          <w:szCs w:val="20"/>
          <w:color w:val="auto"/>
        </w:rPr>
      </w:pPr>
      <w:r>
        <w:rPr>
          <w:rFonts w:ascii="Arial" w:cs="Arial" w:eastAsia="Arial" w:hAnsi="Arial"/>
          <w:sz w:val="18"/>
          <w:szCs w:val="18"/>
          <w:color w:val="auto"/>
        </w:rPr>
        <w:t>Average AUM for the three month and six month periods ended June 30, 2017 and 2016 for each significant asset class is set forth below. Average AUM generally represents the average of the monthly ending AUM balances for the period.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30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AUM by Asset Class: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Equity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184,864</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157,315</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177,953</w:t>
            </w:r>
          </w:p>
        </w:tc>
        <w:tc>
          <w:tcPr>
            <w:tcW w:w="5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153,801</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30,410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32,188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30,311</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Alternative Investments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3,511</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Management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Average AUM</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222,208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192,634</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214,495</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188,836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7"/>
        </w:trPr>
        <w:tc>
          <w:tcPr>
            <w:tcW w:w="5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3"/>
              </w:rPr>
              <w:t>2016</w:t>
            </w:r>
          </w:p>
        </w:tc>
        <w:tc>
          <w:tcPr>
            <w:tcW w:w="180" w:type="dxa"/>
            <w:vAlign w:val="bottom"/>
          </w:tcPr>
          <w:p>
            <w:pPr>
              <w:spacing w:after="0"/>
              <w:rPr>
                <w:sz w:val="20"/>
                <w:szCs w:val="20"/>
                <w:color w:val="auto"/>
              </w:rPr>
            </w:pPr>
          </w:p>
        </w:tc>
      </w:tr>
      <w:tr>
        <w:trPr>
          <w:trHeight w:val="156"/>
        </w:trPr>
        <w:tc>
          <w:tcPr>
            <w:tcW w:w="5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309,878</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254,126</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593,241</w:t>
            </w:r>
          </w:p>
        </w:tc>
        <w:tc>
          <w:tcPr>
            <w:tcW w:w="2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499,885</w:t>
            </w:r>
          </w:p>
        </w:tc>
        <w:tc>
          <w:tcPr>
            <w:tcW w:w="180" w:type="dxa"/>
            <w:vAlign w:val="bottom"/>
            <w:shd w:val="clear" w:color="auto" w:fill="CFF0FC"/>
          </w:tcPr>
          <w:p>
            <w:pPr>
              <w:spacing w:after="0"/>
              <w:rPr>
                <w:sz w:val="19"/>
                <w:szCs w:val="19"/>
                <w:color w:val="auto"/>
              </w:rPr>
            </w:pPr>
          </w:p>
        </w:tc>
      </w:tr>
      <w:tr>
        <w:trPr>
          <w:trHeight w:val="243"/>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215,901</w:t>
            </w:r>
          </w:p>
        </w:tc>
        <w:tc>
          <w:tcPr>
            <w:tcW w:w="32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182,702</w:t>
            </w:r>
          </w:p>
        </w:tc>
        <w:tc>
          <w:tcPr>
            <w:tcW w:w="2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404,652</w:t>
            </w:r>
          </w:p>
        </w:tc>
        <w:tc>
          <w:tcPr>
            <w:tcW w:w="2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357,863</w:t>
            </w:r>
          </w:p>
        </w:tc>
        <w:tc>
          <w:tcPr>
            <w:tcW w:w="180" w:type="dxa"/>
            <w:vAlign w:val="bottom"/>
            <w:tcBorders>
              <w:bottom w:val="single" w:sz="8" w:color="CFF0FC"/>
            </w:tcBorders>
          </w:tcPr>
          <w:p>
            <w:pPr>
              <w:spacing w:after="0"/>
              <w:rPr>
                <w:sz w:val="21"/>
                <w:szCs w:val="21"/>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93,977</w:t>
            </w:r>
          </w:p>
        </w:tc>
        <w:tc>
          <w:tcPr>
            <w:tcW w:w="3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71,424</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188,589</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142,022</w:t>
            </w:r>
          </w:p>
        </w:tc>
        <w:tc>
          <w:tcPr>
            <w:tcW w:w="180" w:type="dxa"/>
            <w:vAlign w:val="bottom"/>
            <w:tcBorders>
              <w:bottom w:val="single" w:sz="8" w:color="CFF0FC"/>
            </w:tcBorders>
            <w:shd w:val="clear" w:color="auto" w:fill="CFF0FC"/>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4"/>
        </w:trPr>
        <w:tc>
          <w:tcPr>
            <w:tcW w:w="5720" w:type="dxa"/>
            <w:vAlign w:val="bottom"/>
          </w:tcPr>
          <w:p>
            <w:pPr>
              <w:spacing w:after="0"/>
              <w:rPr>
                <w:sz w:val="20"/>
                <w:szCs w:val="20"/>
                <w:color w:val="auto"/>
              </w:rPr>
            </w:pPr>
            <w:r>
              <w:rPr>
                <w:rFonts w:ascii="Arial" w:cs="Arial" w:eastAsia="Arial" w:hAnsi="Arial"/>
                <w:sz w:val="18"/>
                <w:szCs w:val="18"/>
                <w:color w:val="auto"/>
              </w:rPr>
              <w:t>Operating Income, as a % of net revenue</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30.3%</w:t>
            </w: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r>
      <w:tr>
        <w:trPr>
          <w:trHeight w:val="20"/>
        </w:trPr>
        <w:tc>
          <w:tcPr>
            <w:tcW w:w="5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22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57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68"/>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w:t>
            </w:r>
          </w:p>
        </w:tc>
        <w:tc>
          <w:tcPr>
            <w:tcW w:w="7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w:t>
            </w: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EMEA</w:t>
            </w: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7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113" w:lineRule="exact"/>
        <w:rPr>
          <w:sz w:val="20"/>
          <w:szCs w:val="20"/>
          <w:color w:val="auto"/>
        </w:rPr>
      </w:pPr>
    </w:p>
    <w:p>
      <w:pPr>
        <w:ind w:right="580" w:firstLine="518"/>
        <w:spacing w:after="0" w:line="266"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2017 versus June 30, 2016</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Asset Management net revenue increased $56 million, or 22%, as compared to the 2016 period. Management fees and other revenue was $293 million, an increase of $40 million, or 16%, as compared to $253 million in the 2016 period, primarily due to an increase in average AUM. Incentive fees were $17 million, an increase of $16 million as compared to $1 million in the 2016 period.</w:t>
      </w:r>
    </w:p>
    <w:p>
      <w:pPr>
        <w:spacing w:after="0" w:line="181"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Operating expenses increased $33 million, or 18%, as compared to the 2016 period, primarily due to increases in compensation associated with increased operating revenue.</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Asset Management operating income was $94 million, an increase of $23 million, or 32%, as compared to operating income of $71 million in the 2016 period and, as a percentage of net revenue, was 30.3%, as compared to 28.1% in the 2016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Six Months Ended June 30, 2017 versus June 30, 2016</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Asset Management net revenue increased $93 million, or 19%, as compared to the 2016 period. Management fees and other revenue was $569 million, an increase of $72 million, or 14%, as compared to $497 million in the 2016 period, primarily due to an increase in average AUM. Incentive fees were $24 million, an increase of $21 million as compared to $3 million in the 2016 period.</w:t>
      </w:r>
    </w:p>
    <w:p>
      <w:pPr>
        <w:spacing w:after="0" w:line="181"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Operating expenses increased $47 million, or 13%, as compared to the 2016 period, primarily due to increases in compensation associated with increased operating revenue.</w:t>
      </w:r>
    </w:p>
    <w:p>
      <w:pPr>
        <w:spacing w:after="0" w:line="279"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Asset Management operating income was $189 million, an increase of $47 million, or 33%, as compared to operating income of $142 million in the 2016 period and, as a percentage of net revenue, was 31.8%, as compared to 28.4% in the 2016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(12,990)</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(12,649)</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(27,314)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(25,320)</w:t>
            </w:r>
          </w:p>
        </w:tc>
      </w:tr>
      <w:tr>
        <w:trPr>
          <w:trHeight w:val="223"/>
        </w:trPr>
        <w:tc>
          <w:tcPr>
            <w:tcW w:w="5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Interest (Expense)</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(11,814)</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(11,957)</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(25,289)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 (Expense)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4,577</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Revenue (Expense)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(7,380)</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(21,549)</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 (Credit)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13,594</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3,948</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(11,328)</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(36,000)</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113" w:lineRule="exact"/>
        <w:rPr>
          <w:sz w:val="20"/>
          <w:szCs w:val="20"/>
          <w:color w:val="auto"/>
        </w:rPr>
      </w:pPr>
    </w:p>
    <w:p>
      <w:pPr>
        <w:ind w:right="180" w:firstLine="518"/>
        <w:spacing w:after="0" w:line="266" w:lineRule="auto"/>
        <w:rPr>
          <w:sz w:val="20"/>
          <w:szCs w:val="20"/>
          <w:color w:val="auto"/>
        </w:rPr>
      </w:pPr>
      <w:r>
        <w:rPr>
          <w:rFonts w:ascii="Arial" w:cs="Arial" w:eastAsia="Arial" w:hAnsi="Arial"/>
          <w:sz w:val="18"/>
          <w:szCs w:val="18"/>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2017 versus June 30, 2016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was substantially unchanged as compared to the 2016 period.</w:t>
      </w:r>
    </w:p>
    <w:p>
      <w:pPr>
        <w:spacing w:after="0" w:line="225"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Other revenue increased $3 million as compared to the 2016 period, primarily due to gains in the 2017 period attributable to investments held in connection with LFI.</w:t>
      </w:r>
    </w:p>
    <w:p>
      <w:pPr>
        <w:spacing w:after="0" w:line="170"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Operating expenses increased $10 million as compared to the 2016 period, primarily due to an increase in compensation and benefits expense, including an increase in charges pertaining to LFI.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2017 versus June 30, 2016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increased $2 million, or 7%, as compared to the 2016 period.</w:t>
      </w:r>
    </w:p>
    <w:p>
      <w:pPr>
        <w:spacing w:after="0" w:line="225"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Other revenue increased $22 million as compared to the 2016 period, primarily due to gains in the 2017 period attributable to investments held in connection with LFI.</w:t>
      </w:r>
    </w:p>
    <w:p>
      <w:pPr>
        <w:spacing w:after="0" w:line="170"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Operating expenses increased $34 million as compared to the 2016 period, primarily due to an increase in compensation and benefits expense, including an increase in charges pertaining to LFI.</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 Company’s cash flows are influenced primarily by the timing of the receipt of Financial Advisory and Asset Management fees, the timing of distributions to members, payments of incentive compensation to managing directors and employees and purchases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ind w:right="260"/>
        <w:spacing w:after="0" w:line="259" w:lineRule="auto"/>
        <w:rPr>
          <w:sz w:val="20"/>
          <w:szCs w:val="20"/>
          <w:color w:val="auto"/>
        </w:rPr>
      </w:pPr>
      <w:r>
        <w:rPr>
          <w:rFonts w:ascii="Arial" w:cs="Arial" w:eastAsia="Arial" w:hAnsi="Arial"/>
          <w:sz w:val="18"/>
          <w:szCs w:val="18"/>
          <w:color w:val="auto"/>
        </w:rPr>
        <w:t>of Lazard Ltd Class A common stock. M&amp;A and Strategic Advisory and Asset Management fees are generally collected within 60 days of billing, while Restructuring fee collections may extend beyond 60 days, particularly those that involve bankruptcies with court-ordered holdbacks. Fees from our Private Capital Advisory (which we historically referred to as Private Fund Advisory) activities are generally collected over a four-year period from billing and typically include an interest component.</w:t>
      </w:r>
    </w:p>
    <w:p>
      <w:pPr>
        <w:spacing w:after="0" w:line="187"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40" w:type="dxa"/>
            <w:vAlign w:val="bottom"/>
            <w:gridSpan w:val="10"/>
          </w:tcPr>
          <w:p>
            <w:pPr>
              <w:jc w:val="right"/>
              <w:ind w:right="12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20" w:type="dxa"/>
            <w:vAlign w:val="bottom"/>
            <w:gridSpan w:val="8"/>
          </w:tcPr>
          <w:p>
            <w:pPr>
              <w:jc w:val="right"/>
              <w:ind w:right="1300"/>
              <w:spacing w:after="0" w:line="155" w:lineRule="exact"/>
              <w:rPr>
                <w:sz w:val="20"/>
                <w:szCs w:val="20"/>
                <w:color w:val="auto"/>
              </w:rPr>
            </w:pPr>
            <w:r>
              <w:rPr>
                <w:rFonts w:ascii="Arial" w:cs="Arial" w:eastAsia="Arial" w:hAnsi="Arial"/>
                <w:sz w:val="14"/>
                <w:szCs w:val="14"/>
                <w:b w:val="1"/>
                <w:bCs w:val="1"/>
                <w:color w:val="auto"/>
                <w:w w:val="99"/>
              </w:rPr>
              <w:t>($ in millions)</w:t>
            </w:r>
          </w:p>
        </w:tc>
        <w:tc>
          <w:tcPr>
            <w:tcW w:w="120" w:type="dxa"/>
            <w:vAlign w:val="bottom"/>
          </w:tcPr>
          <w:p>
            <w:pPr>
              <w:spacing w:after="0"/>
              <w:rPr>
                <w:sz w:val="13"/>
                <w:szCs w:val="13"/>
                <w:color w:val="auto"/>
              </w:rPr>
            </w:pPr>
          </w:p>
        </w:tc>
      </w:tr>
      <w:tr>
        <w:trPr>
          <w:trHeight w:val="230"/>
        </w:trPr>
        <w:tc>
          <w:tcPr>
            <w:tcW w:w="69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Operating activities: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1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273.8</w:t>
            </w:r>
          </w:p>
        </w:tc>
        <w:tc>
          <w:tcPr>
            <w:tcW w:w="2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183.9</w:t>
            </w:r>
          </w:p>
        </w:tc>
        <w:tc>
          <w:tcPr>
            <w:tcW w:w="120" w:type="dxa"/>
            <w:vAlign w:val="bottom"/>
            <w:shd w:val="clear" w:color="auto" w:fill="CFF0FC"/>
          </w:tcPr>
          <w:p>
            <w:pPr>
              <w:spacing w:after="0"/>
              <w:rPr>
                <w:sz w:val="19"/>
                <w:szCs w:val="19"/>
                <w:color w:val="auto"/>
              </w:rPr>
            </w:pP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 activities (a)</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228.4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209.4</w:t>
            </w:r>
          </w:p>
        </w:tc>
        <w:tc>
          <w:tcPr>
            <w:tcW w:w="120" w:type="dxa"/>
            <w:vAlign w:val="bottom"/>
          </w:tcPr>
          <w:p>
            <w:pPr>
              <w:spacing w:after="0"/>
              <w:rPr>
                <w:sz w:val="19"/>
                <w:szCs w:val="19"/>
                <w:color w:val="auto"/>
              </w:rPr>
            </w:pP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Other operating activities (b)</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(205.4)</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(328.6)</w:t>
            </w:r>
          </w:p>
        </w:tc>
      </w:tr>
      <w:tr>
        <w:trPr>
          <w:trHeight w:val="223"/>
        </w:trPr>
        <w:tc>
          <w:tcPr>
            <w:tcW w:w="6960" w:type="dxa"/>
            <w:vAlign w:val="bottom"/>
            <w:tcBorders>
              <w:bottom w:val="single" w:sz="8" w:color="CFF0FC"/>
            </w:tcBorders>
            <w:gridSpan w:val="3"/>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7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296.8</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FF0FC"/>
            </w:tcBorders>
          </w:tcPr>
          <w:p>
            <w:pPr>
              <w:spacing w:after="0"/>
              <w:rPr>
                <w:sz w:val="19"/>
                <w:szCs w:val="19"/>
                <w:color w:val="auto"/>
              </w:rPr>
            </w:pPr>
          </w:p>
        </w:tc>
      </w:tr>
      <w:tr>
        <w:trPr>
          <w:trHeight w:val="223"/>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(9.2)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(11.0)</w:t>
            </w: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Financing activities (c)</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4"/>
          </w:tcPr>
          <w:p>
            <w:pPr>
              <w:jc w:val="right"/>
              <w:ind w:right="160"/>
              <w:spacing w:after="0"/>
              <w:rPr>
                <w:sz w:val="20"/>
                <w:szCs w:val="20"/>
                <w:color w:val="auto"/>
              </w:rPr>
            </w:pPr>
            <w:r>
              <w:rPr>
                <w:rFonts w:ascii="Arial" w:cs="Arial" w:eastAsia="Arial" w:hAnsi="Arial"/>
                <w:sz w:val="18"/>
                <w:szCs w:val="18"/>
                <w:color w:val="auto"/>
              </w:rPr>
              <w:t>(513.7)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8"/>
                <w:szCs w:val="18"/>
                <w:color w:val="auto"/>
              </w:rPr>
              <w:t>(443.5)</w:t>
            </w: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Effect of exchange rate changes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1"/>
              </w:rPr>
              <w:t>39.9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r>
      <w:tr>
        <w:trPr>
          <w:trHeight w:val="223"/>
        </w:trPr>
        <w:tc>
          <w:tcPr>
            <w:tcW w:w="6960" w:type="dxa"/>
            <w:vAlign w:val="bottom"/>
            <w:gridSpan w:val="3"/>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4"/>
          </w:tcPr>
          <w:p>
            <w:pPr>
              <w:jc w:val="right"/>
              <w:ind w:right="160"/>
              <w:spacing w:after="0"/>
              <w:rPr>
                <w:sz w:val="20"/>
                <w:szCs w:val="20"/>
                <w:color w:val="auto"/>
              </w:rPr>
            </w:pPr>
            <w:r>
              <w:rPr>
                <w:rFonts w:ascii="Arial" w:cs="Arial" w:eastAsia="Arial" w:hAnsi="Arial"/>
                <w:sz w:val="18"/>
                <w:szCs w:val="18"/>
                <w:color w:val="auto"/>
              </w:rPr>
              <w:t>(186.2)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8"/>
                <w:szCs w:val="18"/>
                <w:color w:val="auto"/>
              </w:rPr>
              <w:t>(388.2)</w:t>
            </w:r>
          </w:p>
        </w:tc>
      </w:tr>
      <w:tr>
        <w:trPr>
          <w:trHeight w:val="230"/>
        </w:trPr>
        <w:tc>
          <w:tcPr>
            <w:tcW w:w="69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6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b w:val="1"/>
                <w:bCs w:val="1"/>
                <w:color w:val="auto"/>
              </w:rPr>
              <w:t>Beginning of Period</w:t>
            </w:r>
          </w:p>
        </w:tc>
        <w:tc>
          <w:tcPr>
            <w:tcW w:w="7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1,131.4</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1,025.8</w:t>
            </w:r>
          </w:p>
        </w:tc>
        <w:tc>
          <w:tcPr>
            <w:tcW w:w="120" w:type="dxa"/>
            <w:vAlign w:val="bottom"/>
            <w:tcBorders>
              <w:bottom w:val="single" w:sz="8" w:color="CFF0FC"/>
            </w:tcBorders>
          </w:tcPr>
          <w:p>
            <w:pPr>
              <w:spacing w:after="0"/>
              <w:rPr>
                <w:sz w:val="19"/>
                <w:szCs w:val="19"/>
                <w:color w:val="auto"/>
              </w:rPr>
            </w:pPr>
          </w:p>
        </w:tc>
      </w:tr>
      <w:tr>
        <w:trPr>
          <w:trHeight w:val="223"/>
        </w:trPr>
        <w:tc>
          <w:tcPr>
            <w:tcW w:w="6960" w:type="dxa"/>
            <w:vAlign w:val="bottom"/>
            <w:tcBorders>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b w:val="1"/>
                <w:bCs w:val="1"/>
                <w:color w:val="auto"/>
              </w:rPr>
              <w:t>End of Period</w:t>
            </w:r>
          </w:p>
        </w:tc>
        <w:tc>
          <w:tcPr>
            <w:tcW w:w="7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945.2</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637.6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5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50"/>
        </w:trPr>
        <w:tc>
          <w:tcPr>
            <w:tcW w:w="6960" w:type="dxa"/>
            <w:vAlign w:val="bottom"/>
            <w:gridSpan w:val="3"/>
          </w:tcPr>
          <w:p>
            <w:pPr>
              <w:spacing w:after="0"/>
              <w:rPr>
                <w:sz w:val="20"/>
                <w:szCs w:val="20"/>
                <w:color w:val="auto"/>
              </w:rPr>
            </w:pPr>
            <w:r>
              <w:rPr>
                <w:rFonts w:ascii="Arial" w:cs="Arial" w:eastAsia="Arial" w:hAnsi="Arial"/>
                <w:sz w:val="18"/>
                <w:szCs w:val="18"/>
                <w:color w:val="auto"/>
              </w:rPr>
              <w:t>(a)  Consists of the following:</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36"/>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6"/>
          </w:tcPr>
          <w:p>
            <w:pPr>
              <w:jc w:val="center"/>
              <w:ind w:left="356"/>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left="536"/>
              <w:spacing w:after="0"/>
              <w:rPr>
                <w:sz w:val="20"/>
                <w:szCs w:val="20"/>
                <w:color w:val="auto"/>
              </w:rPr>
            </w:pPr>
            <w:r>
              <w:rPr>
                <w:rFonts w:ascii="Arial" w:cs="Arial" w:eastAsia="Arial" w:hAnsi="Arial"/>
                <w:sz w:val="14"/>
                <w:szCs w:val="14"/>
                <w:b w:val="1"/>
                <w:bCs w:val="1"/>
                <w:color w:val="auto"/>
                <w:w w:val="92"/>
              </w:rPr>
              <w:t>June 30,</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4"/>
          </w:tcPr>
          <w:p>
            <w:pPr>
              <w:jc w:val="center"/>
              <w:ind w:left="536"/>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 of property</w:t>
            </w:r>
          </w:p>
        </w:tc>
        <w:tc>
          <w:tcPr>
            <w:tcW w:w="9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Amortization of deferred expenses and stock units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provision (benefit)</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3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Amortization and other acquisition-related costs</w:t>
            </w:r>
          </w:p>
        </w:tc>
        <w:tc>
          <w:tcPr>
            <w:tcW w:w="7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3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228.4</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209.4</w:t>
            </w: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hanging="372"/>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17" w:lineRule="exact"/>
        <w:rPr>
          <w:rFonts w:ascii="Arial" w:cs="Arial" w:eastAsia="Arial" w:hAnsi="Arial"/>
          <w:sz w:val="18"/>
          <w:szCs w:val="18"/>
          <w:color w:val="auto"/>
        </w:rPr>
      </w:pPr>
    </w:p>
    <w:p>
      <w:pPr>
        <w:ind w:left="380" w:right="40" w:hanging="372"/>
        <w:spacing w:after="0" w:line="308" w:lineRule="auto"/>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Consists primarily of purchases of shares of Lazard Ltd Class A common stock, tax withholdings related to the settlement of vested restricted stock units (“RSUs”), vested restricted stock awards and vested PRSUs, and distributions to members and noncontrolling interest holders.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124"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3" w:name="page54"/>
    <w:bookmarkEnd w:id="53"/>
    <w:p>
      <w:pPr>
        <w:ind w:right="140"/>
        <w:spacing w:after="0" w:line="277" w:lineRule="auto"/>
        <w:rPr>
          <w:sz w:val="20"/>
          <w:szCs w:val="20"/>
          <w:color w:val="auto"/>
        </w:rPr>
      </w:pPr>
      <w:r>
        <w:rPr>
          <w:rFonts w:ascii="Arial" w:cs="Arial" w:eastAsia="Arial" w:hAnsi="Arial"/>
          <w:sz w:val="18"/>
          <w:szCs w:val="18"/>
          <w:color w:val="auto"/>
        </w:rPr>
        <w:t>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7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Liquidity is also affected by the level of deposits and other customer payables, principally at LFB. To the extent that such deposits and other customer payables rise or fall, this has a corresponding impact on liquidity held at LFB, with the majority of such amounts generally being recorded in “deposits with banks and short-term investments”, or in “investments” for interest-bearing deposits having original maturities of greater than three months. In the first half of 2017, as reflected on the condensed consolidated statements of financial condition, both “deposits with banks and short-term investments” and “deposits and other customer payables” increased as compared to December 31, 2016, due to a higher level of LFB customer-related demand deposits, primarily from clients and funds managed by LFG.</w:t>
      </w:r>
    </w:p>
    <w:p>
      <w:pPr>
        <w:spacing w:after="0" w:line="193"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condensed consolidated statements of operations.</w:t>
      </w:r>
    </w:p>
    <w:p>
      <w:pPr>
        <w:spacing w:after="0" w:line="165"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distributions to members, purchases of shares of Lazard Ltd Class A common stock and matters relating to liquidity and to compliance with regulatory net capital requirements. At June 30, 2017, Lazard had approximately $945 million of cash, with such amount including approximately $483 million held at Lazard’s operations outside the U.S. Since Lazard provides for U.S. income taxes on substantially all of its unrepatriated foreign earnings, we expect that no material amount of additional U.S. income taxes would be recognized upon receipt of dividends or distributions of such earnings from our foreign operations.</w:t>
      </w:r>
    </w:p>
    <w:p>
      <w:pPr>
        <w:spacing w:after="0" w:line="193"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We maintain lines of credit in excess of anticipated liquidity requirements. As of June 30, 2017, Lazard had approximately $174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$23 million (at June 30, 2017 exchange rates).</w:t>
      </w:r>
    </w:p>
    <w:p>
      <w:pPr>
        <w:spacing w:after="0" w:line="187" w:lineRule="exact"/>
        <w:rPr>
          <w:sz w:val="20"/>
          <w:szCs w:val="20"/>
          <w:color w:val="auto"/>
        </w:rPr>
      </w:pPr>
    </w:p>
    <w:p>
      <w:pPr>
        <w:ind w:right="360" w:firstLine="518"/>
        <w:spacing w:after="0" w:line="279" w:lineRule="auto"/>
        <w:rPr>
          <w:sz w:val="20"/>
          <w:szCs w:val="20"/>
          <w:color w:val="auto"/>
        </w:rPr>
      </w:pPr>
      <w:r>
        <w:rPr>
          <w:rFonts w:ascii="Arial" w:cs="Arial" w:eastAsia="Arial" w:hAnsi="Arial"/>
          <w:sz w:val="17"/>
          <w:szCs w:val="17"/>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The table below sets forth our corporate indebtedness as of June 30, 2017 and December 31, 2016. The agreements with respect to this indebtedness are discussed in more detail in our condensed consolidated financial statements and related notes included elsewhere in this Form 10-Q and in our Form 10-K.</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ind w:left="180"/>
              <w:spacing w:after="0" w:line="155" w:lineRule="exact"/>
              <w:rPr>
                <w:sz w:val="20"/>
                <w:szCs w:val="20"/>
                <w:color w:val="auto"/>
              </w:rPr>
            </w:pPr>
            <w:r>
              <w:rPr>
                <w:rFonts w:ascii="Arial" w:cs="Arial" w:eastAsia="Arial" w:hAnsi="Arial"/>
                <w:sz w:val="14"/>
                <w:szCs w:val="14"/>
                <w:b w:val="1"/>
                <w:bCs w:val="1"/>
                <w:color w:val="auto"/>
              </w:rPr>
              <w:t>June 30, 2017</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2016</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4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Senior Debt</w:t>
            </w: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120" w:type="dxa"/>
            <w:vAlign w:val="bottom"/>
          </w:tcPr>
          <w:p>
            <w:pPr>
              <w:spacing w:after="0"/>
              <w:rPr>
                <w:sz w:val="11"/>
                <w:szCs w:val="11"/>
                <w:color w:val="auto"/>
              </w:rPr>
            </w:pPr>
          </w:p>
        </w:tc>
        <w:tc>
          <w:tcPr>
            <w:tcW w:w="70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940" w:type="dxa"/>
            <w:vAlign w:val="bottom"/>
          </w:tcPr>
          <w:p>
            <w:pPr>
              <w:jc w:val="right"/>
              <w:ind w:right="257"/>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Debt Costs</w:t>
            </w:r>
          </w:p>
        </w:tc>
        <w:tc>
          <w:tcPr>
            <w:tcW w:w="1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394"/>
              <w:spacing w:after="0" w:line="155" w:lineRule="exact"/>
              <w:rPr>
                <w:sz w:val="20"/>
                <w:szCs w:val="20"/>
                <w:color w:val="auto"/>
              </w:rPr>
            </w:pPr>
            <w:r>
              <w:rPr>
                <w:rFonts w:ascii="Arial" w:cs="Arial" w:eastAsia="Arial" w:hAnsi="Arial"/>
                <w:sz w:val="14"/>
                <w:szCs w:val="14"/>
                <w:b w:val="1"/>
                <w:bCs w:val="1"/>
                <w:color w:val="auto"/>
              </w:rPr>
              <w:t>($ in millions)</w:t>
            </w: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2020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2025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2027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296.2</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1,189.5</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4" w:name="page55"/>
    <w:bookmarkEnd w:id="54"/>
    <w:p>
      <w:pPr>
        <w:ind w:right="120" w:firstLine="518"/>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June 30, 2017, Lazard Group was in compliance with such ratios, with its Consolidated Leverage Ratio being 1.14 to 1.00 and its Consolidated Interest Coverage Ratio being 20.96 to 1.00. In any event, no amounts were outstanding under the Amended and Restated Credit Agreement as of June 30, 2017.</w:t>
      </w:r>
    </w:p>
    <w:p>
      <w:pPr>
        <w:spacing w:after="0" w:line="16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June 30, 2017,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9 of Notes to Condensed Consolidated Financial Statements for additional information regarding senior debt.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At June 30, 2017, total members’ equity was $709 million, as compared to $736 million at December 31, 2016, including $650 million and $679 million attributable to Lazard Group on the respective dates. The net activity in members’ equity during the six month period ended June 30, 2017 is reflected in the table below (in millions of dollars):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8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Members’ Equity - January 1, 2017</w:t>
            </w:r>
          </w:p>
        </w:tc>
        <w:tc>
          <w:tcPr>
            <w:tcW w:w="740" w:type="dxa"/>
            <w:vAlign w:val="bottom"/>
            <w:gridSpan w:val="2"/>
            <w:shd w:val="clear" w:color="auto" w:fill="CFF0FC"/>
          </w:tcPr>
          <w:p>
            <w:pPr>
              <w:jc w:val="right"/>
              <w:ind w:right="56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FF0FC"/>
          </w:tcPr>
          <w:p>
            <w:pPr>
              <w:spacing w:after="0"/>
              <w:rPr>
                <w:sz w:val="19"/>
                <w:szCs w:val="19"/>
                <w:color w:val="auto"/>
              </w:rPr>
            </w:pPr>
          </w:p>
        </w:tc>
      </w:tr>
      <w:tr>
        <w:trPr>
          <w:trHeight w:val="215"/>
        </w:trPr>
        <w:tc>
          <w:tcPr>
            <w:tcW w:w="8440" w:type="dxa"/>
            <w:vAlign w:val="bottom"/>
            <w:gridSpan w:val="3"/>
          </w:tcPr>
          <w:p>
            <w:pPr>
              <w:spacing w:after="0"/>
              <w:rPr>
                <w:sz w:val="20"/>
                <w:szCs w:val="20"/>
                <w:color w:val="auto"/>
              </w:rPr>
            </w:pPr>
            <w:r>
              <w:rPr>
                <w:rFonts w:ascii="Arial" w:cs="Arial" w:eastAsia="Arial" w:hAnsi="Arial"/>
                <w:sz w:val="18"/>
                <w:szCs w:val="18"/>
                <w:color w:val="auto"/>
              </w:rPr>
              <w:t>Adjustment for the cumulative effect on prior years from the adoption of new</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 w:type="dxa"/>
            <w:vAlign w:val="bottom"/>
            <w:tcBorders>
              <w:bottom w:val="single" w:sz="8" w:color="CFF0FC"/>
            </w:tcBorders>
          </w:tcPr>
          <w:p>
            <w:pPr>
              <w:spacing w:after="0"/>
              <w:rPr>
                <w:sz w:val="20"/>
                <w:szCs w:val="20"/>
                <w:color w:val="auto"/>
              </w:rPr>
            </w:pPr>
          </w:p>
        </w:tc>
        <w:tc>
          <w:tcPr>
            <w:tcW w:w="8400" w:type="dxa"/>
            <w:vAlign w:val="bottom"/>
            <w:tcBorders>
              <w:bottom w:val="single" w:sz="8" w:color="CFF0FC"/>
            </w:tcBorders>
            <w:gridSpan w:val="2"/>
          </w:tcPr>
          <w:p>
            <w:pPr>
              <w:ind w:left="100"/>
              <w:spacing w:after="0"/>
              <w:rPr>
                <w:sz w:val="20"/>
                <w:szCs w:val="20"/>
                <w:color w:val="auto"/>
              </w:rPr>
            </w:pPr>
            <w:r>
              <w:rPr>
                <w:rFonts w:ascii="Arial" w:cs="Arial" w:eastAsia="Arial" w:hAnsi="Arial"/>
                <w:sz w:val="18"/>
                <w:szCs w:val="18"/>
                <w:color w:val="auto"/>
              </w:rPr>
              <w:t>accounting guidance related to share-based incentive compensation</w:t>
            </w:r>
          </w:p>
        </w:tc>
        <w:tc>
          <w:tcPr>
            <w:tcW w:w="20" w:type="dxa"/>
            <w:vAlign w:val="bottom"/>
            <w:tcBorders>
              <w:bottom w:val="single" w:sz="8" w:color="CFF0FC"/>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tcPr>
          <w:p>
            <w:pPr>
              <w:spacing w:after="0"/>
              <w:rPr>
                <w:sz w:val="20"/>
                <w:szCs w:val="20"/>
                <w:color w:val="auto"/>
              </w:rPr>
            </w:pPr>
          </w:p>
        </w:tc>
      </w:tr>
      <w:tr>
        <w:trPr>
          <w:trHeight w:val="223"/>
        </w:trPr>
        <w:tc>
          <w:tcPr>
            <w:tcW w:w="8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Balance, as adjusted, January 1, 2017</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FF0FC"/>
          </w:tcPr>
          <w:p>
            <w:pPr>
              <w:spacing w:after="0"/>
              <w:rPr>
                <w:sz w:val="19"/>
                <w:szCs w:val="19"/>
                <w:color w:val="auto"/>
              </w:rPr>
            </w:pPr>
          </w:p>
        </w:tc>
      </w:tr>
      <w:tr>
        <w:trPr>
          <w:trHeight w:val="230"/>
        </w:trPr>
        <w:tc>
          <w:tcPr>
            <w:tcW w:w="8440" w:type="dxa"/>
            <w:vAlign w:val="bottom"/>
            <w:gridSpan w:val="3"/>
          </w:tcPr>
          <w:p>
            <w:pPr>
              <w:spacing w:after="0"/>
              <w:rPr>
                <w:sz w:val="20"/>
                <w:szCs w:val="20"/>
                <w:color w:val="auto"/>
              </w:rPr>
            </w:pPr>
            <w:r>
              <w:rPr>
                <w:rFonts w:ascii="Arial" w:cs="Arial" w:eastAsia="Arial" w:hAnsi="Arial"/>
                <w:sz w:val="18"/>
                <w:szCs w:val="18"/>
                <w:color w:val="auto"/>
              </w:rPr>
              <w:t>Increase (decrease) due to:</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Amortization of share-based incentive compensation</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Purchase of Lazard Ltd Class A common stock</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Settlement of share-based incentive compensation (a)</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w:t>
            </w: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Distributions to members and noncontrolling interests, net</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Other - net</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r>
      <w:tr>
        <w:trPr>
          <w:trHeight w:val="223"/>
        </w:trPr>
        <w:tc>
          <w:tcPr>
            <w:tcW w:w="8440" w:type="dxa"/>
            <w:vAlign w:val="bottom"/>
            <w:gridSpan w:val="3"/>
          </w:tcPr>
          <w:p>
            <w:pPr>
              <w:spacing w:after="0"/>
              <w:rPr>
                <w:sz w:val="20"/>
                <w:szCs w:val="20"/>
                <w:color w:val="auto"/>
              </w:rPr>
            </w:pPr>
            <w:r>
              <w:rPr>
                <w:rFonts w:ascii="Arial" w:cs="Arial" w:eastAsia="Arial" w:hAnsi="Arial"/>
                <w:sz w:val="18"/>
                <w:szCs w:val="18"/>
                <w:color w:val="auto"/>
              </w:rPr>
              <w:t>Members’ Equity - June 30, 2017</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40" w:type="dxa"/>
            <w:vAlign w:val="bottom"/>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650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tax withholding portion of share-based compensation is settled in cash, not shares.</w:t>
      </w:r>
    </w:p>
    <w:p>
      <w:pPr>
        <w:spacing w:after="0" w:line="225"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Board of Directors of Lazard has issued a series of authorizations to repurchase Lazard Ltd Class A common stock, which help offset the dilutive effect of our share-based incentive compensation plans. During a given year Lazard Ltd intends to repurchase at least as many shares as it expects to ultimately issue pursuant to such compensation plans in respect of year-end incentive compensation attributable to the prior year. The rate at which Lazard Ltd purchases shares in connection with this annual objective may vary from quarter to quarter due to a variety of factors. Purchases with respect to such program are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580" w:type="dxa"/>
            <w:vAlign w:val="bottom"/>
          </w:tcPr>
          <w:p>
            <w:pPr>
              <w:jc w:val="right"/>
              <w:ind w:right="499"/>
              <w:spacing w:after="0" w:line="158" w:lineRule="exact"/>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1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2016</w:t>
            </w:r>
          </w:p>
        </w:tc>
        <w:tc>
          <w:tcPr>
            <w:tcW w:w="616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5,646,092</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2017</w:t>
            </w:r>
          </w:p>
        </w:tc>
        <w:tc>
          <w:tcPr>
            <w:tcW w:w="6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4,268,479</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As of June 30, 2017, a total of $170 million of share repurchase authorization remained available under Lazard Ltd’s share repurchase program, which will expire on December 31, 2018.</w:t>
      </w:r>
    </w:p>
    <w:p>
      <w:pPr>
        <w:spacing w:after="0" w:line="170"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During the six month period ended June 30, 2017, Lazard Ltd had in place trading plans under Rule 10b5-1 of the Securities Exchange Act of 1934, as amended (the “Exchange Act”), pursuant to which it effected stock repurchases in the open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ind w:right="440" w:firstLine="518"/>
        <w:spacing w:after="0" w:line="308" w:lineRule="auto"/>
        <w:rPr>
          <w:sz w:val="20"/>
          <w:szCs w:val="20"/>
          <w:color w:val="auto"/>
        </w:rPr>
      </w:pPr>
      <w:r>
        <w:rPr>
          <w:rFonts w:ascii="Arial" w:cs="Arial" w:eastAsia="Arial" w:hAnsi="Arial"/>
          <w:sz w:val="17"/>
          <w:szCs w:val="17"/>
          <w:color w:val="auto"/>
        </w:rPr>
        <w:t>The Company plans to continue to deploy excess cash and may do so in a variety of ways, which may include repurchasing outstanding shares of Lazard Ltd Class A common stock, distributions to members and noncontrolling interest holders and repurchasing its outstanding debt.</w:t>
      </w:r>
    </w:p>
    <w:p>
      <w:pPr>
        <w:spacing w:after="0" w:line="14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See Notes 11 and 12 of Notes to Condensed Consolidated Financial Statements for additional information regarding Lazard’s members’ equity and incentive plans,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12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16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information relating to Lazard’s contractual obligations as of June 30,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Contractual Obligations Payment Due by Period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Less than</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7"/>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debt (including interest) (a)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1,502,417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47,125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562,375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798,667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leases (exclusive of $43,490 of</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committed sublease income)</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816,837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83,355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142,018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129,020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462,444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capital funding commitments (b)</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9,183</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9,183</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Total (c)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2,328,437</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139,663</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236,268</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691,395</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20" w:type="dxa"/>
            <w:vAlign w:val="bottom"/>
            <w:tcBorders>
              <w:bottom w:val="single" w:sz="8" w:color="auto"/>
            </w:tcBorders>
          </w:tcPr>
          <w:p>
            <w:pPr>
              <w:spacing w:after="0"/>
              <w:rPr>
                <w:sz w:val="5"/>
                <w:szCs w:val="5"/>
                <w:color w:val="auto"/>
              </w:rPr>
            </w:pPr>
          </w:p>
        </w:tc>
        <w:tc>
          <w:tcPr>
            <w:tcW w:w="3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117" w:lineRule="exact"/>
        <w:rPr>
          <w:rFonts w:ascii="Arial" w:cs="Arial" w:eastAsia="Arial" w:hAnsi="Arial"/>
          <w:sz w:val="18"/>
          <w:szCs w:val="18"/>
          <w:color w:val="auto"/>
        </w:rPr>
      </w:pPr>
    </w:p>
    <w:p>
      <w:pPr>
        <w:ind w:left="380" w:right="100" w:hanging="372"/>
        <w:spacing w:after="0" w:line="264"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$6,904 are excluded. Such commitments are required to be funded by capital contributions from noncontrolling interest holders. See Note 5 of Notes to Condensed Consolidated Financial Statements. These amounts are generally due on demand and therefore are presented in the “less than 1 year” category.</w:t>
      </w:r>
    </w:p>
    <w:p>
      <w:pPr>
        <w:spacing w:after="0" w:line="73" w:lineRule="exact"/>
        <w:rPr>
          <w:rFonts w:ascii="Arial" w:cs="Arial" w:eastAsia="Arial" w:hAnsi="Arial"/>
          <w:sz w:val="18"/>
          <w:szCs w:val="18"/>
          <w:color w:val="auto"/>
        </w:rPr>
      </w:pPr>
    </w:p>
    <w:p>
      <w:pPr>
        <w:ind w:left="380" w:right="240" w:hanging="372"/>
        <w:spacing w:after="0" w:line="312" w:lineRule="auto"/>
        <w:tabs>
          <w:tab w:leader="none" w:pos="3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table above excludes contingent obligations, as well as any possible payments for uncertain tax positions given the inability to make a reasonably reliable estimate of the timing of the amounts of any such payments. See also Notes 10, 12, 13 and 14 of Notes to Condensed Consolidated Financial Statements regarding information in connection with commitments, incentive plans, employee benefit plans and income taxes,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60" w:firstLine="518"/>
        <w:spacing w:after="0" w:line="272" w:lineRule="auto"/>
        <w:rPr>
          <w:sz w:val="20"/>
          <w:szCs w:val="20"/>
          <w:color w:val="auto"/>
        </w:rPr>
      </w:pPr>
      <w:r>
        <w:rPr>
          <w:rFonts w:ascii="Arial" w:cs="Arial" w:eastAsia="Arial" w:hAnsi="Arial"/>
          <w:sz w:val="17"/>
          <w:szCs w:val="17"/>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7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62" w:lineRule="exact"/>
        <w:rPr>
          <w:sz w:val="20"/>
          <w:szCs w:val="20"/>
          <w:color w:val="auto"/>
        </w:rPr>
      </w:pPr>
    </w:p>
    <w:p>
      <w:pPr>
        <w:ind w:left="900" w:hanging="379"/>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pacing w:after="0" w:line="225"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2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8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11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5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2016, on a consolidated basis, we recorded gross deferred tax assets of approximately $138 million, with such amount partially offset by a valuation allowance of approximately $55 million (as described below).</w:t>
      </w:r>
    </w:p>
    <w:p>
      <w:pPr>
        <w:spacing w:after="0" w:line="18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7" w:name="page58"/>
    <w:bookmarkEnd w:id="57"/>
    <w:p>
      <w:pPr>
        <w:ind w:left="52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117" w:lineRule="exact"/>
        <w:rPr>
          <w:sz w:val="20"/>
          <w:szCs w:val="20"/>
          <w:color w:val="auto"/>
        </w:rPr>
      </w:pPr>
    </w:p>
    <w:p>
      <w:pPr>
        <w:ind w:left="900" w:hanging="379"/>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8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Certain of our tax-paying entities have individually experienced losses on a cumulative three year basis. In addition, one of our tax-paying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$55 million of deferred tax assets held by these entities as of December 31, 2016.</w:t>
      </w:r>
    </w:p>
    <w:p>
      <w:pPr>
        <w:spacing w:after="0" w:line="188"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93"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On January 1, 2017, we adopted new accounting guidance on share-based incentive compensation. As a result of the adoption of this new guidance, we recognized excess tax benefits of $2.0 million from the vesting of share-based incentive compensation in the provision for income taxes in the condensed consolidated statements of operations for the six month period ended June 30, 2017. Upon adoption of the new guidance, we also recorded deferred tax assets of $4.9 million, net of a valuation allowance of $12.1 million, for previously unrecognized excess tax benefits (including tax benefits from dividends or dividend equivalents) on share-based incentive compensation, with an offsetting adjustment to retained earnings. See Notes 2 and 14 of Notes to Condensed Consolidated Financial Statements for further information on the adoption of this new guidance. The new guidance has since January 1, 2017 affected, and the Company expects that in future periods the new guidance will affect, the provision for income taxes for the delivery of stock under share-based incentive compensation arrangements, as well as the effective tax rate in the relevant periods, which could be material to the condensed consolidated statements of operations and the classification of cash flows in the relevant periods.</w:t>
      </w:r>
    </w:p>
    <w:p>
      <w:pPr>
        <w:spacing w:after="0" w:line="18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8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See Item 1A, “Risk Factors” in our Form 10-K and Note 14 of Notes to Condensed Consolidated Financial Statements for additional information related to income taxes.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8" w:name="page59"/>
    <w:bookmarkEnd w:id="58"/>
    <w:p>
      <w:pPr>
        <w:ind w:left="26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Investments consist primarily of interest-bearing deposits, debt and equity securities, interests in alternative investment, debt, equity and private equity funds and investments accounted for under the equity method of accounting.</w:t>
      </w:r>
    </w:p>
    <w:p>
      <w:pPr>
        <w:spacing w:after="0" w:line="170"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These investments, with the exception of interest-bearing deposits and equity method investments,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5 of Notes to Condensed Consolidated Financial Statements for additional information on the measurement of the fair value of investments.</w:t>
      </w:r>
    </w:p>
    <w:p>
      <w:pPr>
        <w:spacing w:after="0" w:line="171"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Data relating to investments is set forth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0" w:type="dxa"/>
            <w:vAlign w:val="bottom"/>
            <w:gridSpan w:val="5"/>
          </w:tcPr>
          <w:p>
            <w:pPr>
              <w:ind w:left="52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440" w:type="dxa"/>
            <w:vAlign w:val="bottom"/>
            <w:tcBorders>
              <w:top w:val="single" w:sz="8" w:color="auto"/>
            </w:tcBorders>
            <w:gridSpan w:val="7"/>
          </w:tcPr>
          <w:p>
            <w:pPr>
              <w:jc w:val="right"/>
              <w:ind w:right="1240"/>
              <w:spacing w:after="0" w:line="155"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3"/>
                <w:szCs w:val="13"/>
                <w:color w:val="auto"/>
              </w:rPr>
            </w:pPr>
          </w:p>
        </w:tc>
      </w:tr>
      <w:tr>
        <w:trPr>
          <w:trHeight w:val="230"/>
        </w:trPr>
        <w:tc>
          <w:tcPr>
            <w:tcW w:w="72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Seed investments by asset class:</w:t>
            </w:r>
          </w:p>
        </w:tc>
        <w:tc>
          <w:tcPr>
            <w:tcW w:w="5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280" w:type="dxa"/>
            <w:vAlign w:val="bottom"/>
            <w:gridSpan w:val="3"/>
          </w:tcPr>
          <w:p>
            <w:pPr>
              <w:ind w:left="260"/>
              <w:spacing w:after="0"/>
              <w:rPr>
                <w:sz w:val="20"/>
                <w:szCs w:val="20"/>
                <w:color w:val="auto"/>
              </w:rPr>
            </w:pPr>
            <w:r>
              <w:rPr>
                <w:rFonts w:ascii="Arial" w:cs="Arial" w:eastAsia="Arial" w:hAnsi="Arial"/>
                <w:sz w:val="18"/>
                <w:szCs w:val="18"/>
                <w:color w:val="auto"/>
              </w:rPr>
              <w:t>Equities (a)</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109,061</w:t>
            </w:r>
          </w:p>
        </w:tc>
        <w:tc>
          <w:tcPr>
            <w:tcW w:w="2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99,669</w:t>
            </w:r>
          </w:p>
        </w:tc>
        <w:tc>
          <w:tcPr>
            <w:tcW w:w="120" w:type="dxa"/>
            <w:vAlign w:val="bottom"/>
          </w:tcPr>
          <w:p>
            <w:pPr>
              <w:spacing w:after="0"/>
              <w:rPr>
                <w:sz w:val="19"/>
                <w:szCs w:val="19"/>
                <w:color w:val="auto"/>
              </w:rPr>
            </w:pPr>
          </w:p>
        </w:tc>
      </w:tr>
      <w:tr>
        <w:trPr>
          <w:trHeight w:val="230"/>
        </w:trPr>
        <w:tc>
          <w:tcPr>
            <w:tcW w:w="72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5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17,495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16,406</w:t>
            </w:r>
          </w:p>
        </w:tc>
        <w:tc>
          <w:tcPr>
            <w:tcW w:w="120" w:type="dxa"/>
            <w:vAlign w:val="bottom"/>
            <w:shd w:val="clear" w:color="auto" w:fill="CFF0FC"/>
          </w:tcPr>
          <w:p>
            <w:pPr>
              <w:spacing w:after="0"/>
              <w:rPr>
                <w:sz w:val="19"/>
                <w:szCs w:val="19"/>
                <w:color w:val="auto"/>
              </w:rPr>
            </w:pPr>
          </w:p>
        </w:tc>
      </w:tr>
      <w:tr>
        <w:trPr>
          <w:trHeight w:val="230"/>
        </w:trPr>
        <w:tc>
          <w:tcPr>
            <w:tcW w:w="728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color w:val="auto"/>
              </w:rPr>
              <w:t>Alternative investments</w:t>
            </w:r>
          </w:p>
        </w:tc>
        <w:tc>
          <w:tcPr>
            <w:tcW w:w="5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8,198</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18,172</w:t>
            </w:r>
          </w:p>
        </w:tc>
        <w:tc>
          <w:tcPr>
            <w:tcW w:w="120" w:type="dxa"/>
            <w:vAlign w:val="bottom"/>
            <w:tcBorders>
              <w:bottom w:val="single" w:sz="8" w:color="CFF0FC"/>
            </w:tcBorders>
          </w:tcPr>
          <w:p>
            <w:pPr>
              <w:spacing w:after="0"/>
              <w:rPr>
                <w:sz w:val="19"/>
                <w:szCs w:val="19"/>
                <w:color w:val="auto"/>
              </w:rPr>
            </w:pPr>
          </w:p>
        </w:tc>
      </w:tr>
      <w:tr>
        <w:trPr>
          <w:trHeight w:val="223"/>
        </w:trPr>
        <w:tc>
          <w:tcPr>
            <w:tcW w:w="72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 seed investments</w:t>
            </w:r>
          </w:p>
        </w:tc>
        <w:tc>
          <w:tcPr>
            <w:tcW w:w="5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134,754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134,247</w:t>
            </w:r>
          </w:p>
        </w:tc>
        <w:tc>
          <w:tcPr>
            <w:tcW w:w="120" w:type="dxa"/>
            <w:vAlign w:val="bottom"/>
            <w:shd w:val="clear" w:color="auto" w:fill="CFF0FC"/>
          </w:tcPr>
          <w:p>
            <w:pPr>
              <w:spacing w:after="0"/>
              <w:rPr>
                <w:sz w:val="19"/>
                <w:szCs w:val="19"/>
                <w:color w:val="auto"/>
              </w:rPr>
            </w:pPr>
          </w:p>
        </w:tc>
      </w:tr>
      <w:tr>
        <w:trPr>
          <w:trHeight w:val="223"/>
        </w:trPr>
        <w:tc>
          <w:tcPr>
            <w:tcW w:w="7280" w:type="dxa"/>
            <w:vAlign w:val="bottom"/>
            <w:gridSpan w:val="3"/>
          </w:tcPr>
          <w:p>
            <w:pPr>
              <w:spacing w:after="0"/>
              <w:rPr>
                <w:sz w:val="20"/>
                <w:szCs w:val="20"/>
                <w:color w:val="auto"/>
              </w:rPr>
            </w:pPr>
            <w:r>
              <w:rPr>
                <w:rFonts w:ascii="Arial" w:cs="Arial" w:eastAsia="Arial" w:hAnsi="Arial"/>
                <w:sz w:val="18"/>
                <w:szCs w:val="18"/>
                <w:color w:val="auto"/>
              </w:rPr>
              <w:t>Other investments owned:</w:t>
            </w: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2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Private equity (b)</w:t>
            </w:r>
          </w:p>
        </w:tc>
        <w:tc>
          <w:tcPr>
            <w:tcW w:w="5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59,479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96,089</w:t>
            </w:r>
          </w:p>
        </w:tc>
        <w:tc>
          <w:tcPr>
            <w:tcW w:w="120" w:type="dxa"/>
            <w:vAlign w:val="bottom"/>
            <w:shd w:val="clear" w:color="auto" w:fill="CFF0FC"/>
          </w:tcPr>
          <w:p>
            <w:pPr>
              <w:spacing w:after="0"/>
              <w:rPr>
                <w:sz w:val="19"/>
                <w:szCs w:val="19"/>
                <w:color w:val="auto"/>
              </w:rPr>
            </w:pPr>
          </w:p>
        </w:tc>
      </w:tr>
      <w:tr>
        <w:trPr>
          <w:trHeight w:val="230"/>
        </w:trPr>
        <w:tc>
          <w:tcPr>
            <w:tcW w:w="7280" w:type="dxa"/>
            <w:vAlign w:val="bottom"/>
            <w:gridSpan w:val="3"/>
          </w:tcPr>
          <w:p>
            <w:pPr>
              <w:ind w:left="260"/>
              <w:spacing w:after="0"/>
              <w:rPr>
                <w:sz w:val="20"/>
                <w:szCs w:val="20"/>
                <w:color w:val="auto"/>
              </w:rPr>
            </w:pPr>
            <w:r>
              <w:rPr>
                <w:rFonts w:ascii="Arial" w:cs="Arial" w:eastAsia="Arial" w:hAnsi="Arial"/>
                <w:sz w:val="18"/>
                <w:szCs w:val="18"/>
                <w:color w:val="auto"/>
              </w:rPr>
              <w:t>Interest-bearing deposits (c)</w:t>
            </w: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9"/>
                <w:szCs w:val="19"/>
                <w:color w:val="auto"/>
              </w:rPr>
            </w:pPr>
          </w:p>
        </w:tc>
      </w:tr>
      <w:tr>
        <w:trPr>
          <w:trHeight w:val="230"/>
        </w:trPr>
        <w:tc>
          <w:tcPr>
            <w:tcW w:w="72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Fixed income and other</w:t>
            </w:r>
          </w:p>
        </w:tc>
        <w:tc>
          <w:tcPr>
            <w:tcW w:w="5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25,348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22,908</w:t>
            </w:r>
          </w:p>
        </w:tc>
        <w:tc>
          <w:tcPr>
            <w:tcW w:w="120" w:type="dxa"/>
            <w:vAlign w:val="bottom"/>
            <w:shd w:val="clear" w:color="auto" w:fill="CFF0FC"/>
          </w:tcPr>
          <w:p>
            <w:pPr>
              <w:spacing w:after="0"/>
              <w:rPr>
                <w:sz w:val="19"/>
                <w:szCs w:val="19"/>
                <w:color w:val="auto"/>
              </w:rPr>
            </w:pPr>
          </w:p>
        </w:tc>
      </w:tr>
      <w:tr>
        <w:trPr>
          <w:trHeight w:val="223"/>
        </w:trPr>
        <w:tc>
          <w:tcPr>
            <w:tcW w:w="72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Total other investments owned</w:t>
            </w:r>
          </w:p>
        </w:tc>
        <w:tc>
          <w:tcPr>
            <w:tcW w:w="5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85,368</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119,453</w:t>
            </w:r>
          </w:p>
        </w:tc>
        <w:tc>
          <w:tcPr>
            <w:tcW w:w="120" w:type="dxa"/>
            <w:vAlign w:val="bottom"/>
            <w:tcBorders>
              <w:bottom w:val="single" w:sz="8" w:color="CFF0FC"/>
            </w:tcBorders>
          </w:tcPr>
          <w:p>
            <w:pPr>
              <w:spacing w:after="0"/>
              <w:rPr>
                <w:sz w:val="19"/>
                <w:szCs w:val="19"/>
                <w:color w:val="auto"/>
              </w:rPr>
            </w:pPr>
          </w:p>
        </w:tc>
      </w:tr>
      <w:tr>
        <w:trPr>
          <w:trHeight w:val="223"/>
        </w:trPr>
        <w:tc>
          <w:tcPr>
            <w:tcW w:w="72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Subtotal</w:t>
            </w:r>
          </w:p>
        </w:tc>
        <w:tc>
          <w:tcPr>
            <w:tcW w:w="5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220,122</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253,700</w:t>
            </w:r>
          </w:p>
        </w:tc>
        <w:tc>
          <w:tcPr>
            <w:tcW w:w="120" w:type="dxa"/>
            <w:vAlign w:val="bottom"/>
            <w:shd w:val="clear" w:color="auto" w:fill="CFF0FC"/>
          </w:tcPr>
          <w:p>
            <w:pPr>
              <w:spacing w:after="0"/>
              <w:rPr>
                <w:sz w:val="19"/>
                <w:szCs w:val="19"/>
                <w:color w:val="auto"/>
              </w:rPr>
            </w:pPr>
          </w:p>
        </w:tc>
      </w:tr>
      <w:tr>
        <w:trPr>
          <w:trHeight w:val="223"/>
        </w:trPr>
        <w:tc>
          <w:tcPr>
            <w:tcW w:w="7280" w:type="dxa"/>
            <w:vAlign w:val="bottom"/>
            <w:gridSpan w:val="3"/>
          </w:tcPr>
          <w:p>
            <w:pPr>
              <w:spacing w:after="0"/>
              <w:rPr>
                <w:sz w:val="20"/>
                <w:szCs w:val="20"/>
                <w:color w:val="auto"/>
              </w:rPr>
            </w:pPr>
            <w:r>
              <w:rPr>
                <w:rFonts w:ascii="Arial" w:cs="Arial" w:eastAsia="Arial" w:hAnsi="Arial"/>
                <w:sz w:val="18"/>
                <w:szCs w:val="18"/>
                <w:color w:val="auto"/>
              </w:rPr>
              <w:t>Add:</w:t>
            </w: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2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Equity method (d)</w:t>
            </w:r>
          </w:p>
        </w:tc>
        <w:tc>
          <w:tcPr>
            <w:tcW w:w="5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FF0FC"/>
          </w:tcPr>
          <w:p>
            <w:pPr>
              <w:spacing w:after="0"/>
              <w:rPr>
                <w:sz w:val="19"/>
                <w:szCs w:val="19"/>
                <w:color w:val="auto"/>
              </w:rPr>
            </w:pPr>
          </w:p>
        </w:tc>
      </w:tr>
      <w:tr>
        <w:trPr>
          <w:trHeight w:val="230"/>
        </w:trPr>
        <w:tc>
          <w:tcPr>
            <w:tcW w:w="7280" w:type="dxa"/>
            <w:vAlign w:val="bottom"/>
            <w:gridSpan w:val="3"/>
          </w:tcPr>
          <w:p>
            <w:pPr>
              <w:ind w:left="260"/>
              <w:spacing w:after="0"/>
              <w:rPr>
                <w:sz w:val="20"/>
                <w:szCs w:val="20"/>
                <w:color w:val="auto"/>
              </w:rPr>
            </w:pPr>
            <w:r>
              <w:rPr>
                <w:rFonts w:ascii="Arial" w:cs="Arial" w:eastAsia="Arial" w:hAnsi="Arial"/>
                <w:sz w:val="18"/>
                <w:szCs w:val="18"/>
                <w:color w:val="auto"/>
              </w:rPr>
              <w:t>Private equity consolidated, not owned (e)</w:t>
            </w: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19,557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26,332</w:t>
            </w:r>
          </w:p>
        </w:tc>
        <w:tc>
          <w:tcPr>
            <w:tcW w:w="120" w:type="dxa"/>
            <w:vAlign w:val="bottom"/>
          </w:tcPr>
          <w:p>
            <w:pPr>
              <w:spacing w:after="0"/>
              <w:rPr>
                <w:sz w:val="19"/>
                <w:szCs w:val="19"/>
                <w:color w:val="auto"/>
              </w:rPr>
            </w:pPr>
          </w:p>
        </w:tc>
      </w:tr>
      <w:tr>
        <w:trPr>
          <w:trHeight w:val="230"/>
        </w:trPr>
        <w:tc>
          <w:tcPr>
            <w:tcW w:w="72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LFI (f)</w:t>
            </w:r>
          </w:p>
        </w:tc>
        <w:tc>
          <w:tcPr>
            <w:tcW w:w="5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181,826</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179,168</w:t>
            </w:r>
          </w:p>
        </w:tc>
        <w:tc>
          <w:tcPr>
            <w:tcW w:w="120" w:type="dxa"/>
            <w:vAlign w:val="bottom"/>
            <w:shd w:val="clear" w:color="auto" w:fill="CFF0FC"/>
          </w:tcPr>
          <w:p>
            <w:pPr>
              <w:spacing w:after="0"/>
              <w:rPr>
                <w:sz w:val="19"/>
                <w:szCs w:val="19"/>
                <w:color w:val="auto"/>
              </w:rPr>
            </w:pPr>
          </w:p>
        </w:tc>
      </w:tr>
      <w:tr>
        <w:trPr>
          <w:trHeight w:val="223"/>
        </w:trPr>
        <w:tc>
          <w:tcPr>
            <w:tcW w:w="728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580" w:type="dxa"/>
            <w:vAlign w:val="bottom"/>
          </w:tcPr>
          <w:p>
            <w:pPr>
              <w:spacing w:after="0"/>
              <w:rPr>
                <w:sz w:val="19"/>
                <w:szCs w:val="19"/>
                <w:color w:val="auto"/>
              </w:rPr>
            </w:pPr>
          </w:p>
        </w:tc>
        <w:tc>
          <w:tcPr>
            <w:tcW w:w="680" w:type="dxa"/>
            <w:vAlign w:val="bottom"/>
            <w:tcBorders>
              <w:bottom w:val="single" w:sz="8" w:color="auto"/>
            </w:tcBorders>
          </w:tcPr>
          <w:p>
            <w:pPr>
              <w:jc w:val="center"/>
              <w:ind w:right="499"/>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421,727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459,422</w:t>
            </w:r>
          </w:p>
        </w:tc>
        <w:tc>
          <w:tcPr>
            <w:tcW w:w="1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1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6620" w:type="dxa"/>
            <w:vAlign w:val="bottom"/>
            <w:gridSpan w:val="3"/>
          </w:tcPr>
          <w:p>
            <w:pPr>
              <w:spacing w:after="0"/>
              <w:rPr>
                <w:sz w:val="6"/>
                <w:szCs w:val="6"/>
                <w:color w:val="auto"/>
              </w:rPr>
            </w:pPr>
          </w:p>
        </w:tc>
        <w:tc>
          <w:tcPr>
            <w:tcW w:w="320" w:type="dxa"/>
            <w:vAlign w:val="bottom"/>
            <w:gridSpan w:val="2"/>
          </w:tcPr>
          <w:p>
            <w:pPr>
              <w:spacing w:after="0"/>
              <w:rPr>
                <w:sz w:val="6"/>
                <w:szCs w:val="6"/>
                <w:color w:val="auto"/>
              </w:rPr>
            </w:pPr>
          </w:p>
        </w:tc>
        <w:tc>
          <w:tcPr>
            <w:tcW w:w="80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50"/>
        </w:trPr>
        <w:tc>
          <w:tcPr>
            <w:tcW w:w="9660" w:type="dxa"/>
            <w:vAlign w:val="bottom"/>
            <w:gridSpan w:val="9"/>
          </w:tcPr>
          <w:p>
            <w:pPr>
              <w:spacing w:after="0"/>
              <w:rPr>
                <w:sz w:val="20"/>
                <w:szCs w:val="20"/>
                <w:color w:val="auto"/>
              </w:rPr>
            </w:pPr>
            <w:r>
              <w:rPr>
                <w:rFonts w:ascii="Arial" w:cs="Arial" w:eastAsia="Arial" w:hAnsi="Arial"/>
                <w:sz w:val="18"/>
                <w:szCs w:val="18"/>
                <w:color w:val="auto"/>
                <w:w w:val="96"/>
              </w:rPr>
              <w:t>(a)  At June 30, 2017 and December 31, 2016, seed investments in directly owned equity securities were invested as follows: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55"/>
        </w:trPr>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5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40" w:type="dxa"/>
            <w:vAlign w:val="bottom"/>
          </w:tcPr>
          <w:p>
            <w:pPr>
              <w:spacing w:after="0"/>
              <w:rPr>
                <w:sz w:val="24"/>
                <w:szCs w:val="24"/>
                <w:color w:val="auto"/>
              </w:rPr>
            </w:pPr>
          </w:p>
        </w:tc>
        <w:tc>
          <w:tcPr>
            <w:tcW w:w="2560" w:type="dxa"/>
            <w:vAlign w:val="bottom"/>
            <w:gridSpan w:val="8"/>
          </w:tcPr>
          <w:p>
            <w:pPr>
              <w:jc w:val="center"/>
              <w:ind w:right="134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6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Percentage invested in:</w:t>
            </w:r>
          </w:p>
        </w:tc>
        <w:tc>
          <w:tcPr>
            <w:tcW w:w="5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120" w:type="dxa"/>
            <w:vAlign w:val="bottom"/>
            <w:gridSpan w:val="2"/>
          </w:tcPr>
          <w:p>
            <w:pPr>
              <w:ind w:left="240"/>
              <w:spacing w:after="0"/>
              <w:rPr>
                <w:sz w:val="20"/>
                <w:szCs w:val="20"/>
                <w:color w:val="auto"/>
              </w:rPr>
            </w:pPr>
            <w:r>
              <w:rPr>
                <w:rFonts w:ascii="Arial" w:cs="Arial" w:eastAsia="Arial" w:hAnsi="Arial"/>
                <w:sz w:val="18"/>
                <w:szCs w:val="18"/>
                <w:color w:val="auto"/>
              </w:rPr>
              <w:t>Financials</w:t>
            </w: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1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120" w:type="dxa"/>
            <w:vAlign w:val="bottom"/>
            <w:gridSpan w:val="2"/>
          </w:tcPr>
          <w:p>
            <w:pPr>
              <w:ind w:left="240"/>
              <w:spacing w:after="0"/>
              <w:rPr>
                <w:sz w:val="20"/>
                <w:szCs w:val="20"/>
                <w:color w:val="auto"/>
              </w:rPr>
            </w:pPr>
            <w:r>
              <w:rPr>
                <w:rFonts w:ascii="Arial" w:cs="Arial" w:eastAsia="Arial" w:hAnsi="Arial"/>
                <w:sz w:val="18"/>
                <w:szCs w:val="18"/>
                <w:color w:val="auto"/>
              </w:rPr>
              <w:t>Industrial</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1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Technology</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1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FF0FC"/>
            </w:tcBorders>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612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15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1"/>
              </w:rPr>
              <w:t>100%</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53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right="320" w:hanging="372"/>
        <w:spacing w:after="0" w:line="342" w:lineRule="auto"/>
        <w:tabs>
          <w:tab w:leader="none" w:pos="3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$37 million and $34 million as of June 30, 2017 and December 31, 2016, respectively.</w:t>
      </w:r>
    </w:p>
    <w:p>
      <w:pPr>
        <w:spacing w:after="0" w:line="15" w:lineRule="exact"/>
        <w:rPr>
          <w:rFonts w:ascii="Arial" w:cs="Arial" w:eastAsia="Arial" w:hAnsi="Arial"/>
          <w:sz w:val="16"/>
          <w:szCs w:val="16"/>
          <w:color w:val="auto"/>
        </w:rPr>
      </w:pPr>
    </w:p>
    <w:p>
      <w:pPr>
        <w:ind w:left="380" w:right="100" w:hanging="372"/>
        <w:spacing w:after="0" w:line="259" w:lineRule="auto"/>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Short- to medium-term interest rates generally turned negative in Europe during 2014 and remain very low in many other countries and regions throughout the world. In the normal course of asset and liability management activities, the Company attempts to minimize negative interest rates on its cash investments. Interest-bearing deposits generally provide positive yields when held to maturity, while also generally allowing immediate penalty-free withdrawal at any time (with less or no interest earned in such case).</w:t>
      </w:r>
    </w:p>
    <w:p>
      <w:pPr>
        <w:spacing w:after="0" w:line="78" w:lineRule="exact"/>
        <w:rPr>
          <w:rFonts w:ascii="Arial" w:cs="Arial" w:eastAsia="Arial" w:hAnsi="Arial"/>
          <w:sz w:val="18"/>
          <w:szCs w:val="18"/>
          <w:color w:val="auto"/>
        </w:rPr>
      </w:pPr>
    </w:p>
    <w:p>
      <w:pPr>
        <w:ind w:left="380" w:hanging="372"/>
        <w:spacing w:after="0"/>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investments accounted for under the equity method of accounting.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9" w:name="page60"/>
    <w:bookmarkEnd w:id="59"/>
    <w:p>
      <w:pPr>
        <w:ind w:left="380" w:right="140" w:hanging="372"/>
        <w:spacing w:after="0" w:line="264"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“members’ equity” on the condensed consolidated statements of financial condition.</w:t>
      </w:r>
    </w:p>
    <w:p>
      <w:pPr>
        <w:spacing w:after="0" w:line="73" w:lineRule="exact"/>
        <w:rPr>
          <w:rFonts w:ascii="Arial" w:cs="Arial" w:eastAsia="Arial" w:hAnsi="Arial"/>
          <w:sz w:val="18"/>
          <w:szCs w:val="18"/>
          <w:color w:val="auto"/>
        </w:rPr>
      </w:pPr>
    </w:p>
    <w:p>
      <w:pPr>
        <w:ind w:left="380" w:hanging="372"/>
        <w:spacing w:after="0" w:line="259"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w:t>
      </w:r>
    </w:p>
    <w:p>
      <w:pPr>
        <w:spacing w:after="0" w:line="18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At June 30, 2017 and December 31, 2016, total investments with a fair value of $421 million and $459 million, respectively, included $87 million and $130 million, respectively, or 21% and 28%, respectively, of investments that were classified using NAV or its equivalent as a practical expedient. See Notes 4 and 5 of Notes to Condensed Consolidated Financial Statements for additional information regarding investments measured at fair value, including the levels of fair value within which such measurements of fair value fall.</w:t>
      </w:r>
    </w:p>
    <w:p>
      <w:pPr>
        <w:spacing w:after="0" w:line="18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As of June 30, 2017 and December 31, 2016, the Company held seed investments of approximately $135 million and $134 million, respectively. Seed investments held in entities in which the Company maintained a controlling interest were $14 million in five entities as of June 30, 2017, as compared to $41 million in six entities as of December 31, 2016.</w:t>
      </w:r>
    </w:p>
    <w:p>
      <w:pPr>
        <w:spacing w:after="0" w:line="181"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As of June 30, 2017 and December 31, 2016, the Company did not consolidate or deconsolidate any seed investment entities. As such, 100% of the recorded balance of seed investments as of June 30, 2017 and December 31, 2016 represented the Company’s economic interest in the seed investments. See “—Consolidation of Variable Interest Entities” below for more information on the Company’s policy regarding the consolidation of seed investment entities.</w:t>
      </w:r>
    </w:p>
    <w:p>
      <w:pPr>
        <w:spacing w:after="0" w:line="14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 in our Form 10-K.</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11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70"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81" w:lineRule="exact"/>
        <w:rPr>
          <w:sz w:val="20"/>
          <w:szCs w:val="20"/>
          <w:color w:val="auto"/>
        </w:rPr>
      </w:pPr>
    </w:p>
    <w:p>
      <w:pPr>
        <w:ind w:right="220" w:firstLine="518"/>
        <w:spacing w:after="0" w:line="312"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8 of Notes to Condensed Consolidated Financial Statements for additional information regarding goodwill.</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jc w:val="both"/>
        <w:ind w:right="420" w:firstLine="518"/>
        <w:spacing w:after="0" w:line="264" w:lineRule="auto"/>
        <w:rPr>
          <w:sz w:val="20"/>
          <w:szCs w:val="20"/>
          <w:color w:val="auto"/>
        </w:rPr>
      </w:pPr>
      <w:r>
        <w:rPr>
          <w:rFonts w:ascii="Arial" w:cs="Arial" w:eastAsia="Arial" w:hAnsi="Arial"/>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73" w:lineRule="exact"/>
        <w:rPr>
          <w:sz w:val="20"/>
          <w:szCs w:val="20"/>
          <w:color w:val="auto"/>
        </w:rPr>
      </w:pPr>
    </w:p>
    <w:p>
      <w:pPr>
        <w:ind w:left="900" w:right="680" w:hanging="379"/>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Voting Interest Entities. VOEs are entities in which (i) the total equity investment at risk is sufficient to enable the entity to finance itself independently and (ii) the equity holders have the obligation to absorb losses, the right to receive residual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0" w:name="page61"/>
    <w:bookmarkEnd w:id="60"/>
    <w:p>
      <w:pPr>
        <w:ind w:left="900" w:right="280"/>
        <w:spacing w:after="0" w:line="277" w:lineRule="auto"/>
        <w:rPr>
          <w:sz w:val="20"/>
          <w:szCs w:val="20"/>
          <w:color w:val="auto"/>
        </w:rPr>
      </w:pPr>
      <w:r>
        <w:rPr>
          <w:rFonts w:ascii="Arial" w:cs="Arial" w:eastAsia="Arial" w:hAnsi="Arial"/>
          <w:sz w:val="18"/>
          <w:szCs w:val="18"/>
          <w:color w:val="auto"/>
        </w:rPr>
        <w:t>returns and the right to make decisions about the entity’s activities. Lazard is required to consolidate a VOE if it holds a majority of the voting interest in such VOE.</w:t>
      </w:r>
    </w:p>
    <w:p>
      <w:pPr>
        <w:spacing w:after="0" w:line="62" w:lineRule="exact"/>
        <w:rPr>
          <w:sz w:val="20"/>
          <w:szCs w:val="20"/>
          <w:color w:val="auto"/>
        </w:rPr>
      </w:pPr>
    </w:p>
    <w:p>
      <w:pPr>
        <w:ind w:left="900" w:right="100" w:hanging="379"/>
        <w:spacing w:after="0" w:line="302"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15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8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Lazard makes seed investments in certain entities that are considered VOEs and often require consolidation as a result of our investment. The impact of seed investment entities that require consolidation on the condensed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18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291" w:lineRule="exact"/>
        <w:rPr>
          <w:sz w:val="20"/>
          <w:szCs w:val="20"/>
          <w:color w:val="auto"/>
        </w:rPr>
      </w:pPr>
    </w:p>
    <w:p>
      <w:pPr>
        <w:jc w:val="center"/>
        <w:ind w:right="10000"/>
        <w:spacing w:after="0"/>
        <w:rPr>
          <w:sz w:val="20"/>
          <w:szCs w:val="20"/>
          <w:color w:val="auto"/>
        </w:rPr>
      </w:pPr>
      <w:r>
        <w:rPr>
          <w:rFonts w:ascii="Arial" w:cs="Arial" w:eastAsia="Arial" w:hAnsi="Arial"/>
          <w:sz w:val="16"/>
          <w:szCs w:val="16"/>
          <w:b w:val="1"/>
          <w:bCs w:val="1"/>
          <w:color w:val="auto"/>
        </w:rPr>
        <w:t>Risk Management</w:t>
      </w:r>
    </w:p>
    <w:p>
      <w:pPr>
        <w:spacing w:after="0" w:line="144" w:lineRule="exact"/>
        <w:rPr>
          <w:sz w:val="20"/>
          <w:szCs w:val="20"/>
          <w:color w:val="auto"/>
        </w:rPr>
      </w:pPr>
    </w:p>
    <w:p>
      <w:pPr>
        <w:jc w:val="center"/>
        <w:ind w:right="1000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over 90 days that allow daily withdrawals without principal penalties.</w:t>
      </w:r>
    </w:p>
    <w:p>
      <w:pPr>
        <w:spacing w:after="0" w:line="193"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7"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Equity Market Price Risk—At June 30, 2017 and December 31, 2016, the Company’s exposure to equity market price risk in its investment portfolio, which primarily relates to investments in equity securities, equity funds and hedge funds, was approximately $104 million and $110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$0.5 million and $1.0 million in the carrying value of such investments as of June 30, 2017 and December 31, 2016, respectively, including the effect of the hedging transactions.</w:t>
      </w:r>
    </w:p>
    <w:p>
      <w:pPr>
        <w:spacing w:after="0" w:line="158"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Interest Rate/Credit Spread Risk—At June 30, 2017 and December 31, 2016, the Company’s exposure to interest rate and credit spread risk in its investment portfolio related to investments in debt securities or funds which invest primarily in debt securities was $60 million and $53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$1.1 million and $0.9 million in the carrying value of such investments as of June 30, 2017 and December 31, 2016, respectively, including the effect of the hedging transactions.</w:t>
      </w:r>
    </w:p>
    <w:p>
      <w:pPr>
        <w:spacing w:after="0" w:line="158"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Foreign Exchange Rate Risk—At June 30, 2017 and December 31, 2016, the Company’s exposure to foreign exchange rate risk in its investment portfolio, which primarily relates to investments in foreign currency denominated equity and debt securities, was $65</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1" w:name="page62"/>
    <w:bookmarkEnd w:id="61"/>
    <w:p>
      <w:pPr>
        <w:spacing w:after="0" w:line="259" w:lineRule="auto"/>
        <w:rPr>
          <w:sz w:val="20"/>
          <w:szCs w:val="20"/>
          <w:color w:val="auto"/>
        </w:rPr>
      </w:pPr>
      <w:r>
        <w:rPr>
          <w:rFonts w:ascii="Arial" w:cs="Arial" w:eastAsia="Arial" w:hAnsi="Arial"/>
          <w:sz w:val="18"/>
          <w:szCs w:val="18"/>
          <w:color w:val="auto"/>
        </w:rPr>
        <w:t>million and $64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$1.6 million and $1.7 million in the carrying value of such investments as of June 30, 2017 and December 31, 2016, respectively, including the effect of the hedging transactions.</w:t>
      </w:r>
    </w:p>
    <w:p>
      <w:pPr>
        <w:spacing w:after="0" w:line="187"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Private Equity—The Company invests in private equity primarily as a part of its co-investment activities and in connection with certain legacy businesses. At June 30, 2017 and December 31, 2016, the Company’s exposure to changes in fair value of such investments was approximately $59 million and $96 million, respectively. The Company estimates that a hypothetical 10% adverse change in fair value would result in a decrease of approximately $5.9 million and $9.6 million in the carrying value of such investments as of June 30, 2017 and December 31, 2016, respectively.</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117" w:lineRule="exact"/>
        <w:rPr>
          <w:sz w:val="20"/>
          <w:szCs w:val="20"/>
          <w:color w:val="auto"/>
        </w:rPr>
      </w:pPr>
    </w:p>
    <w:p>
      <w:pPr>
        <w:ind w:right="120" w:firstLine="518"/>
        <w:spacing w:after="0" w:line="289" w:lineRule="auto"/>
        <w:rPr>
          <w:sz w:val="20"/>
          <w:szCs w:val="20"/>
          <w:color w:val="auto"/>
        </w:rPr>
      </w:pPr>
      <w:r>
        <w:rPr>
          <w:rFonts w:ascii="Arial" w:cs="Arial" w:eastAsia="Arial" w:hAnsi="Arial"/>
          <w:sz w:val="16"/>
          <w:szCs w:val="16"/>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June 30, 2017, total receivables amounted to $672 million, net of an allowance for doubtful accounts of $25 million. As of that date, Financial Advisory and Asset Management fees, receivables from Lazard Ltd subsidiaries and customer receivables comprised 78%, 3% and 19% of total receivables, respectively. At December 31, 2016, total receivables amounted to $667 million, net of an allowance for doubtful accounts of $16 million. As of that date, Financial Advisory and Asset Management fees, receivables from Lazard Ltd subsidiaries and customer receivables comprised 85%, 4% and 11% of total receivables, respectively. At June 30, 2017 and December 31, 2016, the Company had receivables past due or deemed uncollectible of approximately $39 million and $22 million, respectively. See also “Critical Accounting Policies and Estimates—Revenue Recognition” above and Note 3 of Notes to Condensed Consolidated Financial Statements for additional information regarding receivables.</w:t>
      </w:r>
    </w:p>
    <w:p>
      <w:pPr>
        <w:spacing w:after="0" w:line="167"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June 30, 2017 and December 31, 2016, customer receivables included $50 million and $51 million of LFB loans, respectively, with such loans being fully collateralized and closely monitored for counterparty creditworthiness.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117"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$3 million and $2 million at June 30, 2017 and December 31, 2016, respectively, and derivative liabilities, excluding the derivative liability arising from the Company’s obligation pertaining to LFI and other similar deferred compensation arrangements, amounted to $8 million and $12 million at such respective dates.</w:t>
      </w:r>
    </w:p>
    <w:p>
      <w:pPr>
        <w:spacing w:after="0" w:line="158"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$168 million and $170 million at June 30, 2017 and December 31, 2016,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121"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June 30, 2017, Lazard estimates that its annual operating income relating to cash and cash equivalents would increase by approximately $9 million in the event interest rates were to increase by 1% and decrease by approximately $9 million if rates were to decrease by 1%.</w:t>
      </w:r>
    </w:p>
    <w:p>
      <w:pPr>
        <w:spacing w:after="0" w:line="147"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As of June 30, 2017, the Company’s cash and cash equivalents totaled approximately $945 million.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 and (iii) in short-term certificates of deposit from such banks.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2" w:name="page63"/>
    <w:bookmarkEnd w:id="62"/>
    <w:p>
      <w:pPr>
        <w:ind w:right="220"/>
        <w:spacing w:after="0" w:line="277" w:lineRule="auto"/>
        <w:rPr>
          <w:sz w:val="20"/>
          <w:szCs w:val="20"/>
          <w:color w:val="auto"/>
        </w:rPr>
      </w:pPr>
      <w:r>
        <w:rPr>
          <w:rFonts w:ascii="Arial" w:cs="Arial" w:eastAsia="Arial" w:hAnsi="Arial"/>
          <w:sz w:val="18"/>
          <w:szCs w:val="18"/>
          <w:color w:val="auto"/>
        </w:rPr>
        <w:t>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3" w:name="page64"/>
    <w:bookmarkEnd w:id="63"/>
    <w:p>
      <w:pPr>
        <w:jc w:val="center"/>
        <w:ind w:right="-1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 for the year ended December 31, 2016.</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580" w:type="dxa"/>
            <w:vAlign w:val="bottom"/>
            <w:gridSpan w:val="28"/>
          </w:tcPr>
          <w:p>
            <w:pPr>
              <w:ind w:left="500"/>
              <w:spacing w:after="0"/>
              <w:rPr>
                <w:sz w:val="20"/>
                <w:szCs w:val="20"/>
                <w:color w:val="auto"/>
              </w:rPr>
            </w:pPr>
            <w:r>
              <w:rPr>
                <w:rFonts w:ascii="Arial" w:cs="Arial" w:eastAsia="Arial" w:hAnsi="Arial"/>
                <w:sz w:val="18"/>
                <w:szCs w:val="18"/>
                <w:b w:val="1"/>
                <w:bCs w:val="1"/>
                <w:color w:val="auto"/>
              </w:rPr>
              <w:t>PART IV</w:t>
            </w:r>
          </w:p>
        </w:tc>
      </w:tr>
      <w:tr>
        <w:trPr>
          <w:trHeight w:val="324"/>
        </w:trPr>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w w:val="91"/>
              </w:rPr>
              <w:t>Item 6.</w:t>
            </w:r>
          </w:p>
        </w:tc>
        <w:tc>
          <w:tcPr>
            <w:tcW w:w="10400" w:type="dxa"/>
            <w:vAlign w:val="bottom"/>
            <w:gridSpan w:val="33"/>
          </w:tcPr>
          <w:p>
            <w:pPr>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1040" w:type="dxa"/>
            <w:vAlign w:val="bottom"/>
          </w:tcPr>
          <w:p>
            <w:pPr>
              <w:jc w:val="right"/>
              <w:ind w:right="630"/>
              <w:spacing w:after="0"/>
              <w:rPr>
                <w:sz w:val="20"/>
                <w:szCs w:val="20"/>
                <w:color w:val="auto"/>
              </w:rPr>
            </w:pPr>
            <w:r>
              <w:rPr>
                <w:rFonts w:ascii="Arial" w:cs="Arial" w:eastAsia="Arial" w:hAnsi="Arial"/>
                <w:sz w:val="18"/>
                <w:szCs w:val="18"/>
                <w:color w:val="auto"/>
              </w:rPr>
              <w:t>3.1</w:t>
            </w:r>
          </w:p>
        </w:tc>
        <w:tc>
          <w:tcPr>
            <w:tcW w:w="10400" w:type="dxa"/>
            <w:vAlign w:val="bottom"/>
            <w:gridSpan w:val="33"/>
          </w:tcPr>
          <w:p>
            <w:pPr>
              <w:spacing w:after="0"/>
              <w:rPr>
                <w:rFonts w:ascii="Arial" w:cs="Arial" w:eastAsia="Arial" w:hAnsi="Arial"/>
                <w:sz w:val="18"/>
                <w:szCs w:val="18"/>
                <w:color w:val="0000EE"/>
                <w:w w:val="94"/>
              </w:rPr>
            </w:pPr>
            <w:hyperlink r:id="rId94">
              <w:r>
                <w:rPr>
                  <w:rFonts w:ascii="Arial" w:cs="Arial" w:eastAsia="Arial" w:hAnsi="Arial"/>
                  <w:sz w:val="18"/>
                  <w:szCs w:val="18"/>
                  <w:color w:val="0000EE"/>
                  <w:w w:val="94"/>
                </w:rPr>
                <w:t>Certificate of Formation of the Registrant (incorporated by reference to Exhibit 3.1 to the Registrant’s Registration Statement (File No. 333-</w:t>
              </w:r>
            </w:hyperlink>
          </w:p>
        </w:tc>
      </w:tr>
      <w:tr>
        <w:trPr>
          <w:trHeight w:val="196"/>
        </w:trPr>
        <w:tc>
          <w:tcPr>
            <w:tcW w:w="1040" w:type="dxa"/>
            <w:vAlign w:val="bottom"/>
          </w:tcPr>
          <w:p>
            <w:pPr>
              <w:spacing w:after="0"/>
              <w:rPr>
                <w:sz w:val="17"/>
                <w:szCs w:val="17"/>
                <w:color w:val="auto"/>
              </w:rPr>
            </w:pPr>
          </w:p>
        </w:tc>
        <w:tc>
          <w:tcPr>
            <w:tcW w:w="101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126751) on Form S-4 filed on July 21, 2005).</w:t>
              </w:r>
            </w:hyperlink>
          </w:p>
        </w:tc>
        <w:tc>
          <w:tcPr>
            <w:tcW w:w="300" w:type="dxa"/>
            <w:vAlign w:val="bottom"/>
            <w:gridSpan w:val="11"/>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630"/>
              <w:spacing w:after="0"/>
              <w:rPr>
                <w:sz w:val="20"/>
                <w:szCs w:val="20"/>
                <w:color w:val="auto"/>
              </w:rPr>
            </w:pPr>
            <w:r>
              <w:rPr>
                <w:rFonts w:ascii="Arial" w:cs="Arial" w:eastAsia="Arial" w:hAnsi="Arial"/>
                <w:sz w:val="18"/>
                <w:szCs w:val="18"/>
                <w:color w:val="auto"/>
              </w:rPr>
              <w:t>3.2</w:t>
            </w:r>
          </w:p>
        </w:tc>
        <w:tc>
          <w:tcPr>
            <w:tcW w:w="10080" w:type="dxa"/>
            <w:vAlign w:val="bottom"/>
            <w:tcBorders>
              <w:bottom w:val="single" w:sz="8" w:color="0000EE"/>
            </w:tcBorders>
            <w:gridSpan w:val="21"/>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Certificate of Amendment of Certificate of Formation of the Registrant, changing name to Lazard Group LLC (incorporated by reference to</w:t>
              </w:r>
            </w:hyperlink>
          </w:p>
        </w:tc>
        <w:tc>
          <w:tcPr>
            <w:tcW w:w="320" w:type="dxa"/>
            <w:vAlign w:val="bottom"/>
            <w:gridSpan w:val="1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2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Exhibit 3.2 to the Registrant’s Registration Statement (File No. 333-126751) on Form S-4 filed on July 21, 2005).</w:t>
              </w:r>
            </w:hyperlink>
          </w:p>
        </w:tc>
        <w:tc>
          <w:tcPr>
            <w:tcW w:w="2180" w:type="dxa"/>
            <w:vAlign w:val="bottom"/>
            <w:gridSpan w:val="22"/>
          </w:tcPr>
          <w:p>
            <w:pPr>
              <w:spacing w:after="0"/>
              <w:rPr>
                <w:sz w:val="17"/>
                <w:szCs w:val="17"/>
                <w:color w:val="auto"/>
              </w:rPr>
            </w:pPr>
          </w:p>
        </w:tc>
      </w:tr>
      <w:tr>
        <w:trPr>
          <w:trHeight w:val="318"/>
        </w:trPr>
        <w:tc>
          <w:tcPr>
            <w:tcW w:w="1040" w:type="dxa"/>
            <w:vAlign w:val="bottom"/>
          </w:tcPr>
          <w:p>
            <w:pPr>
              <w:jc w:val="right"/>
              <w:ind w:right="630"/>
              <w:spacing w:after="0"/>
              <w:rPr>
                <w:sz w:val="20"/>
                <w:szCs w:val="20"/>
                <w:color w:val="auto"/>
              </w:rPr>
            </w:pPr>
            <w:r>
              <w:rPr>
                <w:rFonts w:ascii="Arial" w:cs="Arial" w:eastAsia="Arial" w:hAnsi="Arial"/>
                <w:sz w:val="18"/>
                <w:szCs w:val="18"/>
                <w:color w:val="auto"/>
              </w:rPr>
              <w:t>3.3</w:t>
            </w:r>
          </w:p>
        </w:tc>
        <w:tc>
          <w:tcPr>
            <w:tcW w:w="10140" w:type="dxa"/>
            <w:vAlign w:val="bottom"/>
            <w:tcBorders>
              <w:bottom w:val="single" w:sz="8" w:color="0000EE"/>
            </w:tcBorders>
            <w:gridSpan w:val="24"/>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Amended and Restated Operating Agreement of the Registrant, dated as of October 26, 2015 (incorporated by reference to Exhibit 3.3 to the</w:t>
              </w:r>
            </w:hyperlink>
          </w:p>
        </w:tc>
        <w:tc>
          <w:tcPr>
            <w:tcW w:w="260" w:type="dxa"/>
            <w:vAlign w:val="bottom"/>
            <w:gridSpan w:val="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3"/>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Registrant’s Quarterly Report (File No. 333-126751) on Form l0-Q filed on October 28, 2015).</w:t>
              </w:r>
            </w:hyperlink>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630"/>
              <w:spacing w:after="0"/>
              <w:rPr>
                <w:sz w:val="20"/>
                <w:szCs w:val="20"/>
                <w:color w:val="auto"/>
              </w:rPr>
            </w:pPr>
            <w:r>
              <w:rPr>
                <w:rFonts w:ascii="Arial" w:cs="Arial" w:eastAsia="Arial" w:hAnsi="Arial"/>
                <w:sz w:val="18"/>
                <w:szCs w:val="18"/>
                <w:color w:val="auto"/>
              </w:rPr>
              <w:t>3.4</w:t>
            </w:r>
          </w:p>
        </w:tc>
        <w:tc>
          <w:tcPr>
            <w:tcW w:w="10360" w:type="dxa"/>
            <w:vAlign w:val="bottom"/>
            <w:tcBorders>
              <w:bottom w:val="single" w:sz="8" w:color="0000EE"/>
            </w:tcBorders>
            <w:gridSpan w:val="31"/>
          </w:tcPr>
          <w:p>
            <w:pPr>
              <w:spacing w:after="0"/>
              <w:rPr>
                <w:rFonts w:ascii="Arial" w:cs="Arial" w:eastAsia="Arial" w:hAnsi="Arial"/>
                <w:sz w:val="18"/>
                <w:szCs w:val="18"/>
                <w:color w:val="0000EE"/>
                <w:w w:val="90"/>
              </w:rPr>
            </w:pPr>
            <w:hyperlink r:id="rId97">
              <w:r>
                <w:rPr>
                  <w:rFonts w:ascii="Arial" w:cs="Arial" w:eastAsia="Arial" w:hAnsi="Arial"/>
                  <w:sz w:val="18"/>
                  <w:szCs w:val="18"/>
                  <w:color w:val="0000EE"/>
                  <w:w w:val="90"/>
                </w:rPr>
                <w:t>Amendment No.1 to Amended and Restated Operating Agreement of the Registrant, dated as of October 27, 2016 (incorporated by reference to</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5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Exhibit 3.4 to the Registrant’s Quarterly Report on Form 10-Q filed on October 28, 2016).</w:t>
              </w:r>
            </w:hyperlink>
          </w:p>
        </w:tc>
        <w:tc>
          <w:tcPr>
            <w:tcW w:w="3880" w:type="dxa"/>
            <w:vAlign w:val="bottom"/>
            <w:gridSpan w:val="25"/>
          </w:tcPr>
          <w:p>
            <w:pPr>
              <w:spacing w:after="0"/>
              <w:rPr>
                <w:sz w:val="17"/>
                <w:szCs w:val="17"/>
                <w:color w:val="auto"/>
              </w:rPr>
            </w:pPr>
          </w:p>
        </w:tc>
      </w:tr>
      <w:tr>
        <w:trPr>
          <w:trHeight w:val="318"/>
        </w:trPr>
        <w:tc>
          <w:tcPr>
            <w:tcW w:w="1040" w:type="dxa"/>
            <w:vAlign w:val="bottom"/>
          </w:tcPr>
          <w:p>
            <w:pPr>
              <w:jc w:val="right"/>
              <w:ind w:right="630"/>
              <w:spacing w:after="0"/>
              <w:rPr>
                <w:sz w:val="20"/>
                <w:szCs w:val="20"/>
                <w:color w:val="auto"/>
              </w:rPr>
            </w:pPr>
            <w:r>
              <w:rPr>
                <w:rFonts w:ascii="Arial" w:cs="Arial" w:eastAsia="Arial" w:hAnsi="Arial"/>
                <w:sz w:val="18"/>
                <w:szCs w:val="18"/>
                <w:color w:val="auto"/>
              </w:rPr>
              <w:t>4.1</w:t>
            </w:r>
          </w:p>
        </w:tc>
        <w:tc>
          <w:tcPr>
            <w:tcW w:w="9880" w:type="dxa"/>
            <w:vAlign w:val="bottom"/>
            <w:tcBorders>
              <w:bottom w:val="single" w:sz="8" w:color="0000EE"/>
            </w:tcBorders>
            <w:gridSpan w:val="17"/>
          </w:tcPr>
          <w:p>
            <w:pPr>
              <w:spacing w:after="0"/>
              <w:rPr>
                <w:rFonts w:ascii="Arial" w:cs="Arial" w:eastAsia="Arial" w:hAnsi="Arial"/>
                <w:sz w:val="18"/>
                <w:szCs w:val="18"/>
                <w:color w:val="0000EE"/>
                <w:w w:val="90"/>
              </w:rPr>
            </w:pPr>
            <w:hyperlink r:id="rId98">
              <w:r>
                <w:rPr>
                  <w:rFonts w:ascii="Arial" w:cs="Arial" w:eastAsia="Arial" w:hAnsi="Arial"/>
                  <w:sz w:val="18"/>
                  <w:szCs w:val="18"/>
                  <w:color w:val="0000EE"/>
                  <w:w w:val="90"/>
                </w:rPr>
                <w:t>Indenture, dated as of May 10, 2005, by and between the Registrant and The Bank of New York, as Trustee (incorporated by reference to</w:t>
              </w:r>
            </w:hyperlink>
          </w:p>
        </w:tc>
        <w:tc>
          <w:tcPr>
            <w:tcW w:w="520" w:type="dxa"/>
            <w:vAlign w:val="bottom"/>
            <w:gridSpan w:val="1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3"/>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Exhibit 4.1 to the Registrant’s Registration Statement (File No. 333-126751) on Form S-4 filed on July 21, 2005).</w:t>
              </w:r>
            </w:hyperlink>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630"/>
              <w:spacing w:after="0"/>
              <w:rPr>
                <w:sz w:val="20"/>
                <w:szCs w:val="20"/>
                <w:color w:val="auto"/>
              </w:rPr>
            </w:pPr>
            <w:r>
              <w:rPr>
                <w:rFonts w:ascii="Arial" w:cs="Arial" w:eastAsia="Arial" w:hAnsi="Arial"/>
                <w:sz w:val="18"/>
                <w:szCs w:val="18"/>
                <w:color w:val="auto"/>
              </w:rPr>
              <w:t>4.2</w:t>
            </w:r>
          </w:p>
        </w:tc>
        <w:tc>
          <w:tcPr>
            <w:tcW w:w="9960" w:type="dxa"/>
            <w:vAlign w:val="bottom"/>
            <w:tcBorders>
              <w:bottom w:val="single" w:sz="8" w:color="0000EE"/>
            </w:tcBorders>
            <w:gridSpan w:val="18"/>
          </w:tcPr>
          <w:p>
            <w:pPr>
              <w:spacing w:after="0"/>
              <w:rPr>
                <w:rFonts w:ascii="Arial" w:cs="Arial" w:eastAsia="Arial" w:hAnsi="Arial"/>
                <w:sz w:val="18"/>
                <w:szCs w:val="18"/>
                <w:color w:val="0000EE"/>
                <w:w w:val="89"/>
              </w:rPr>
            </w:pPr>
            <w:hyperlink r:id="rId99">
              <w:r>
                <w:rPr>
                  <w:rFonts w:ascii="Arial" w:cs="Arial" w:eastAsia="Arial" w:hAnsi="Arial"/>
                  <w:sz w:val="18"/>
                  <w:szCs w:val="18"/>
                  <w:color w:val="0000EE"/>
                  <w:w w:val="89"/>
                </w:rPr>
                <w:t>Fourth Supplemental Indenture, dated as of June 21, 2007, between the Registrant and The Bank of New York, as trustee (incorporated by</w:t>
              </w:r>
            </w:hyperlink>
          </w:p>
        </w:tc>
        <w:tc>
          <w:tcPr>
            <w:tcW w:w="440" w:type="dxa"/>
            <w:vAlign w:val="bottom"/>
            <w:gridSpan w:val="1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3"/>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reference to Exhibit 4.1 to the Registrant’s Current Report on Form 8-K (File No. 333-126751) filed on June 22, 2007).</w:t>
              </w:r>
            </w:hyperlink>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630"/>
              <w:spacing w:after="0"/>
              <w:rPr>
                <w:sz w:val="20"/>
                <w:szCs w:val="20"/>
                <w:color w:val="auto"/>
              </w:rPr>
            </w:pPr>
            <w:r>
              <w:rPr>
                <w:rFonts w:ascii="Arial" w:cs="Arial" w:eastAsia="Arial" w:hAnsi="Arial"/>
                <w:sz w:val="18"/>
                <w:szCs w:val="18"/>
                <w:color w:val="auto"/>
              </w:rPr>
              <w:t>4.3</w:t>
            </w:r>
          </w:p>
        </w:tc>
        <w:tc>
          <w:tcPr>
            <w:tcW w:w="9580" w:type="dxa"/>
            <w:vAlign w:val="bottom"/>
            <w:tcBorders>
              <w:bottom w:val="single" w:sz="8" w:color="0000EE"/>
            </w:tcBorders>
            <w:gridSpan w:val="15"/>
          </w:tcPr>
          <w:p>
            <w:pPr>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Fifth Supplemental Indenture, dated as of November 14, 2013, between the Registrant and The Bank of New York Mellon, as trustee</w:t>
              </w:r>
            </w:hyperlink>
          </w:p>
        </w:tc>
        <w:tc>
          <w:tcPr>
            <w:tcW w:w="820" w:type="dxa"/>
            <w:vAlign w:val="bottom"/>
            <w:gridSpan w:val="1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6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(incorporated by reference to Exhibit 4.1 to the Registrant’s Current Report on Form 8-K (File No 333-126751) filed on November 14, 2013).</w:t>
              </w:r>
            </w:hyperlink>
          </w:p>
        </w:tc>
        <w:tc>
          <w:tcPr>
            <w:tcW w:w="140" w:type="dxa"/>
            <w:vAlign w:val="bottom"/>
            <w:gridSpan w:val="4"/>
          </w:tcPr>
          <w:p>
            <w:pPr>
              <w:spacing w:after="0"/>
              <w:rPr>
                <w:sz w:val="17"/>
                <w:szCs w:val="17"/>
                <w:color w:val="auto"/>
              </w:rPr>
            </w:pPr>
          </w:p>
        </w:tc>
      </w:tr>
      <w:tr>
        <w:trPr>
          <w:trHeight w:val="318"/>
        </w:trPr>
        <w:tc>
          <w:tcPr>
            <w:tcW w:w="1040" w:type="dxa"/>
            <w:vAlign w:val="bottom"/>
          </w:tcPr>
          <w:p>
            <w:pPr>
              <w:jc w:val="right"/>
              <w:ind w:right="630"/>
              <w:spacing w:after="0"/>
              <w:rPr>
                <w:sz w:val="20"/>
                <w:szCs w:val="20"/>
                <w:color w:val="auto"/>
              </w:rPr>
            </w:pPr>
            <w:r>
              <w:rPr>
                <w:rFonts w:ascii="Arial" w:cs="Arial" w:eastAsia="Arial" w:hAnsi="Arial"/>
                <w:sz w:val="18"/>
                <w:szCs w:val="18"/>
                <w:color w:val="auto"/>
              </w:rPr>
              <w:t>4.4</w:t>
            </w:r>
          </w:p>
        </w:tc>
        <w:tc>
          <w:tcPr>
            <w:tcW w:w="9500" w:type="dxa"/>
            <w:vAlign w:val="bottom"/>
            <w:tcBorders>
              <w:bottom w:val="single" w:sz="8" w:color="0000EE"/>
            </w:tcBorders>
            <w:gridSpan w:val="14"/>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Sixth Supplemental Indenture, dated as of February 13, 2015, between the Registrant and The Bank of New York Mellon, as trustee</w:t>
              </w:r>
            </w:hyperlink>
          </w:p>
        </w:tc>
        <w:tc>
          <w:tcPr>
            <w:tcW w:w="900" w:type="dxa"/>
            <w:vAlign w:val="bottom"/>
            <w:gridSpan w:val="1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(incorporated by reference to Exhibit 4.1 of the Registrant’s Current Report on Form 8-K (File No. 333-126751) filed on February 13, 2015).</w:t>
              </w:r>
            </w:hyperlink>
          </w:p>
        </w:tc>
        <w:tc>
          <w:tcPr>
            <w:tcW w:w="220" w:type="dxa"/>
            <w:vAlign w:val="bottom"/>
            <w:gridSpan w:val="8"/>
          </w:tcPr>
          <w:p>
            <w:pPr>
              <w:spacing w:after="0"/>
              <w:rPr>
                <w:sz w:val="17"/>
                <w:szCs w:val="17"/>
                <w:color w:val="auto"/>
              </w:rPr>
            </w:pPr>
          </w:p>
        </w:tc>
      </w:tr>
      <w:tr>
        <w:trPr>
          <w:trHeight w:val="318"/>
        </w:trPr>
        <w:tc>
          <w:tcPr>
            <w:tcW w:w="1040" w:type="dxa"/>
            <w:vAlign w:val="bottom"/>
          </w:tcPr>
          <w:p>
            <w:pPr>
              <w:jc w:val="right"/>
              <w:ind w:right="630"/>
              <w:spacing w:after="0"/>
              <w:rPr>
                <w:sz w:val="20"/>
                <w:szCs w:val="20"/>
                <w:color w:val="auto"/>
              </w:rPr>
            </w:pPr>
            <w:r>
              <w:rPr>
                <w:rFonts w:ascii="Arial" w:cs="Arial" w:eastAsia="Arial" w:hAnsi="Arial"/>
                <w:sz w:val="18"/>
                <w:szCs w:val="18"/>
                <w:color w:val="auto"/>
              </w:rPr>
              <w:t>4.5</w:t>
            </w:r>
          </w:p>
        </w:tc>
        <w:tc>
          <w:tcPr>
            <w:tcW w:w="10400" w:type="dxa"/>
            <w:vAlign w:val="bottom"/>
            <w:gridSpan w:val="33"/>
          </w:tcPr>
          <w:p>
            <w:pPr>
              <w:spacing w:after="0"/>
              <w:rPr>
                <w:rFonts w:ascii="Arial" w:cs="Arial" w:eastAsia="Arial" w:hAnsi="Arial"/>
                <w:sz w:val="18"/>
                <w:szCs w:val="18"/>
                <w:color w:val="0000EE"/>
                <w:w w:val="93"/>
              </w:rPr>
            </w:pPr>
            <w:hyperlink r:id="rId102">
              <w:r>
                <w:rPr>
                  <w:rFonts w:ascii="Arial" w:cs="Arial" w:eastAsia="Arial" w:hAnsi="Arial"/>
                  <w:sz w:val="18"/>
                  <w:szCs w:val="18"/>
                  <w:color w:val="0000EE"/>
                  <w:w w:val="93"/>
                </w:rPr>
                <w:t>Seventh Supplemental Indenture, dated as of November 4, 2016, between Lazard Group LLC and the Bank of New York Mellon, as trustee</w:t>
              </w:r>
            </w:hyperlink>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0" w:type="dxa"/>
            <w:vAlign w:val="bottom"/>
            <w:tcBorders>
              <w:right w:val="single" w:sz="8" w:color="0000EE"/>
            </w:tcBorders>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(incorporated by reference to Exhibit 4.1 of the Registrant’s Current Report on Form 8-K (File No. 333-126751) filed on November 7, 2016).</w:t>
              </w:r>
            </w:hyperlink>
          </w:p>
        </w:tc>
        <w:tc>
          <w:tcPr>
            <w:tcW w:w="200" w:type="dxa"/>
            <w:vAlign w:val="bottom"/>
            <w:gridSpan w:val="7"/>
          </w:tcPr>
          <w:p>
            <w:pPr>
              <w:spacing w:after="0"/>
              <w:rPr>
                <w:sz w:val="17"/>
                <w:szCs w:val="17"/>
                <w:color w:val="auto"/>
              </w:rPr>
            </w:pPr>
          </w:p>
        </w:tc>
      </w:tr>
      <w:tr>
        <w:trPr>
          <w:trHeight w:val="358"/>
        </w:trPr>
        <w:tc>
          <w:tcPr>
            <w:tcW w:w="1040" w:type="dxa"/>
            <w:vAlign w:val="bottom"/>
          </w:tcPr>
          <w:p>
            <w:pPr>
              <w:jc w:val="right"/>
              <w:ind w:right="630"/>
              <w:spacing w:after="0"/>
              <w:rPr>
                <w:sz w:val="20"/>
                <w:szCs w:val="20"/>
                <w:color w:val="auto"/>
              </w:rPr>
            </w:pPr>
            <w:r>
              <w:rPr>
                <w:rFonts w:ascii="Arial" w:cs="Arial" w:eastAsia="Arial" w:hAnsi="Arial"/>
                <w:sz w:val="18"/>
                <w:szCs w:val="18"/>
                <w:color w:val="auto"/>
              </w:rPr>
              <w:t>4.6</w:t>
            </w:r>
          </w:p>
        </w:tc>
        <w:tc>
          <w:tcPr>
            <w:tcW w:w="10400" w:type="dxa"/>
            <w:vAlign w:val="bottom"/>
            <w:gridSpan w:val="33"/>
          </w:tcPr>
          <w:p>
            <w:pPr>
              <w:spacing w:after="0"/>
              <w:rPr>
                <w:sz w:val="20"/>
                <w:szCs w:val="20"/>
                <w:color w:val="auto"/>
              </w:rPr>
            </w:pPr>
            <w:r>
              <w:rPr>
                <w:rFonts w:ascii="Arial" w:cs="Arial" w:eastAsia="Arial" w:hAnsi="Arial"/>
                <w:sz w:val="18"/>
                <w:szCs w:val="18"/>
                <w:color w:val="auto"/>
              </w:rPr>
              <w:t>Form of Senior Note (included in Exhibits 4.2, 4.3, 4.4 and 4.5).</w:t>
            </w:r>
          </w:p>
        </w:tc>
      </w:tr>
      <w:tr>
        <w:trPr>
          <w:trHeight w:val="29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10.1</w:t>
            </w:r>
          </w:p>
        </w:tc>
        <w:tc>
          <w:tcPr>
            <w:tcW w:w="10340" w:type="dxa"/>
            <w:vAlign w:val="bottom"/>
            <w:tcBorders>
              <w:bottom w:val="single" w:sz="8" w:color="0000EE"/>
            </w:tcBorders>
            <w:gridSpan w:val="30"/>
          </w:tcPr>
          <w:p>
            <w:pPr>
              <w:spacing w:after="0"/>
              <w:rPr>
                <w:rFonts w:ascii="Arial" w:cs="Arial" w:eastAsia="Arial" w:hAnsi="Arial"/>
                <w:sz w:val="18"/>
                <w:szCs w:val="18"/>
                <w:color w:val="0000EE"/>
                <w:w w:val="90"/>
              </w:rPr>
            </w:pPr>
            <w:hyperlink r:id="rId103">
              <w:r>
                <w:rPr>
                  <w:rFonts w:ascii="Arial" w:cs="Arial" w:eastAsia="Arial" w:hAnsi="Arial"/>
                  <w:sz w:val="18"/>
                  <w:szCs w:val="18"/>
                  <w:color w:val="0000EE"/>
                  <w:w w:val="90"/>
                </w:rPr>
                <w:t>Lease, dated as of January 27, 1994, by and between Rockefeller Center Properties and Lazard Frères &amp; Co. LLC (incorporated by reference to</w:t>
              </w:r>
            </w:hyperlink>
          </w:p>
        </w:tc>
        <w:tc>
          <w:tcPr>
            <w:tcW w:w="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7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Exhibit 10.19 to Lazard Ltd’s Registration Statement (File No. 333-121407) on Form S-1/A filed on February 11, 2005).</w:t>
              </w:r>
            </w:hyperlink>
          </w:p>
        </w:tc>
        <w:tc>
          <w:tcPr>
            <w:tcW w:w="1700" w:type="dxa"/>
            <w:vAlign w:val="bottom"/>
            <w:gridSpan w:val="20"/>
          </w:tcPr>
          <w:p>
            <w:pPr>
              <w:spacing w:after="0"/>
              <w:rPr>
                <w:sz w:val="17"/>
                <w:szCs w:val="17"/>
                <w:color w:val="auto"/>
              </w:rPr>
            </w:pPr>
          </w:p>
        </w:tc>
      </w:tr>
      <w:tr>
        <w:trPr>
          <w:trHeight w:val="318"/>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10.2</w:t>
            </w:r>
          </w:p>
        </w:tc>
        <w:tc>
          <w:tcPr>
            <w:tcW w:w="10400" w:type="dxa"/>
            <w:vAlign w:val="bottom"/>
            <w:gridSpan w:val="33"/>
          </w:tcPr>
          <w:p>
            <w:pPr>
              <w:spacing w:after="0"/>
              <w:rPr>
                <w:rFonts w:ascii="Arial" w:cs="Arial" w:eastAsia="Arial" w:hAnsi="Arial"/>
                <w:sz w:val="18"/>
                <w:szCs w:val="18"/>
                <w:color w:val="auto"/>
                <w:w w:val="90"/>
              </w:rPr>
            </w:pPr>
            <w:hyperlink r:id="rId104">
              <w:r>
                <w:rPr>
                  <w:rFonts w:ascii="Arial" w:cs="Arial" w:eastAsia="Arial" w:hAnsi="Arial"/>
                  <w:sz w:val="18"/>
                  <w:szCs w:val="18"/>
                  <w:color w:val="auto"/>
                  <w:w w:val="90"/>
                </w:rPr>
                <w:t xml:space="preserve">Fourth </w:t>
              </w:r>
              <w:r>
                <w:rPr>
                  <w:rFonts w:ascii="Arial" w:cs="Arial" w:eastAsia="Arial" w:hAnsi="Arial"/>
                  <w:sz w:val="18"/>
                  <w:szCs w:val="18"/>
                  <w:color w:val="0000EE"/>
                  <w:w w:val="90"/>
                </w:rPr>
                <w:t>Amendment dated as of February 16, 2011, by and among RCPI Landmark Properties, L.L.C. (as the successor in interest to Rockefeller</w:t>
              </w:r>
            </w:hyperlink>
          </w:p>
        </w:tc>
      </w:tr>
      <w:tr>
        <w:trPr>
          <w:trHeight w:val="20"/>
        </w:trPr>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0" w:type="dxa"/>
            <w:vAlign w:val="bottom"/>
            <w:tcBorders>
              <w:right w:val="single" w:sz="8" w:color="0000EE"/>
            </w:tcBorders>
            <w:gridSpan w:val="3"/>
            <w:shd w:val="clear" w:color="auto" w:fill="0000EE"/>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Center Properties), RCPI 30 Rock 22234849, L.L.C. and Lazard Group LLC (as the successor in interest to Lazard Frères &amp; Co. LLC), to the</w:t>
              </w:r>
            </w:hyperlink>
          </w:p>
        </w:tc>
        <w:tc>
          <w:tcPr>
            <w:tcW w:w="20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1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Lease dated as of January 27, 1994, by and among Rockefeller Center Properties and Lazard Frères &amp; Co. LLC (incorporated by reference to</w:t>
              </w:r>
            </w:hyperlink>
          </w:p>
        </w:tc>
        <w:tc>
          <w:tcPr>
            <w:tcW w:w="22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2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Exhibit 10.15 to the Registrant’s Quarterly Report (File No. 333-126751) on Form 10-Q filed on April 29, 2011).</w:t>
              </w:r>
            </w:hyperlink>
          </w:p>
        </w:tc>
        <w:tc>
          <w:tcPr>
            <w:tcW w:w="2200" w:type="dxa"/>
            <w:vAlign w:val="bottom"/>
            <w:gridSpan w:val="23"/>
          </w:tcPr>
          <w:p>
            <w:pPr>
              <w:spacing w:after="0"/>
              <w:rPr>
                <w:sz w:val="17"/>
                <w:szCs w:val="17"/>
                <w:color w:val="auto"/>
              </w:rPr>
            </w:pPr>
          </w:p>
        </w:tc>
      </w:tr>
      <w:tr>
        <w:trPr>
          <w:trHeight w:val="318"/>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10.3</w:t>
            </w:r>
          </w:p>
        </w:tc>
        <w:tc>
          <w:tcPr>
            <w:tcW w:w="10400" w:type="dxa"/>
            <w:vAlign w:val="bottom"/>
            <w:gridSpan w:val="33"/>
          </w:tcPr>
          <w:p>
            <w:pPr>
              <w:spacing w:after="0"/>
              <w:rPr>
                <w:rFonts w:ascii="Arial" w:cs="Arial" w:eastAsia="Arial" w:hAnsi="Arial"/>
                <w:sz w:val="18"/>
                <w:szCs w:val="18"/>
                <w:color w:val="0000EE"/>
                <w:w w:val="92"/>
              </w:rPr>
            </w:pPr>
            <w:hyperlink r:id="rId105">
              <w:r>
                <w:rPr>
                  <w:rFonts w:ascii="Arial" w:cs="Arial" w:eastAsia="Arial" w:hAnsi="Arial"/>
                  <w:sz w:val="18"/>
                  <w:szCs w:val="18"/>
                  <w:color w:val="0000EE"/>
                  <w:w w:val="92"/>
                </w:rPr>
                <w:t>Occupational Lease, dated as of August 9, 2002, by and among Burford (Stratton) Nominee 1 Limited, Burford (Stratton) Nominee 2 Limited,</w:t>
              </w:r>
            </w:hyperlink>
          </w:p>
        </w:tc>
      </w:tr>
      <w:tr>
        <w:trPr>
          <w:trHeight w:val="196"/>
        </w:trPr>
        <w:tc>
          <w:tcPr>
            <w:tcW w:w="1040" w:type="dxa"/>
            <w:vAlign w:val="bottom"/>
          </w:tcPr>
          <w:p>
            <w:pPr>
              <w:spacing w:after="0"/>
              <w:rPr>
                <w:sz w:val="17"/>
                <w:szCs w:val="17"/>
                <w:color w:val="auto"/>
              </w:rPr>
            </w:pPr>
          </w:p>
        </w:tc>
        <w:tc>
          <w:tcPr>
            <w:tcW w:w="10260" w:type="dxa"/>
            <w:vAlign w:val="bottom"/>
            <w:tcBorders>
              <w:top w:val="single" w:sz="8" w:color="0000EE"/>
            </w:tcBorders>
            <w:gridSpan w:val="29"/>
          </w:tcPr>
          <w:p>
            <w:pPr>
              <w:spacing w:after="0" w:line="196" w:lineRule="exact"/>
              <w:rPr>
                <w:rFonts w:ascii="Arial" w:cs="Arial" w:eastAsia="Arial" w:hAnsi="Arial"/>
                <w:sz w:val="18"/>
                <w:szCs w:val="18"/>
                <w:color w:val="0000EE"/>
                <w:w w:val="94"/>
              </w:rPr>
            </w:pPr>
            <w:hyperlink r:id="rId105">
              <w:r>
                <w:rPr>
                  <w:rFonts w:ascii="Arial" w:cs="Arial" w:eastAsia="Arial" w:hAnsi="Arial"/>
                  <w:sz w:val="18"/>
                  <w:szCs w:val="18"/>
                  <w:color w:val="0000EE"/>
                  <w:w w:val="94"/>
                </w:rPr>
                <w:t>Burford (Stratton) Limited, Lazard &amp; Co., Limited and Lazard LLC (incorporated by reference to Exhibit 10.21 to Lazard Ltd’s Registration</w:t>
              </w:r>
            </w:hyperlink>
          </w:p>
        </w:tc>
        <w:tc>
          <w:tcPr>
            <w:tcW w:w="14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1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Statement (File No. 333-121407) on Form S-1/A filed on February 11, 2005).</w:t>
              </w:r>
            </w:hyperlink>
          </w:p>
        </w:tc>
        <w:tc>
          <w:tcPr>
            <w:tcW w:w="280" w:type="dxa"/>
            <w:vAlign w:val="bottom"/>
            <w:gridSpan w:val="10"/>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100" w:type="dxa"/>
            <w:vAlign w:val="bottom"/>
            <w:gridSpan w:val="9"/>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95"/>
              </w:rPr>
              <w:t>10.4*</w:t>
            </w:r>
          </w:p>
        </w:tc>
        <w:tc>
          <w:tcPr>
            <w:tcW w:w="10400" w:type="dxa"/>
            <w:vAlign w:val="bottom"/>
            <w:gridSpan w:val="33"/>
          </w:tcPr>
          <w:p>
            <w:pPr>
              <w:spacing w:after="0"/>
              <w:rPr>
                <w:rFonts w:ascii="Arial" w:cs="Arial" w:eastAsia="Arial" w:hAnsi="Arial"/>
                <w:sz w:val="18"/>
                <w:szCs w:val="18"/>
                <w:color w:val="0000EE"/>
                <w:w w:val="95"/>
              </w:rPr>
            </w:pPr>
            <w:hyperlink r:id="rId106">
              <w:r>
                <w:rPr>
                  <w:rFonts w:ascii="Arial" w:cs="Arial" w:eastAsia="Arial" w:hAnsi="Arial"/>
                  <w:sz w:val="18"/>
                  <w:szCs w:val="18"/>
                  <w:color w:val="0000EE"/>
                  <w:w w:val="95"/>
                </w:rPr>
                <w:t>Lazard Ltd’s 2005 Equity Incentive Plan (incorporated by reference to Exhibit 10.21 to Lazard Ltd’s Registration Statement (File No. 333-</w:t>
              </w:r>
            </w:hyperlink>
          </w:p>
        </w:tc>
      </w:tr>
      <w:tr>
        <w:trPr>
          <w:trHeight w:val="196"/>
        </w:trPr>
        <w:tc>
          <w:tcPr>
            <w:tcW w:w="1040" w:type="dxa"/>
            <w:vAlign w:val="bottom"/>
          </w:tcPr>
          <w:p>
            <w:pPr>
              <w:spacing w:after="0"/>
              <w:rPr>
                <w:sz w:val="17"/>
                <w:szCs w:val="17"/>
                <w:color w:val="auto"/>
              </w:rPr>
            </w:pPr>
          </w:p>
        </w:tc>
        <w:tc>
          <w:tcPr>
            <w:tcW w:w="100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121407) on Form S-1/A filed on May 2, 2005).</w:t>
              </w:r>
            </w:hyperlink>
          </w:p>
        </w:tc>
        <w:tc>
          <w:tcPr>
            <w:tcW w:w="400" w:type="dxa"/>
            <w:vAlign w:val="bottom"/>
            <w:gridSpan w:val="14"/>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0" w:type="dxa"/>
            <w:vAlign w:val="bottom"/>
            <w:gridSpan w:val="1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95"/>
              </w:rPr>
              <w:t>10.5*</w:t>
            </w:r>
          </w:p>
        </w:tc>
        <w:tc>
          <w:tcPr>
            <w:tcW w:w="10400" w:type="dxa"/>
            <w:vAlign w:val="bottom"/>
            <w:gridSpan w:val="33"/>
          </w:tcPr>
          <w:p>
            <w:pPr>
              <w:spacing w:after="0"/>
              <w:rPr>
                <w:rFonts w:ascii="Arial" w:cs="Arial" w:eastAsia="Arial" w:hAnsi="Arial"/>
                <w:sz w:val="18"/>
                <w:szCs w:val="18"/>
                <w:color w:val="0000EE"/>
                <w:w w:val="98"/>
              </w:rPr>
            </w:pPr>
            <w:hyperlink r:id="rId107">
              <w:r>
                <w:rPr>
                  <w:rFonts w:ascii="Arial" w:cs="Arial" w:eastAsia="Arial" w:hAnsi="Arial"/>
                  <w:sz w:val="18"/>
                  <w:szCs w:val="18"/>
                  <w:color w:val="0000EE"/>
                  <w:w w:val="98"/>
                </w:rPr>
                <w:t>Lazard Ltd’s 2008 Incentive Compensation Plan (incorporated by reference to Annex B to Lazard Ltd’s Definitive Proxy Statement on</w:t>
              </w:r>
            </w:hyperlink>
          </w:p>
        </w:tc>
      </w:tr>
      <w:tr>
        <w:trPr>
          <w:trHeight w:val="196"/>
        </w:trPr>
        <w:tc>
          <w:tcPr>
            <w:tcW w:w="104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Schedule 14A (File No. 001-32492) filed on March 24, 2008).</w:t>
              </w:r>
            </w:hyperlink>
          </w:p>
        </w:tc>
        <w:tc>
          <w:tcPr>
            <w:tcW w:w="5200" w:type="dxa"/>
            <w:vAlign w:val="bottom"/>
            <w:tcBorders>
              <w:top w:val="single" w:sz="8" w:color="0000EE"/>
            </w:tcBorders>
            <w:gridSpan w:val="10"/>
          </w:tcPr>
          <w:p>
            <w:pPr>
              <w:spacing w:after="0"/>
              <w:rPr>
                <w:sz w:val="17"/>
                <w:szCs w:val="17"/>
                <w:color w:val="auto"/>
              </w:rPr>
            </w:pPr>
          </w:p>
        </w:tc>
        <w:tc>
          <w:tcPr>
            <w:tcW w:w="700" w:type="dxa"/>
            <w:vAlign w:val="bottom"/>
            <w:gridSpan w:val="17"/>
          </w:tcPr>
          <w:p>
            <w:pPr>
              <w:spacing w:after="0"/>
              <w:rPr>
                <w:sz w:val="17"/>
                <w:szCs w:val="17"/>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95"/>
              </w:rPr>
              <w:t>10.6*</w:t>
            </w:r>
          </w:p>
        </w:tc>
        <w:tc>
          <w:tcPr>
            <w:tcW w:w="10240" w:type="dxa"/>
            <w:vAlign w:val="bottom"/>
            <w:tcBorders>
              <w:bottom w:val="single" w:sz="8" w:color="0000EE"/>
            </w:tcBorders>
            <w:gridSpan w:val="28"/>
          </w:tcPr>
          <w:p>
            <w:pPr>
              <w:spacing w:after="0"/>
              <w:rPr>
                <w:rFonts w:ascii="Arial" w:cs="Arial" w:eastAsia="Arial" w:hAnsi="Arial"/>
                <w:sz w:val="18"/>
                <w:szCs w:val="18"/>
                <w:color w:val="0000EE"/>
                <w:w w:val="91"/>
              </w:rPr>
            </w:pPr>
            <w:hyperlink r:id="rId108">
              <w:r>
                <w:rPr>
                  <w:rFonts w:ascii="Arial" w:cs="Arial" w:eastAsia="Arial" w:hAnsi="Arial"/>
                  <w:sz w:val="18"/>
                  <w:szCs w:val="18"/>
                  <w:color w:val="0000EE"/>
                  <w:w w:val="91"/>
                </w:rPr>
                <w:t>Lazard Ltd’s 2016 French Sub-plan (incorporated by reference to Annex B to Lazard Ltd’s Definitive Proxy Statement on Schedule 14A (File</w:t>
              </w:r>
            </w:hyperlink>
          </w:p>
        </w:tc>
        <w:tc>
          <w:tcPr>
            <w:tcW w:w="16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0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No. 001-32492) filed on March 10, 2016).</w:t>
              </w:r>
            </w:hyperlink>
          </w:p>
        </w:tc>
        <w:tc>
          <w:tcPr>
            <w:tcW w:w="7340" w:type="dxa"/>
            <w:vAlign w:val="bottom"/>
            <w:gridSpan w:val="31"/>
          </w:tcPr>
          <w:p>
            <w:pPr>
              <w:spacing w:after="0"/>
              <w:rPr>
                <w:sz w:val="17"/>
                <w:szCs w:val="17"/>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95"/>
              </w:rPr>
              <w:t>10.7*</w:t>
            </w:r>
          </w:p>
        </w:tc>
        <w:tc>
          <w:tcPr>
            <w:tcW w:w="10220" w:type="dxa"/>
            <w:vAlign w:val="bottom"/>
            <w:tcBorders>
              <w:bottom w:val="single" w:sz="8" w:color="0000EE"/>
            </w:tcBorders>
            <w:gridSpan w:val="27"/>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18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3"/>
          </w:tcPr>
          <w:p>
            <w:pPr>
              <w:spacing w:after="0" w:line="196" w:lineRule="exact"/>
              <w:rPr>
                <w:rFonts w:ascii="Arial" w:cs="Arial" w:eastAsia="Arial" w:hAnsi="Arial"/>
                <w:sz w:val="18"/>
                <w:szCs w:val="18"/>
                <w:color w:val="0000EE"/>
                <w:w w:val="94"/>
              </w:rPr>
            </w:pPr>
            <w:hyperlink r:id="rId109">
              <w:r>
                <w:rPr>
                  <w:rFonts w:ascii="Arial" w:cs="Arial" w:eastAsia="Arial" w:hAnsi="Arial"/>
                  <w:sz w:val="18"/>
                  <w:szCs w:val="18"/>
                  <w:color w:val="0000EE"/>
                  <w:w w:val="94"/>
                </w:rPr>
                <w:t>the Registrant, Lazard Ltd and Kenneth M. Jacobs (incorporated by reference to Exhibit 10.7 to the Registrant’s Quarterly Report (File No.</w:t>
              </w:r>
            </w:hyperlink>
          </w:p>
        </w:tc>
      </w:tr>
      <w:tr>
        <w:trPr>
          <w:trHeight w:val="196"/>
        </w:trPr>
        <w:tc>
          <w:tcPr>
            <w:tcW w:w="104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333-126751) on Form 10-Q filed on April 27, 2016).</w:t>
              </w:r>
            </w:hyperlink>
          </w:p>
        </w:tc>
        <w:tc>
          <w:tcPr>
            <w:tcW w:w="6220" w:type="dxa"/>
            <w:vAlign w:val="bottom"/>
            <w:tcBorders>
              <w:top w:val="single" w:sz="8" w:color="0000EE"/>
            </w:tcBorders>
            <w:gridSpan w:val="15"/>
          </w:tcPr>
          <w:p>
            <w:pPr>
              <w:spacing w:after="0"/>
              <w:rPr>
                <w:sz w:val="17"/>
                <w:szCs w:val="17"/>
                <w:color w:val="auto"/>
              </w:rPr>
            </w:pPr>
          </w:p>
        </w:tc>
        <w:tc>
          <w:tcPr>
            <w:tcW w:w="360" w:type="dxa"/>
            <w:vAlign w:val="bottom"/>
            <w:gridSpan w:val="13"/>
          </w:tcPr>
          <w:p>
            <w:pPr>
              <w:spacing w:after="0"/>
              <w:rPr>
                <w:sz w:val="17"/>
                <w:szCs w:val="17"/>
                <w:color w:val="auto"/>
              </w:rPr>
            </w:pPr>
          </w:p>
        </w:tc>
      </w:tr>
      <w:tr>
        <w:trPr>
          <w:trHeight w:val="574"/>
        </w:trPr>
        <w:tc>
          <w:tcPr>
            <w:tcW w:w="1040" w:type="dxa"/>
            <w:vAlign w:val="bottom"/>
          </w:tcPr>
          <w:p>
            <w:pPr>
              <w:spacing w:after="0"/>
              <w:rPr>
                <w:sz w:val="24"/>
                <w:szCs w:val="24"/>
                <w:color w:val="auto"/>
              </w:rPr>
            </w:pPr>
          </w:p>
        </w:tc>
        <w:tc>
          <w:tcPr>
            <w:tcW w:w="5600" w:type="dxa"/>
            <w:vAlign w:val="bottom"/>
            <w:gridSpan w:val="7"/>
          </w:tcPr>
          <w:p>
            <w:pPr>
              <w:ind w:left="4580"/>
              <w:spacing w:after="0"/>
              <w:rPr>
                <w:sz w:val="20"/>
                <w:szCs w:val="20"/>
                <w:color w:val="auto"/>
              </w:rPr>
            </w:pPr>
            <w:r>
              <w:rPr>
                <w:rFonts w:ascii="Arial" w:cs="Arial" w:eastAsia="Arial" w:hAnsi="Arial"/>
                <w:sz w:val="18"/>
                <w:szCs w:val="18"/>
                <w:color w:val="auto"/>
              </w:rPr>
              <w:t>63</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95"/>
              </w:rPr>
              <w:t>10.8*</w:t>
            </w:r>
          </w:p>
        </w:tc>
        <w:tc>
          <w:tcPr>
            <w:tcW w:w="8700" w:type="dxa"/>
            <w:vAlign w:val="bottom"/>
            <w:tcBorders>
              <w:bottom w:val="single" w:sz="8" w:color="0000EE"/>
            </w:tcBorders>
            <w:gridSpan w:val="12"/>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Amended and Restated Agreement relating to Retention and Noncompetition and Other Covenants, dated as of March 9,</w:t>
              </w:r>
            </w:hyperlink>
          </w:p>
        </w:tc>
        <w:tc>
          <w:tcPr>
            <w:tcW w:w="1560" w:type="dxa"/>
            <w:vAlign w:val="bottom"/>
            <w:gridSpan w:val="13"/>
          </w:tcPr>
          <w:p>
            <w:pPr>
              <w:spacing w:after="0"/>
              <w:rPr>
                <w:sz w:val="17"/>
                <w:szCs w:val="17"/>
                <w:color w:val="auto"/>
              </w:rPr>
            </w:pPr>
          </w:p>
        </w:tc>
      </w:tr>
      <w:tr>
        <w:trPr>
          <w:trHeight w:val="222"/>
        </w:trPr>
        <w:tc>
          <w:tcPr>
            <w:tcW w:w="1040" w:type="dxa"/>
            <w:vAlign w:val="bottom"/>
          </w:tcPr>
          <w:p>
            <w:pPr>
              <w:spacing w:after="0"/>
              <w:rPr>
                <w:sz w:val="19"/>
                <w:szCs w:val="19"/>
                <w:color w:val="auto"/>
              </w:rPr>
            </w:pPr>
          </w:p>
        </w:tc>
        <w:tc>
          <w:tcPr>
            <w:tcW w:w="10260" w:type="dxa"/>
            <w:vAlign w:val="bottom"/>
            <w:gridSpan w:val="25"/>
          </w:tcPr>
          <w:p>
            <w:pPr>
              <w:spacing w:after="0"/>
              <w:rPr>
                <w:sz w:val="20"/>
                <w:szCs w:val="20"/>
                <w:color w:val="auto"/>
              </w:rPr>
            </w:pPr>
            <w:r>
              <w:rPr>
                <w:rFonts w:ascii="Arial" w:cs="Arial" w:eastAsia="Arial" w:hAnsi="Arial"/>
                <w:sz w:val="18"/>
                <w:szCs w:val="18"/>
                <w:color w:val="auto"/>
                <w:w w:val="93"/>
              </w:rPr>
              <w:t>2016, by and among the Registrant, Lazard Ltd and Ashish Bhutani (incorporated by reference to Exhibit 10.8 to the Registrant’s Quarterly</w:t>
            </w:r>
          </w:p>
        </w:tc>
      </w:tr>
      <w:tr>
        <w:trPr>
          <w:trHeight w:val="230"/>
        </w:trPr>
        <w:tc>
          <w:tcPr>
            <w:tcW w:w="1040" w:type="dxa"/>
            <w:vAlign w:val="bottom"/>
          </w:tcPr>
          <w:p>
            <w:pPr>
              <w:spacing w:after="0"/>
              <w:rPr>
                <w:sz w:val="20"/>
                <w:szCs w:val="20"/>
                <w:color w:val="auto"/>
              </w:rPr>
            </w:pPr>
          </w:p>
        </w:tc>
        <w:tc>
          <w:tcPr>
            <w:tcW w:w="10260" w:type="dxa"/>
            <w:vAlign w:val="bottom"/>
            <w:gridSpan w:val="25"/>
          </w:tcPr>
          <w:p>
            <w:pPr>
              <w:spacing w:after="0"/>
              <w:rPr>
                <w:sz w:val="20"/>
                <w:szCs w:val="20"/>
                <w:color w:val="auto"/>
              </w:rPr>
            </w:pPr>
            <w:r>
              <w:rPr>
                <w:rFonts w:ascii="Arial" w:cs="Arial" w:eastAsia="Arial" w:hAnsi="Arial"/>
                <w:sz w:val="18"/>
                <w:szCs w:val="18"/>
                <w:color w:val="auto"/>
              </w:rPr>
              <w:t>Report (File No. 333-126751) on Form 10-Q filed on April 27, 2016).</w:t>
            </w:r>
          </w:p>
        </w:tc>
      </w:tr>
      <w:tr>
        <w:trPr>
          <w:trHeight w:val="297"/>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95"/>
              </w:rPr>
              <w:t>10.9*</w:t>
            </w:r>
          </w:p>
        </w:tc>
        <w:tc>
          <w:tcPr>
            <w:tcW w:w="10240" w:type="dxa"/>
            <w:vAlign w:val="bottom"/>
            <w:tcBorders>
              <w:bottom w:val="single" w:sz="8" w:color="0000EE"/>
            </w:tcBorders>
            <w:gridSpan w:val="24"/>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6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the Registrant, Lazard Ltd and Matthieu Bucaille (incorporated by reference to Exhibit 10.9 to the Registrant’s Quarterly Report (File No 333-</w:t>
              </w:r>
            </w:hyperlink>
          </w:p>
        </w:tc>
      </w:tr>
      <w:tr>
        <w:trPr>
          <w:trHeight w:val="196"/>
        </w:trPr>
        <w:tc>
          <w:tcPr>
            <w:tcW w:w="1040" w:type="dxa"/>
            <w:vAlign w:val="bottom"/>
          </w:tcPr>
          <w:p>
            <w:pPr>
              <w:spacing w:after="0"/>
              <w:rPr>
                <w:sz w:val="17"/>
                <w:szCs w:val="17"/>
                <w:color w:val="auto"/>
              </w:rPr>
            </w:pPr>
          </w:p>
        </w:tc>
        <w:tc>
          <w:tcPr>
            <w:tcW w:w="10260" w:type="dxa"/>
            <w:vAlign w:val="bottom"/>
            <w:gridSpan w:val="25"/>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126751) on Form 10-Q filed on April 27, 2016).</w:t>
              </w:r>
            </w:hyperlink>
          </w:p>
        </w:tc>
      </w:tr>
      <w:tr>
        <w:trPr>
          <w:trHeight w:val="20"/>
        </w:trPr>
        <w:tc>
          <w:tcPr>
            <w:tcW w:w="10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450"/>
              <w:spacing w:after="0"/>
              <w:rPr>
                <w:sz w:val="20"/>
                <w:szCs w:val="20"/>
                <w:color w:val="auto"/>
              </w:rPr>
            </w:pPr>
            <w:r>
              <w:rPr>
                <w:rFonts w:ascii="Arial" w:cs="Arial" w:eastAsia="Arial" w:hAnsi="Arial"/>
                <w:sz w:val="18"/>
                <w:szCs w:val="18"/>
                <w:color w:val="auto"/>
                <w:w w:val="92"/>
              </w:rPr>
              <w:t>10.10*</w:t>
            </w:r>
          </w:p>
        </w:tc>
        <w:tc>
          <w:tcPr>
            <w:tcW w:w="10220" w:type="dxa"/>
            <w:vAlign w:val="bottom"/>
            <w:tcBorders>
              <w:bottom w:val="single" w:sz="8" w:color="0000EE"/>
            </w:tcBorders>
            <w:gridSpan w:val="23"/>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6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the Registrant, Lazard Ltd and Scott D. Hoffman (incorporated by reference to Exhibit 10.10 to Registrant’s Quarterly Report (File No. 333-</w:t>
              </w:r>
            </w:hyperlink>
          </w:p>
        </w:tc>
        <w:tc>
          <w:tcPr>
            <w:tcW w:w="10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260" w:type="dxa"/>
            <w:vAlign w:val="bottom"/>
            <w:gridSpan w:val="25"/>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126751) on Form 10-Q filed on April 27, 2016</w:t>
              </w:r>
            </w:hyperlink>
          </w:p>
        </w:tc>
      </w:tr>
      <w:tr>
        <w:trPr>
          <w:trHeight w:val="20"/>
        </w:trPr>
        <w:tc>
          <w:tcPr>
            <w:tcW w:w="10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450"/>
              <w:spacing w:after="0"/>
              <w:rPr>
                <w:sz w:val="20"/>
                <w:szCs w:val="20"/>
                <w:color w:val="auto"/>
              </w:rPr>
            </w:pPr>
            <w:r>
              <w:rPr>
                <w:rFonts w:ascii="Arial" w:cs="Arial" w:eastAsia="Arial" w:hAnsi="Arial"/>
                <w:sz w:val="18"/>
                <w:szCs w:val="18"/>
                <w:color w:val="auto"/>
                <w:w w:val="92"/>
              </w:rPr>
              <w:t>10.11*</w:t>
            </w:r>
          </w:p>
        </w:tc>
        <w:tc>
          <w:tcPr>
            <w:tcW w:w="10220" w:type="dxa"/>
            <w:vAlign w:val="bottom"/>
            <w:tcBorders>
              <w:bottom w:val="single" w:sz="8" w:color="0000EE"/>
            </w:tcBorders>
            <w:gridSpan w:val="23"/>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the Registrant, Lazard Ltd and Alexander F. Stern (incorporated by reference to Exhibit 10.11 to Registrant’s Quarterly Report (File No 333-</w:t>
              </w:r>
            </w:hyperlink>
          </w:p>
        </w:tc>
        <w:tc>
          <w:tcPr>
            <w:tcW w:w="10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260" w:type="dxa"/>
            <w:vAlign w:val="bottom"/>
            <w:gridSpan w:val="25"/>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126751) on Form 10-Q filed on April 27, 2016).</w:t>
              </w:r>
            </w:hyperlink>
          </w:p>
        </w:tc>
      </w:tr>
      <w:tr>
        <w:trPr>
          <w:trHeight w:val="20"/>
        </w:trPr>
        <w:tc>
          <w:tcPr>
            <w:tcW w:w="10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450"/>
              <w:spacing w:after="0"/>
              <w:rPr>
                <w:sz w:val="20"/>
                <w:szCs w:val="20"/>
                <w:color w:val="auto"/>
              </w:rPr>
            </w:pPr>
            <w:r>
              <w:rPr>
                <w:rFonts w:ascii="Arial" w:cs="Arial" w:eastAsia="Arial" w:hAnsi="Arial"/>
                <w:sz w:val="18"/>
                <w:szCs w:val="18"/>
                <w:color w:val="auto"/>
                <w:w w:val="92"/>
              </w:rPr>
              <w:t>10.12*</w:t>
            </w:r>
          </w:p>
        </w:tc>
        <w:tc>
          <w:tcPr>
            <w:tcW w:w="9940" w:type="dxa"/>
            <w:vAlign w:val="bottom"/>
            <w:tcBorders>
              <w:bottom w:val="single" w:sz="8" w:color="0000EE"/>
            </w:tcBorders>
            <w:gridSpan w:val="15"/>
          </w:tcPr>
          <w:p>
            <w:pPr>
              <w:spacing w:after="0"/>
              <w:rPr>
                <w:rFonts w:ascii="Arial" w:cs="Arial" w:eastAsia="Arial" w:hAnsi="Arial"/>
                <w:sz w:val="18"/>
                <w:szCs w:val="18"/>
                <w:color w:val="0000EE"/>
                <w:w w:val="92"/>
              </w:rPr>
            </w:pPr>
            <w:hyperlink r:id="rId116">
              <w:r>
                <w:rPr>
                  <w:rFonts w:ascii="Arial" w:cs="Arial" w:eastAsia="Arial" w:hAnsi="Arial"/>
                  <w:sz w:val="18"/>
                  <w:szCs w:val="18"/>
                  <w:color w:val="0000EE"/>
                  <w:w w:val="92"/>
                </w:rPr>
                <w:t>Form of Award Letter for Annual Grant of Deferred Stock Units to Non-Executive Directors (incorporated by reference to Exhibit 99.1 to</w:t>
              </w:r>
            </w:hyperlink>
          </w:p>
        </w:tc>
        <w:tc>
          <w:tcPr>
            <w:tcW w:w="320" w:type="dxa"/>
            <w:vAlign w:val="bottom"/>
            <w:gridSpan w:val="10"/>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60" w:type="dxa"/>
            <w:vAlign w:val="bottom"/>
            <w:gridSpan w:val="25"/>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Lazard Ltd’s Current Report on Form 8-K (File No. 001-32492) filed on September 8, 2005).</w:t>
              </w:r>
            </w:hyperlink>
          </w:p>
        </w:tc>
      </w:tr>
      <w:tr>
        <w:trPr>
          <w:trHeight w:val="20"/>
        </w:trPr>
        <w:tc>
          <w:tcPr>
            <w:tcW w:w="10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450"/>
              <w:spacing w:after="0"/>
              <w:rPr>
                <w:sz w:val="20"/>
                <w:szCs w:val="20"/>
                <w:color w:val="auto"/>
              </w:rPr>
            </w:pPr>
            <w:r>
              <w:rPr>
                <w:rFonts w:ascii="Arial" w:cs="Arial" w:eastAsia="Arial" w:hAnsi="Arial"/>
                <w:sz w:val="18"/>
                <w:szCs w:val="18"/>
                <w:color w:val="auto"/>
                <w:w w:val="92"/>
              </w:rPr>
              <w:t>10.13*</w:t>
            </w:r>
          </w:p>
        </w:tc>
        <w:tc>
          <w:tcPr>
            <w:tcW w:w="10260" w:type="dxa"/>
            <w:vAlign w:val="bottom"/>
            <w:gridSpan w:val="25"/>
          </w:tcPr>
          <w:p>
            <w:pPr>
              <w:spacing w:after="0"/>
              <w:rPr>
                <w:rFonts w:ascii="Arial" w:cs="Arial" w:eastAsia="Arial" w:hAnsi="Arial"/>
                <w:sz w:val="18"/>
                <w:szCs w:val="18"/>
                <w:color w:val="0000EE"/>
                <w:w w:val="98"/>
              </w:rPr>
            </w:pPr>
            <w:hyperlink r:id="rId117">
              <w:r>
                <w:rPr>
                  <w:rFonts w:ascii="Arial" w:cs="Arial" w:eastAsia="Arial" w:hAnsi="Arial"/>
                  <w:sz w:val="18"/>
                  <w:szCs w:val="18"/>
                  <w:color w:val="0000EE"/>
                  <w:w w:val="98"/>
                </w:rPr>
                <w:t>Form of Agreement evidencing a grant of Restricted Stock Units to Executive Officers under the 2008 Incentive Compensation Plan</w:t>
              </w:r>
            </w:hyperlink>
          </w:p>
        </w:tc>
      </w:tr>
      <w:tr>
        <w:trPr>
          <w:trHeight w:val="20"/>
        </w:trPr>
        <w:tc>
          <w:tcPr>
            <w:tcW w:w="10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60" w:type="dxa"/>
            <w:vAlign w:val="bottom"/>
            <w:gridSpan w:val="25"/>
          </w:tcPr>
          <w:p>
            <w:pPr>
              <w:spacing w:after="0" w:line="196" w:lineRule="exact"/>
              <w:rPr>
                <w:rFonts w:ascii="Arial" w:cs="Arial" w:eastAsia="Arial" w:hAnsi="Arial"/>
                <w:sz w:val="18"/>
                <w:szCs w:val="18"/>
                <w:color w:val="0000EE"/>
                <w:w w:val="96"/>
              </w:rPr>
            </w:pPr>
            <w:hyperlink r:id="rId117">
              <w:r>
                <w:rPr>
                  <w:rFonts w:ascii="Arial" w:cs="Arial" w:eastAsia="Arial" w:hAnsi="Arial"/>
                  <w:sz w:val="18"/>
                  <w:szCs w:val="18"/>
                  <w:color w:val="0000EE"/>
                  <w:w w:val="96"/>
                </w:rPr>
                <w:t>(incorporated by reference to Exhibit 10.41 to Lazard Ltd’s Annual Report (File No. 001-32492) on Form 10-K filed on March 2, 2009).</w:t>
              </w:r>
            </w:hyperlink>
          </w:p>
        </w:tc>
      </w:tr>
      <w:tr>
        <w:trPr>
          <w:trHeight w:val="20"/>
        </w:trPr>
        <w:tc>
          <w:tcPr>
            <w:tcW w:w="10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450"/>
              <w:spacing w:after="0"/>
              <w:rPr>
                <w:sz w:val="20"/>
                <w:szCs w:val="20"/>
                <w:color w:val="auto"/>
              </w:rPr>
            </w:pPr>
            <w:r>
              <w:rPr>
                <w:rFonts w:ascii="Arial" w:cs="Arial" w:eastAsia="Arial" w:hAnsi="Arial"/>
                <w:sz w:val="18"/>
                <w:szCs w:val="18"/>
                <w:color w:val="auto"/>
                <w:w w:val="92"/>
              </w:rPr>
              <w:t>10.14*</w:t>
            </w:r>
          </w:p>
        </w:tc>
        <w:tc>
          <w:tcPr>
            <w:tcW w:w="10100" w:type="dxa"/>
            <w:vAlign w:val="bottom"/>
            <w:tcBorders>
              <w:bottom w:val="single" w:sz="8" w:color="0000EE"/>
            </w:tcBorders>
            <w:gridSpan w:val="18"/>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Form of Agreement evidencing a grant of Deferred Cash Award to Executive Officers (incorporated by reference to Exhibit 10.42 to Lazard</w:t>
              </w:r>
            </w:hyperlink>
          </w:p>
        </w:tc>
        <w:tc>
          <w:tcPr>
            <w:tcW w:w="16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60" w:type="dxa"/>
            <w:vAlign w:val="bottom"/>
            <w:gridSpan w:val="25"/>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Ltd’s Annual Report (File No. 001-32492) on Form 10-K filed on March 2, 2009).</w:t>
              </w:r>
            </w:hyperlink>
          </w:p>
        </w:tc>
      </w:tr>
      <w:tr>
        <w:trPr>
          <w:trHeight w:val="20"/>
        </w:trPr>
        <w:tc>
          <w:tcPr>
            <w:tcW w:w="10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450"/>
              <w:spacing w:after="0"/>
              <w:rPr>
                <w:sz w:val="20"/>
                <w:szCs w:val="20"/>
                <w:color w:val="auto"/>
              </w:rPr>
            </w:pPr>
            <w:r>
              <w:rPr>
                <w:rFonts w:ascii="Arial" w:cs="Arial" w:eastAsia="Arial" w:hAnsi="Arial"/>
                <w:sz w:val="18"/>
                <w:szCs w:val="18"/>
                <w:color w:val="auto"/>
                <w:w w:val="92"/>
              </w:rPr>
              <w:t>10.15*</w:t>
            </w:r>
          </w:p>
        </w:tc>
        <w:tc>
          <w:tcPr>
            <w:tcW w:w="10260" w:type="dxa"/>
            <w:vAlign w:val="bottom"/>
            <w:gridSpan w:val="25"/>
          </w:tcPr>
          <w:p>
            <w:pPr>
              <w:spacing w:after="0"/>
              <w:rPr>
                <w:rFonts w:ascii="Arial" w:cs="Arial" w:eastAsia="Arial" w:hAnsi="Arial"/>
                <w:sz w:val="18"/>
                <w:szCs w:val="18"/>
                <w:color w:val="0000EE"/>
                <w:w w:val="92"/>
              </w:rPr>
            </w:pPr>
            <w:hyperlink r:id="rId119">
              <w:r>
                <w:rPr>
                  <w:rFonts w:ascii="Arial" w:cs="Arial" w:eastAsia="Arial" w:hAnsi="Arial"/>
                  <w:sz w:val="18"/>
                  <w:szCs w:val="18"/>
                  <w:color w:val="0000EE"/>
                  <w:w w:val="92"/>
                </w:rPr>
                <w:t>Directors’ Fee Deferral Unit Plan (incorporated by reference to Exhibit 10.39 to Lazard Ltd’s Quarterly Report (File No.001-32492) on Form</w:t>
              </w:r>
            </w:hyperlink>
          </w:p>
        </w:tc>
      </w:tr>
      <w:tr>
        <w:trPr>
          <w:trHeight w:val="196"/>
        </w:trPr>
        <w:tc>
          <w:tcPr>
            <w:tcW w:w="1040" w:type="dxa"/>
            <w:vAlign w:val="bottom"/>
          </w:tcPr>
          <w:p>
            <w:pPr>
              <w:spacing w:after="0"/>
              <w:rPr>
                <w:sz w:val="17"/>
                <w:szCs w:val="17"/>
                <w:color w:val="auto"/>
              </w:rPr>
            </w:pPr>
          </w:p>
        </w:tc>
        <w:tc>
          <w:tcPr>
            <w:tcW w:w="101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10-Q filed on May 11, 2006).</w:t>
              </w:r>
            </w:hyperlink>
          </w:p>
        </w:tc>
        <w:tc>
          <w:tcPr>
            <w:tcW w:w="80" w:type="dxa"/>
            <w:vAlign w:val="bottom"/>
            <w:gridSpan w:val="3"/>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10.16</w:t>
            </w:r>
          </w:p>
        </w:tc>
        <w:tc>
          <w:tcPr>
            <w:tcW w:w="10260" w:type="dxa"/>
            <w:vAlign w:val="bottom"/>
            <w:tcBorders>
              <w:bottom w:val="single" w:sz="8" w:color="0000EE"/>
            </w:tcBorders>
            <w:gridSpan w:val="25"/>
          </w:tcPr>
          <w:p>
            <w:pPr>
              <w:spacing w:after="0"/>
              <w:rPr>
                <w:rFonts w:ascii="Arial" w:cs="Arial" w:eastAsia="Arial" w:hAnsi="Arial"/>
                <w:sz w:val="18"/>
                <w:szCs w:val="18"/>
                <w:color w:val="0000EE"/>
                <w:w w:val="89"/>
              </w:rPr>
            </w:pPr>
            <w:hyperlink r:id="rId120">
              <w:r>
                <w:rPr>
                  <w:rFonts w:ascii="Arial" w:cs="Arial" w:eastAsia="Arial" w:hAnsi="Arial"/>
                  <w:sz w:val="18"/>
                  <w:szCs w:val="18"/>
                  <w:color w:val="0000EE"/>
                  <w:w w:val="89"/>
                </w:rPr>
                <w:t>Amended and Restated Credit Agreement, dated as of September 25, 2015, among the Registrant, the Banks from time to time parties thereto,</w:t>
              </w:r>
            </w:hyperlink>
          </w:p>
        </w:tc>
      </w:tr>
      <w:tr>
        <w:trPr>
          <w:trHeight w:val="196"/>
        </w:trPr>
        <w:tc>
          <w:tcPr>
            <w:tcW w:w="1040" w:type="dxa"/>
            <w:vAlign w:val="bottom"/>
          </w:tcPr>
          <w:p>
            <w:pPr>
              <w:spacing w:after="0"/>
              <w:rPr>
                <w:sz w:val="17"/>
                <w:szCs w:val="17"/>
                <w:color w:val="auto"/>
              </w:rPr>
            </w:pPr>
          </w:p>
        </w:tc>
        <w:tc>
          <w:tcPr>
            <w:tcW w:w="10260" w:type="dxa"/>
            <w:vAlign w:val="bottom"/>
            <w:gridSpan w:val="25"/>
          </w:tcPr>
          <w:p>
            <w:pPr>
              <w:spacing w:after="0" w:line="196" w:lineRule="exact"/>
              <w:rPr>
                <w:rFonts w:ascii="Arial" w:cs="Arial" w:eastAsia="Arial" w:hAnsi="Arial"/>
                <w:sz w:val="18"/>
                <w:szCs w:val="18"/>
                <w:color w:val="0000EE"/>
                <w:w w:val="93"/>
              </w:rPr>
            </w:pPr>
            <w:hyperlink r:id="rId120">
              <w:r>
                <w:rPr>
                  <w:rFonts w:ascii="Arial" w:cs="Arial" w:eastAsia="Arial" w:hAnsi="Arial"/>
                  <w:sz w:val="18"/>
                  <w:szCs w:val="18"/>
                  <w:color w:val="0000EE"/>
                  <w:w w:val="93"/>
                </w:rPr>
                <w:t>and Citibank, N.A., as Administrative Agent (incorporated by reference to Exhibit 10.25 to the Registrant’s Quarterly Report (File No. 333-</w:t>
              </w:r>
            </w:hyperlink>
          </w:p>
        </w:tc>
      </w:tr>
      <w:tr>
        <w:trPr>
          <w:trHeight w:val="196"/>
        </w:trPr>
        <w:tc>
          <w:tcPr>
            <w:tcW w:w="104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126751) on Form 10-Q filed on October 28, 2015).</w:t>
              </w:r>
            </w:hyperlink>
          </w:p>
        </w:tc>
        <w:tc>
          <w:tcPr>
            <w:tcW w:w="6380" w:type="dxa"/>
            <w:vAlign w:val="bottom"/>
            <w:tcBorders>
              <w:top w:val="single" w:sz="8" w:color="0000EE"/>
            </w:tcBorders>
            <w:gridSpan w:val="10"/>
          </w:tcPr>
          <w:p>
            <w:pPr>
              <w:spacing w:after="0"/>
              <w:rPr>
                <w:sz w:val="17"/>
                <w:szCs w:val="17"/>
                <w:color w:val="auto"/>
              </w:rPr>
            </w:pPr>
          </w:p>
        </w:tc>
        <w:tc>
          <w:tcPr>
            <w:tcW w:w="180" w:type="dxa"/>
            <w:vAlign w:val="bottom"/>
            <w:gridSpan w:val="8"/>
          </w:tcPr>
          <w:p>
            <w:pPr>
              <w:spacing w:after="0"/>
              <w:rPr>
                <w:sz w:val="17"/>
                <w:szCs w:val="17"/>
                <w:color w:val="auto"/>
              </w:rPr>
            </w:pPr>
          </w:p>
        </w:tc>
      </w:tr>
      <w:tr>
        <w:trPr>
          <w:trHeight w:val="318"/>
        </w:trPr>
        <w:tc>
          <w:tcPr>
            <w:tcW w:w="1040" w:type="dxa"/>
            <w:vAlign w:val="bottom"/>
          </w:tcPr>
          <w:p>
            <w:pPr>
              <w:jc w:val="right"/>
              <w:ind w:right="450"/>
              <w:spacing w:after="0"/>
              <w:rPr>
                <w:sz w:val="20"/>
                <w:szCs w:val="20"/>
                <w:color w:val="auto"/>
              </w:rPr>
            </w:pPr>
            <w:r>
              <w:rPr>
                <w:rFonts w:ascii="Arial" w:cs="Arial" w:eastAsia="Arial" w:hAnsi="Arial"/>
                <w:sz w:val="18"/>
                <w:szCs w:val="18"/>
                <w:color w:val="auto"/>
                <w:w w:val="92"/>
              </w:rPr>
              <w:t>10.17*</w:t>
            </w:r>
          </w:p>
        </w:tc>
        <w:tc>
          <w:tcPr>
            <w:tcW w:w="10140" w:type="dxa"/>
            <w:vAlign w:val="bottom"/>
            <w:tcBorders>
              <w:bottom w:val="single" w:sz="8" w:color="0000EE"/>
            </w:tcBorders>
            <w:gridSpan w:val="20"/>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Form of Agreement evidencing a grant of Lazard Fund Interests to Named Executive Officers (incorporated by reference to Exhibit 10.54 to</w:t>
              </w:r>
            </w:hyperlink>
          </w:p>
        </w:tc>
        <w:tc>
          <w:tcPr>
            <w:tcW w:w="12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82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the Registrant’s Quarterly Report (File No. 333-126751) on Form 10-Q filed on May 1, 2013).</w:t>
              </w:r>
            </w:hyperlink>
          </w:p>
        </w:tc>
        <w:tc>
          <w:tcPr>
            <w:tcW w:w="3440" w:type="dxa"/>
            <w:vAlign w:val="bottom"/>
            <w:gridSpan w:val="14"/>
          </w:tcPr>
          <w:p>
            <w:pPr>
              <w:spacing w:after="0"/>
              <w:rPr>
                <w:sz w:val="17"/>
                <w:szCs w:val="17"/>
                <w:color w:val="auto"/>
              </w:rPr>
            </w:pPr>
          </w:p>
        </w:tc>
      </w:tr>
      <w:tr>
        <w:trPr>
          <w:trHeight w:val="318"/>
        </w:trPr>
        <w:tc>
          <w:tcPr>
            <w:tcW w:w="1040" w:type="dxa"/>
            <w:vAlign w:val="bottom"/>
          </w:tcPr>
          <w:p>
            <w:pPr>
              <w:jc w:val="right"/>
              <w:ind w:right="450"/>
              <w:spacing w:after="0"/>
              <w:rPr>
                <w:sz w:val="20"/>
                <w:szCs w:val="20"/>
                <w:color w:val="auto"/>
              </w:rPr>
            </w:pPr>
            <w:r>
              <w:rPr>
                <w:rFonts w:ascii="Arial" w:cs="Arial" w:eastAsia="Arial" w:hAnsi="Arial"/>
                <w:sz w:val="18"/>
                <w:szCs w:val="18"/>
                <w:color w:val="auto"/>
                <w:w w:val="92"/>
              </w:rPr>
              <w:t>10.18*</w:t>
            </w:r>
          </w:p>
        </w:tc>
        <w:tc>
          <w:tcPr>
            <w:tcW w:w="10260" w:type="dxa"/>
            <w:vAlign w:val="bottom"/>
            <w:gridSpan w:val="25"/>
          </w:tcPr>
          <w:p>
            <w:pPr>
              <w:spacing w:after="0"/>
              <w:rPr>
                <w:rFonts w:ascii="Arial" w:cs="Arial" w:eastAsia="Arial" w:hAnsi="Arial"/>
                <w:sz w:val="18"/>
                <w:szCs w:val="18"/>
                <w:color w:val="0000EE"/>
                <w:w w:val="92"/>
              </w:rPr>
            </w:pPr>
            <w:hyperlink r:id="rId122">
              <w:r>
                <w:rPr>
                  <w:rFonts w:ascii="Arial" w:cs="Arial" w:eastAsia="Arial" w:hAnsi="Arial"/>
                  <w:sz w:val="18"/>
                  <w:szCs w:val="18"/>
                  <w:color w:val="0000EE"/>
                  <w:w w:val="92"/>
                </w:rPr>
                <w:t>Form of Agreement evidencing a February 20, 2014 grant of Performance-Based Stock Units under the 2008 Incentive Compensation Plan</w:t>
              </w:r>
            </w:hyperlink>
          </w:p>
        </w:tc>
      </w:tr>
      <w:tr>
        <w:trPr>
          <w:trHeight w:val="20"/>
        </w:trPr>
        <w:tc>
          <w:tcPr>
            <w:tcW w:w="1040" w:type="dxa"/>
            <w:vAlign w:val="bottom"/>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300" w:type="dxa"/>
            <w:vAlign w:val="bottom"/>
            <w:gridSpan w:val="8"/>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60" w:type="dxa"/>
            <w:vAlign w:val="bottom"/>
            <w:gridSpan w:val="25"/>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(incorporated by reference to Exhibit 10.54 to the Registrant’s Quarterly Report (File No. 333-126751) on Form 10-Q filed on May 6, 2014).</w:t>
              </w:r>
            </w:hyperlink>
          </w:p>
        </w:tc>
      </w:tr>
      <w:tr>
        <w:trPr>
          <w:trHeight w:val="20"/>
        </w:trPr>
        <w:tc>
          <w:tcPr>
            <w:tcW w:w="1040" w:type="dxa"/>
            <w:vAlign w:val="bottom"/>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400" w:type="dxa"/>
            <w:vAlign w:val="bottom"/>
            <w:gridSpan w:val="11"/>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450"/>
              <w:spacing w:after="0"/>
              <w:rPr>
                <w:sz w:val="20"/>
                <w:szCs w:val="20"/>
                <w:color w:val="auto"/>
              </w:rPr>
            </w:pPr>
            <w:r>
              <w:rPr>
                <w:rFonts w:ascii="Arial" w:cs="Arial" w:eastAsia="Arial" w:hAnsi="Arial"/>
                <w:sz w:val="18"/>
                <w:szCs w:val="18"/>
                <w:color w:val="auto"/>
                <w:w w:val="92"/>
              </w:rPr>
              <w:t>10.19*</w:t>
            </w:r>
          </w:p>
        </w:tc>
        <w:tc>
          <w:tcPr>
            <w:tcW w:w="10240" w:type="dxa"/>
            <w:vAlign w:val="bottom"/>
            <w:tcBorders>
              <w:bottom w:val="single" w:sz="8" w:color="0000EE"/>
            </w:tcBorders>
            <w:gridSpan w:val="24"/>
          </w:tcPr>
          <w:p>
            <w:pPr>
              <w:spacing w:after="0"/>
              <w:rPr>
                <w:rFonts w:ascii="Arial" w:cs="Arial" w:eastAsia="Arial" w:hAnsi="Arial"/>
                <w:sz w:val="18"/>
                <w:szCs w:val="18"/>
                <w:color w:val="0000EE"/>
                <w:w w:val="90"/>
              </w:rPr>
            </w:pPr>
            <w:hyperlink r:id="rId123">
              <w:r>
                <w:rPr>
                  <w:rFonts w:ascii="Arial" w:cs="Arial" w:eastAsia="Arial" w:hAnsi="Arial"/>
                  <w:sz w:val="18"/>
                  <w:szCs w:val="18"/>
                  <w:color w:val="0000EE"/>
                  <w:w w:val="90"/>
                </w:rPr>
                <w:t>Agreement between Lazard Ltd and Kenneth M. Jacobs, dated as of February 20, 2014, evidencing a grant of Performance-Based Stock Units</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under the 2008 Incentive Compensation Plan (incorporated by reference to Exhibit 10.55 to the Registrant’s Quarterly Report (File No. 333-</w:t>
              </w:r>
            </w:hyperlink>
          </w:p>
        </w:tc>
        <w:tc>
          <w:tcPr>
            <w:tcW w:w="14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260" w:type="dxa"/>
            <w:vAlign w:val="bottom"/>
            <w:gridSpan w:val="25"/>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126751) on Form 10-Q filed on May 6, 2014).</w:t>
              </w:r>
            </w:hyperlink>
          </w:p>
        </w:tc>
      </w:tr>
      <w:tr>
        <w:trPr>
          <w:trHeight w:val="20"/>
        </w:trPr>
        <w:tc>
          <w:tcPr>
            <w:tcW w:w="1040" w:type="dxa"/>
            <w:vAlign w:val="bottom"/>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540" w:type="dxa"/>
            <w:vAlign w:val="bottom"/>
            <w:gridSpan w:val="17"/>
          </w:tcPr>
          <w:p>
            <w:pPr>
              <w:spacing w:after="0" w:line="20" w:lineRule="exact"/>
              <w:rPr>
                <w:sz w:val="1"/>
                <w:szCs w:val="1"/>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12.1</w:t>
            </w:r>
          </w:p>
        </w:tc>
        <w:tc>
          <w:tcPr>
            <w:tcW w:w="10260" w:type="dxa"/>
            <w:vAlign w:val="bottom"/>
            <w:gridSpan w:val="25"/>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Computation of Ratio of Earnings to Fixed Charges</w:t>
              </w:r>
            </w:hyperlink>
            <w:r>
              <w:rPr>
                <w:rFonts w:ascii="Arial" w:cs="Arial" w:eastAsia="Arial" w:hAnsi="Arial"/>
                <w:sz w:val="18"/>
                <w:szCs w:val="18"/>
                <w:color w:val="000000"/>
              </w:rPr>
              <w:t>.</w:t>
            </w: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31.1</w:t>
            </w:r>
          </w:p>
        </w:tc>
        <w:tc>
          <w:tcPr>
            <w:tcW w:w="3720" w:type="dxa"/>
            <w:vAlign w:val="bottom"/>
            <w:tcBorders>
              <w:top w:val="single" w:sz="8" w:color="0000EE"/>
            </w:tcBorders>
            <w:gridSpan w:val="8"/>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Rule 13a-14(a) Certification of Kenneth M. Jacobs</w:t>
              </w:r>
            </w:hyperlink>
            <w:r>
              <w:rPr>
                <w:rFonts w:ascii="Arial" w:cs="Arial" w:eastAsia="Arial" w:hAnsi="Arial"/>
                <w:sz w:val="18"/>
                <w:szCs w:val="18"/>
                <w:color w:val="000000"/>
                <w:w w:val="91"/>
              </w:rPr>
              <w:t>.</w:t>
            </w:r>
          </w:p>
        </w:tc>
        <w:tc>
          <w:tcPr>
            <w:tcW w:w="6540" w:type="dxa"/>
            <w:vAlign w:val="bottom"/>
            <w:gridSpan w:val="17"/>
          </w:tcPr>
          <w:p>
            <w:pPr>
              <w:spacing w:after="0"/>
              <w:rPr>
                <w:sz w:val="24"/>
                <w:szCs w:val="24"/>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31.2</w:t>
            </w:r>
          </w:p>
        </w:tc>
        <w:tc>
          <w:tcPr>
            <w:tcW w:w="3680" w:type="dxa"/>
            <w:vAlign w:val="bottom"/>
            <w:tcBorders>
              <w:top w:val="single" w:sz="8" w:color="0000EE"/>
            </w:tcBorders>
            <w:gridSpan w:val="6"/>
          </w:tcPr>
          <w:p>
            <w:pPr>
              <w:spacing w:after="0"/>
              <w:rPr>
                <w:rFonts w:ascii="Arial" w:cs="Arial" w:eastAsia="Arial" w:hAnsi="Arial"/>
                <w:sz w:val="18"/>
                <w:szCs w:val="18"/>
                <w:color w:val="0000EE"/>
                <w:w w:val="94"/>
              </w:rPr>
            </w:pPr>
            <w:hyperlink w:anchor="page71">
              <w:r>
                <w:rPr>
                  <w:rFonts w:ascii="Arial" w:cs="Arial" w:eastAsia="Arial" w:hAnsi="Arial"/>
                  <w:sz w:val="18"/>
                  <w:szCs w:val="18"/>
                  <w:color w:val="0000EE"/>
                  <w:w w:val="94"/>
                </w:rPr>
                <w:t>Rule 13a-14(a) Certification of Matthieu Bucaille</w:t>
              </w:r>
            </w:hyperlink>
            <w:r>
              <w:rPr>
                <w:rFonts w:ascii="Arial" w:cs="Arial" w:eastAsia="Arial" w:hAnsi="Arial"/>
                <w:sz w:val="18"/>
                <w:szCs w:val="18"/>
                <w:color w:val="000000"/>
                <w:w w:val="94"/>
              </w:rPr>
              <w:t>.</w:t>
            </w:r>
          </w:p>
        </w:tc>
        <w:tc>
          <w:tcPr>
            <w:tcW w:w="6580" w:type="dxa"/>
            <w:vAlign w:val="bottom"/>
            <w:gridSpan w:val="19"/>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358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60" w:type="dxa"/>
            <w:vAlign w:val="bottom"/>
            <w:gridSpan w:val="20"/>
          </w:tcPr>
          <w:p>
            <w:pPr>
              <w:spacing w:after="0" w:line="20" w:lineRule="exact"/>
              <w:rPr>
                <w:sz w:val="1"/>
                <w:szCs w:val="1"/>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32.1</w:t>
            </w:r>
          </w:p>
        </w:tc>
        <w:tc>
          <w:tcPr>
            <w:tcW w:w="10260" w:type="dxa"/>
            <w:vAlign w:val="bottom"/>
            <w:gridSpan w:val="25"/>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Section 1350 Certification for Kenneth M. Jacobs</w:t>
              </w:r>
            </w:hyperlink>
            <w:r>
              <w:rPr>
                <w:rFonts w:ascii="Arial" w:cs="Arial" w:eastAsia="Arial" w:hAnsi="Arial"/>
                <w:sz w:val="18"/>
                <w:szCs w:val="18"/>
                <w:color w:val="000000"/>
              </w:rPr>
              <w:t>.</w:t>
            </w: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32.2</w:t>
            </w:r>
          </w:p>
        </w:tc>
        <w:tc>
          <w:tcPr>
            <w:tcW w:w="3600" w:type="dxa"/>
            <w:vAlign w:val="bottom"/>
            <w:tcBorders>
              <w:top w:val="single" w:sz="8" w:color="0000EE"/>
            </w:tcBorders>
            <w:gridSpan w:val="5"/>
          </w:tcPr>
          <w:p>
            <w:pPr>
              <w:spacing w:after="0"/>
              <w:rPr>
                <w:rFonts w:ascii="Arial" w:cs="Arial" w:eastAsia="Arial" w:hAnsi="Arial"/>
                <w:sz w:val="18"/>
                <w:szCs w:val="18"/>
                <w:color w:val="0000EE"/>
                <w:w w:val="94"/>
              </w:rPr>
            </w:pPr>
            <w:hyperlink w:anchor="page73">
              <w:r>
                <w:rPr>
                  <w:rFonts w:ascii="Arial" w:cs="Arial" w:eastAsia="Arial" w:hAnsi="Arial"/>
                  <w:sz w:val="18"/>
                  <w:szCs w:val="18"/>
                  <w:color w:val="0000EE"/>
                  <w:w w:val="94"/>
                </w:rPr>
                <w:t>Section 1350 Certification for Matthieu Bucaille.</w:t>
              </w:r>
            </w:hyperlink>
          </w:p>
        </w:tc>
        <w:tc>
          <w:tcPr>
            <w:tcW w:w="6660" w:type="dxa"/>
            <w:vAlign w:val="bottom"/>
            <w:gridSpan w:val="20"/>
          </w:tcPr>
          <w:p>
            <w:pPr>
              <w:spacing w:after="0"/>
              <w:rPr>
                <w:sz w:val="24"/>
                <w:szCs w:val="24"/>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358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XBRL Instance Document</w:t>
            </w:r>
          </w:p>
        </w:tc>
        <w:tc>
          <w:tcPr>
            <w:tcW w:w="6680" w:type="dxa"/>
            <w:vAlign w:val="bottom"/>
            <w:gridSpan w:val="21"/>
          </w:tcPr>
          <w:p>
            <w:pPr>
              <w:spacing w:after="0"/>
              <w:rPr>
                <w:sz w:val="24"/>
                <w:szCs w:val="24"/>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5"/>
          </w:tcPr>
          <w:p>
            <w:pPr>
              <w:spacing w:after="0"/>
              <w:rPr>
                <w:sz w:val="20"/>
                <w:szCs w:val="20"/>
                <w:color w:val="auto"/>
              </w:rPr>
            </w:pPr>
            <w:r>
              <w:rPr>
                <w:rFonts w:ascii="Arial" w:cs="Arial" w:eastAsia="Arial" w:hAnsi="Arial"/>
                <w:sz w:val="18"/>
                <w:szCs w:val="18"/>
                <w:color w:val="auto"/>
              </w:rPr>
              <w:t>XBRL Taxonomy Extension Schema</w:t>
            </w: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5"/>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5"/>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5"/>
          </w:tcPr>
          <w:p>
            <w:pPr>
              <w:spacing w:after="0"/>
              <w:rPr>
                <w:sz w:val="20"/>
                <w:szCs w:val="20"/>
                <w:color w:val="auto"/>
              </w:rPr>
            </w:pPr>
            <w:r>
              <w:rPr>
                <w:rFonts w:ascii="Arial" w:cs="Arial" w:eastAsia="Arial" w:hAnsi="Arial"/>
                <w:sz w:val="18"/>
                <w:szCs w:val="18"/>
                <w:color w:val="auto"/>
              </w:rPr>
              <w:t>XBRL Taxonomy Extension Label Linkbase</w:t>
            </w: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5"/>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2090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4" w:lineRule="exact"/>
        <w:rPr>
          <w:sz w:val="20"/>
          <w:szCs w:val="20"/>
          <w:color w:val="auto"/>
        </w:rPr>
      </w:pPr>
    </w:p>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24" w:right="359" w:bottom="1440" w:gutter="0" w:footer="0" w:header="0"/>
        </w:sectPr>
      </w:pPr>
    </w:p>
    <w:bookmarkStart w:id="66" w:name="page67"/>
    <w:bookmarkEnd w:id="66"/>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52" w:lineRule="exact"/>
        <w:rPr>
          <w:sz w:val="20"/>
          <w:szCs w:val="20"/>
          <w:color w:val="auto"/>
        </w:rPr>
      </w:pPr>
    </w:p>
    <w:p>
      <w:pPr>
        <w:ind w:left="6860"/>
        <w:spacing w:after="0"/>
        <w:tabs>
          <w:tab w:leader="none" w:pos="7480" w:val="left"/>
          <w:tab w:leader="none" w:pos="7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Matthieu Bucaille</w:t>
      </w:r>
    </w:p>
    <w:p>
      <w:pPr>
        <w:spacing w:after="0" w:line="2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-130810</wp:posOffset>
            </wp:positionV>
            <wp:extent cx="24955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tab/>
        <w:t>Chief Financial Officer</w:t>
      </w:r>
    </w:p>
    <w:p>
      <w:pPr>
        <w:spacing w:after="0" w:line="238" w:lineRule="exact"/>
        <w:rPr>
          <w:sz w:val="20"/>
          <w:szCs w:val="20"/>
          <w:color w:val="auto"/>
        </w:rPr>
      </w:pPr>
    </w:p>
    <w:p>
      <w:pPr>
        <w:ind w:left="6860"/>
        <w:spacing w:after="0"/>
        <w:tabs>
          <w:tab w:leader="none" w:pos="7480" w:val="left"/>
          <w:tab w:leader="none" w:pos="7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Dominick Ragone</w:t>
      </w:r>
    </w:p>
    <w:p>
      <w:pPr>
        <w:spacing w:after="0" w:line="2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Dominick Ragone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-130810</wp:posOffset>
            </wp:positionV>
            <wp:extent cx="24955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tab/>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800"/>
          </w:cols>
          <w:pgMar w:left="240" w:top="337" w:right="85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Six Months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4"/>
              <w:spacing w:after="0"/>
              <w:rPr>
                <w:sz w:val="20"/>
                <w:szCs w:val="20"/>
                <w:color w:val="auto"/>
              </w:rPr>
            </w:pPr>
            <w:r>
              <w:rPr>
                <w:rFonts w:ascii="Arial" w:cs="Arial" w:eastAsia="Arial" w:hAnsi="Arial"/>
                <w:sz w:val="14"/>
                <w:szCs w:val="14"/>
                <w:b w:val="1"/>
                <w:bCs w:val="1"/>
                <w:color w:val="auto"/>
                <w:w w:val="93"/>
              </w:rPr>
              <w:t>Ended</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432"/>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2017</w:t>
            </w: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4"/>
          </w:tcPr>
          <w:p>
            <w:pPr>
              <w:jc w:val="right"/>
              <w:ind w:right="312"/>
              <w:spacing w:after="0" w:line="155" w:lineRule="exact"/>
              <w:rPr>
                <w:sz w:val="20"/>
                <w:szCs w:val="20"/>
                <w:color w:val="auto"/>
              </w:rPr>
            </w:pPr>
            <w:r>
              <w:rPr>
                <w:rFonts w:ascii="Arial" w:cs="Arial" w:eastAsia="Arial" w:hAnsi="Arial"/>
                <w:sz w:val="14"/>
                <w:szCs w:val="14"/>
                <w:b w:val="1"/>
                <w:bCs w:val="1"/>
                <w:color w:val="auto"/>
                <w:w w:val="92"/>
              </w:rPr>
              <w:t>(dollars in thousands)</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328,258</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521,993</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530,845</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540,975</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219,009</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121,593</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Add—Fixed charges</w:t>
            </w:r>
          </w:p>
        </w:tc>
        <w:tc>
          <w:tcPr>
            <w:tcW w:w="8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39,696</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77,071</w:t>
            </w:r>
          </w:p>
        </w:tc>
        <w:tc>
          <w:tcPr>
            <w:tcW w:w="3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78,826</w:t>
            </w:r>
          </w:p>
        </w:tc>
        <w:tc>
          <w:tcPr>
            <w:tcW w:w="3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91,691</w:t>
            </w:r>
          </w:p>
        </w:tc>
        <w:tc>
          <w:tcPr>
            <w:tcW w:w="3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111,317</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116,255</w:t>
            </w: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income before fixed charges</w:t>
            </w:r>
          </w:p>
        </w:tc>
        <w:tc>
          <w:tcPr>
            <w:tcW w:w="8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367,954</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599,064</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609,671</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632,666</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330,326</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237,848</w:t>
            </w:r>
          </w:p>
        </w:tc>
        <w:tc>
          <w:tcPr>
            <w:tcW w:w="3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6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(b)</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28,522</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53,730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54,885</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68,205</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87,039</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91,359</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(c)</w:t>
            </w:r>
          </w:p>
        </w:tc>
        <w:tc>
          <w:tcPr>
            <w:tcW w:w="8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11,174</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23,341</w:t>
            </w:r>
          </w:p>
        </w:tc>
        <w:tc>
          <w:tcPr>
            <w:tcW w:w="3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23,941</w:t>
            </w:r>
          </w:p>
        </w:tc>
        <w:tc>
          <w:tcPr>
            <w:tcW w:w="3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23,486</w:t>
            </w:r>
          </w:p>
        </w:tc>
        <w:tc>
          <w:tcPr>
            <w:tcW w:w="3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24,278</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24,896</w:t>
            </w: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fixed charges</w:t>
            </w:r>
          </w:p>
        </w:tc>
        <w:tc>
          <w:tcPr>
            <w:tcW w:w="8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39,696</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77,071</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78,826</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91,691</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111,317</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116,255</w:t>
            </w:r>
          </w:p>
        </w:tc>
        <w:tc>
          <w:tcPr>
            <w:tcW w:w="3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8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340" w:type="dxa"/>
            <w:vAlign w:val="bottom"/>
          </w:tcPr>
          <w:p>
            <w:pPr>
              <w:ind w:left="120"/>
              <w:spacing w:after="0"/>
              <w:rPr>
                <w:sz w:val="20"/>
                <w:szCs w:val="20"/>
                <w:color w:val="auto"/>
              </w:rPr>
            </w:pPr>
            <w:r>
              <w:rPr>
                <w:rFonts w:ascii="Arial" w:cs="Arial" w:eastAsia="Arial" w:hAnsi="Arial"/>
                <w:sz w:val="18"/>
                <w:szCs w:val="18"/>
                <w:color w:val="auto"/>
                <w:w w:val="90"/>
              </w:rPr>
              <w:t>(d)</w:t>
            </w: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320" w:type="dxa"/>
            <w:vAlign w:val="bottom"/>
          </w:tcPr>
          <w:p>
            <w:pPr>
              <w:ind w:left="100"/>
              <w:spacing w:after="0"/>
              <w:rPr>
                <w:sz w:val="20"/>
                <w:szCs w:val="20"/>
                <w:color w:val="auto"/>
              </w:rPr>
            </w:pPr>
            <w:r>
              <w:rPr>
                <w:rFonts w:ascii="Arial" w:cs="Arial" w:eastAsia="Arial" w:hAnsi="Arial"/>
                <w:sz w:val="18"/>
                <w:szCs w:val="18"/>
                <w:color w:val="auto"/>
                <w:w w:val="90"/>
              </w:rPr>
              <w:t>(e)</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320" w:type="dxa"/>
            <w:vAlign w:val="bottom"/>
          </w:tcPr>
          <w:p>
            <w:pPr>
              <w:ind w:left="100"/>
              <w:spacing w:after="0"/>
              <w:rPr>
                <w:sz w:val="20"/>
                <w:szCs w:val="20"/>
                <w:color w:val="auto"/>
              </w:rPr>
            </w:pPr>
            <w:r>
              <w:rPr>
                <w:rFonts w:ascii="Arial" w:cs="Arial" w:eastAsia="Arial" w:hAnsi="Arial"/>
                <w:sz w:val="18"/>
                <w:szCs w:val="18"/>
                <w:color w:val="auto"/>
              </w:rPr>
              <w:t>(f)</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340" w:type="dxa"/>
            <w:vAlign w:val="bottom"/>
          </w:tcPr>
          <w:p>
            <w:pPr>
              <w:ind w:left="120"/>
              <w:spacing w:after="0"/>
              <w:rPr>
                <w:sz w:val="20"/>
                <w:szCs w:val="20"/>
                <w:color w:val="auto"/>
              </w:rPr>
            </w:pPr>
            <w:r>
              <w:rPr>
                <w:rFonts w:ascii="Arial" w:cs="Arial" w:eastAsia="Arial" w:hAnsi="Arial"/>
                <w:sz w:val="18"/>
                <w:szCs w:val="18"/>
                <w:color w:val="auto"/>
                <w:w w:val="90"/>
              </w:rPr>
              <w:t>(g)</w:t>
            </w: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340" w:type="dxa"/>
            <w:vAlign w:val="bottom"/>
          </w:tcPr>
          <w:p>
            <w:pPr>
              <w:ind w:left="120"/>
              <w:spacing w:after="0"/>
              <w:rPr>
                <w:sz w:val="20"/>
                <w:szCs w:val="20"/>
                <w:color w:val="auto"/>
              </w:rPr>
            </w:pPr>
            <w:r>
              <w:rPr>
                <w:rFonts w:ascii="Arial" w:cs="Arial" w:eastAsia="Arial" w:hAnsi="Arial"/>
                <w:sz w:val="18"/>
                <w:szCs w:val="18"/>
                <w:color w:val="auto"/>
                <w:w w:val="90"/>
              </w:rPr>
              <w:t>(h)</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540" w:type="dxa"/>
            <w:vAlign w:val="bottom"/>
            <w:tcBorders>
              <w:bottom w:val="single" w:sz="8" w:color="auto"/>
            </w:tcBorders>
          </w:tcPr>
          <w:p>
            <w:pPr>
              <w:spacing w:after="0"/>
              <w:rPr>
                <w:sz w:val="6"/>
                <w:szCs w:val="6"/>
                <w:color w:val="auto"/>
              </w:rPr>
            </w:pPr>
          </w:p>
        </w:tc>
        <w:tc>
          <w:tcPr>
            <w:tcW w:w="2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17" w:lineRule="exact"/>
        <w:rPr>
          <w:sz w:val="20"/>
          <w:szCs w:val="20"/>
          <w:color w:val="auto"/>
        </w:rPr>
      </w:pPr>
    </w:p>
    <w:p>
      <w:pPr>
        <w:ind w:left="520" w:hanging="512"/>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117" w:lineRule="exact"/>
        <w:rPr>
          <w:rFonts w:ascii="Arial" w:cs="Arial" w:eastAsia="Arial" w:hAnsi="Arial"/>
          <w:sz w:val="18"/>
          <w:szCs w:val="18"/>
          <w:color w:val="auto"/>
        </w:rPr>
      </w:pPr>
    </w:p>
    <w:p>
      <w:pPr>
        <w:ind w:left="520" w:right="320" w:hanging="512"/>
        <w:spacing w:after="0" w:line="277"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117" w:lineRule="exact"/>
        <w:rPr>
          <w:rFonts w:ascii="Arial" w:cs="Arial" w:eastAsia="Arial" w:hAnsi="Arial"/>
          <w:sz w:val="18"/>
          <w:szCs w:val="18"/>
          <w:color w:val="auto"/>
        </w:rPr>
      </w:pPr>
    </w:p>
    <w:p>
      <w:pPr>
        <w:ind w:left="520" w:right="20" w:hanging="512"/>
        <w:spacing w:after="0" w:line="279"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Operating income for the six months ended June 30, 2017 is presented after giving effect to a charge of (i) $744 of acquisition-related costs, (ii) $8,861 of expenses associated with the ERP system implementation and (iii) $3,161 of expenses related to office space reorganization. Excluding the impact of such charges, the ratio of earnings to fixed charges would have been 9.41.</w:t>
      </w:r>
    </w:p>
    <w:p>
      <w:pPr>
        <w:spacing w:after="0" w:line="61" w:lineRule="exact"/>
        <w:rPr>
          <w:rFonts w:ascii="Arial" w:cs="Arial" w:eastAsia="Arial" w:hAnsi="Arial"/>
          <w:sz w:val="18"/>
          <w:szCs w:val="18"/>
          <w:color w:val="auto"/>
        </w:rPr>
      </w:pPr>
    </w:p>
    <w:p>
      <w:pPr>
        <w:ind w:left="520" w:right="40" w:hanging="512"/>
        <w:spacing w:after="0" w:line="297" w:lineRule="auto"/>
        <w:tabs>
          <w:tab w:leader="none" w:pos="5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2016 is presented after giving effect to a charge of (i) $3,148 associated with the redemption of the remaining portion of the 2017 Notes, (ii) $599 excess interest expense due to the period of time between the issuance of the 2027 Notes and the settlement of the redemption of the 6.85% senior notes due June 2017 ( the “2017 Notes”), (iii) $30,991 of acquisition-related costs and (iv) $12,668 gain on the acquisition of MBA Lazard (which resulted from the increase in the fair value of the Company’s investment in MBA Lazard prior to the acquisition). Excluding the impact of such charges, the ratio of earnings to fixed charges would have been 8.11.</w:t>
      </w:r>
    </w:p>
    <w:p>
      <w:pPr>
        <w:spacing w:after="0" w:line="50" w:lineRule="exact"/>
        <w:rPr>
          <w:rFonts w:ascii="Arial" w:cs="Arial" w:eastAsia="Arial" w:hAnsi="Arial"/>
          <w:sz w:val="16"/>
          <w:szCs w:val="16"/>
          <w:color w:val="auto"/>
        </w:rPr>
      </w:pPr>
    </w:p>
    <w:p>
      <w:pPr>
        <w:ind w:left="520" w:hanging="512"/>
        <w:spacing w:after="0"/>
        <w:tabs>
          <w:tab w:leader="none" w:pos="5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2015 is presented after giving effect to a charge of (i) $60,219 associated with the redemption of</w:t>
      </w:r>
    </w:p>
    <w:p>
      <w:pPr>
        <w:spacing w:after="0" w:line="46" w:lineRule="exact"/>
        <w:rPr>
          <w:rFonts w:ascii="Arial" w:cs="Arial" w:eastAsia="Arial" w:hAnsi="Arial"/>
          <w:sz w:val="16"/>
          <w:szCs w:val="16"/>
          <w:color w:val="auto"/>
        </w:rPr>
      </w:pPr>
    </w:p>
    <w:p>
      <w:pPr>
        <w:ind w:left="520" w:right="20"/>
        <w:spacing w:after="0" w:line="255" w:lineRule="auto"/>
        <w:rPr>
          <w:rFonts w:ascii="Arial" w:cs="Arial" w:eastAsia="Arial" w:hAnsi="Arial"/>
          <w:sz w:val="16"/>
          <w:szCs w:val="16"/>
          <w:color w:val="auto"/>
        </w:rPr>
      </w:pPr>
      <w:r>
        <w:rPr>
          <w:rFonts w:ascii="Arial" w:cs="Arial" w:eastAsia="Arial" w:hAnsi="Arial"/>
          <w:sz w:val="18"/>
          <w:szCs w:val="18"/>
          <w:color w:val="auto"/>
        </w:rPr>
        <w:t>$450 million of the 2017 Notes, (ii) $2,655 excess interest expense due to the period of time between the issuance of the 2025 Notes and the settlement of the redemption of the 2017 Notes and (iii) $12,203 relating to a private equity revenue adjustment. Excluding the impact of such items, the ratio of earnings to fixed charges would have been 8.64.</w:t>
      </w:r>
    </w:p>
    <w:p>
      <w:pPr>
        <w:spacing w:after="0" w:line="82" w:lineRule="exact"/>
        <w:rPr>
          <w:rFonts w:ascii="Arial" w:cs="Arial" w:eastAsia="Arial" w:hAnsi="Arial"/>
          <w:sz w:val="16"/>
          <w:szCs w:val="16"/>
          <w:color w:val="auto"/>
        </w:rPr>
      </w:pPr>
    </w:p>
    <w:p>
      <w:pPr>
        <w:ind w:left="520" w:right="260" w:hanging="512"/>
        <w:spacing w:after="0" w:line="259"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2013 is presented after giving effect to a charge of (i) $64,703 associated with the cost saving initiatives announced by the Company in October 2012, (ii) $54,087 pertaining to the refinancing of the 7.125% senior notes due May 2015 and the issuance of the 2020 Notes and (iii) $12,203 relating to private equity incentive compensation. Excluding the impact of such charge, the ratio of earnings to fixed charges would have been 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ind w:left="512" w:hanging="512"/>
        <w:spacing w:after="0" w:line="257" w:lineRule="auto"/>
        <w:tabs>
          <w:tab w:leader="none" w:pos="512" w:val="left"/>
        </w:tabs>
        <w:numPr>
          <w:ilvl w:val="0"/>
          <w:numId w:val="57"/>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and (ii) a charge in the fourth quarter of $102,576 associated with the cost saving initiatives announced by the Company in October 2012. Excluding the impact of such items, the ratio of earnings to fixed charges would have been 3.14.</w:t>
      </w:r>
    </w:p>
    <w:p>
      <w:pPr>
        <w:sectPr>
          <w:pgSz w:w="11900" w:h="16838" w:orient="portrait"/>
          <w:cols w:equalWidth="0" w:num="1">
            <w:col w:w="11312"/>
          </w:cols>
          <w:pgMar w:left="248" w:top="125"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Kenneth M. Jacobs, certify that:</w:t>
      </w:r>
    </w:p>
    <w:p>
      <w:pPr>
        <w:spacing w:after="0" w:line="117" w:lineRule="exact"/>
        <w:rPr>
          <w:sz w:val="20"/>
          <w:szCs w:val="20"/>
          <w:color w:val="auto"/>
        </w:rPr>
      </w:pPr>
    </w:p>
    <w:p>
      <w:pPr>
        <w:ind w:left="700" w:hanging="174"/>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2017 of Lazard Group LLC (the “Registrant”);</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2017</w:t>
      </w:r>
    </w:p>
    <w:p>
      <w:pPr>
        <w:spacing w:after="0" w:line="25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337"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Matthieu Bucaille, certify that:</w:t>
      </w:r>
    </w:p>
    <w:p>
      <w:pPr>
        <w:spacing w:after="0" w:line="117" w:lineRule="exact"/>
        <w:rPr>
          <w:sz w:val="20"/>
          <w:szCs w:val="20"/>
          <w:color w:val="auto"/>
        </w:rPr>
      </w:pPr>
    </w:p>
    <w:p>
      <w:pPr>
        <w:ind w:left="700" w:hanging="174"/>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2017 of Lazard Group LLC (the “Registrant”);</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5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June 30, 2017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337"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June 30, 2017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1."/>
      <w:numFmt w:val="decimal"/>
      <w:start w:val="2"/>
    </w:lvl>
  </w:abstractNum>
  <w:abstractNum w:abstractNumId="7">
    <w:nsid w:val="3006C83E"/>
    <w:multiLevelType w:val="hybridMultilevel"/>
    <w:lvl w:ilvl="0">
      <w:lvlJc w:val="left"/>
      <w:lvlText w:val="%1."/>
      <w:numFmt w:val="decimal"/>
      <w:start w:val="3"/>
    </w:lvl>
  </w:abstractNum>
  <w:abstractNum w:abstractNumId="8">
    <w:nsid w:val="614FD4A1"/>
    <w:multiLevelType w:val="hybridMultilevel"/>
    <w:lvl w:ilvl="0">
      <w:lvlJc w:val="left"/>
      <w:lvlText w:val="%1."/>
      <w:numFmt w:val="decimal"/>
      <w:start w:val="4"/>
    </w:lvl>
  </w:abstractNum>
  <w:abstractNum w:abstractNumId="9">
    <w:nsid w:val="419AC241"/>
    <w:multiLevelType w:val="hybridMultilevel"/>
    <w:lvl w:ilvl="0">
      <w:lvlJc w:val="left"/>
      <w:lvlText w:val="(%1)"/>
      <w:numFmt w:val="lowerLetter"/>
      <w:start w:val="1"/>
    </w:lvl>
  </w:abstractNum>
  <w:abstractNum w:abstractNumId="10">
    <w:nsid w:val="5577F8E1"/>
    <w:multiLevelType w:val="hybridMultilevel"/>
    <w:lvl w:ilvl="0">
      <w:lvlJc w:val="left"/>
      <w:lvlText w:val="%1."/>
      <w:numFmt w:val="decimal"/>
      <w:start w:val="5"/>
    </w:lvl>
  </w:abstractNum>
  <w:abstractNum w:abstractNumId="11">
    <w:nsid w:val="440BADFC"/>
    <w:multiLevelType w:val="hybridMultilevel"/>
    <w:lvl w:ilvl="0">
      <w:lvlJc w:val="left"/>
      <w:lvlText w:val="(%1)"/>
      <w:numFmt w:val="lowerLetter"/>
      <w:start w:val="1"/>
    </w:lvl>
  </w:abstractNum>
  <w:abstractNum w:abstractNumId="12">
    <w:nsid w:val="5072367"/>
    <w:multiLevelType w:val="hybridMultilevel"/>
    <w:lvl w:ilvl="0">
      <w:lvlJc w:val="left"/>
      <w:lvlText w:val="(%1)"/>
      <w:numFmt w:val="lowerLetter"/>
      <w:start w:val="1"/>
    </w:lvl>
  </w:abstractNum>
  <w:abstractNum w:abstractNumId="13">
    <w:nsid w:val="3804823E"/>
    <w:multiLevelType w:val="hybridMultilevel"/>
    <w:lvl w:ilvl="0">
      <w:lvlJc w:val="left"/>
      <w:lvlText w:val="(%1)"/>
      <w:numFmt w:val="lowerLetter"/>
      <w:start w:val="1"/>
    </w:lvl>
  </w:abstractNum>
  <w:abstractNum w:abstractNumId="14">
    <w:nsid w:val="77465F01"/>
    <w:multiLevelType w:val="hybridMultilevel"/>
    <w:lvl w:ilvl="0">
      <w:lvlJc w:val="left"/>
      <w:lvlText w:val="%1."/>
      <w:numFmt w:val="decimal"/>
      <w:start w:val="6"/>
    </w:lvl>
  </w:abstractNum>
  <w:abstractNum w:abstractNumId="15">
    <w:nsid w:val="7724C67E"/>
    <w:multiLevelType w:val="hybridMultilevel"/>
    <w:lvl w:ilvl="0">
      <w:lvlJc w:val="left"/>
      <w:lvlText w:val="(%1)"/>
      <w:numFmt w:val="lowerLetter"/>
      <w:start w:val="1"/>
    </w:lvl>
  </w:abstractNum>
  <w:abstractNum w:abstractNumId="16">
    <w:nsid w:val="5C482A97"/>
    <w:multiLevelType w:val="hybridMultilevel"/>
    <w:lvl w:ilvl="0">
      <w:lvlJc w:val="left"/>
      <w:lvlText w:val="%1."/>
      <w:numFmt w:val="decimal"/>
      <w:start w:val="7"/>
    </w:lvl>
  </w:abstractNum>
  <w:abstractNum w:abstractNumId="17">
    <w:nsid w:val="2463B9EA"/>
    <w:multiLevelType w:val="hybridMultilevel"/>
    <w:lvl w:ilvl="0">
      <w:lvlJc w:val="left"/>
      <w:lvlText w:val="%1."/>
      <w:numFmt w:val="decimal"/>
      <w:start w:val="8"/>
    </w:lvl>
  </w:abstractNum>
  <w:abstractNum w:abstractNumId="18">
    <w:nsid w:val="5E884ADC"/>
    <w:multiLevelType w:val="hybridMultilevel"/>
    <w:lvl w:ilvl="0">
      <w:lvlJc w:val="left"/>
      <w:lvlText w:val="%1"/>
      <w:numFmt w:val="decimal"/>
      <w:start w:val="1"/>
    </w:lvl>
    <w:lvl w:ilvl="1">
      <w:lvlJc w:val="left"/>
      <w:lvlText w:val="(%2)"/>
      <w:numFmt w:val="lowerLetter"/>
      <w:start w:val="1"/>
    </w:lvl>
  </w:abstractNum>
  <w:abstractNum w:abstractNumId="19">
    <w:nsid w:val="51EAD36B"/>
    <w:multiLevelType w:val="hybridMultilevel"/>
    <w:lvl w:ilvl="0">
      <w:lvlJc w:val="left"/>
      <w:lvlText w:val="%1."/>
      <w:numFmt w:val="decimal"/>
      <w:start w:val="9"/>
    </w:lvl>
    <w:lvl w:ilvl="1">
      <w:lvlJc w:val="left"/>
      <w:lvlText w:val="%2"/>
      <w:numFmt w:val="lowerLetter"/>
      <w:start w:val="1"/>
    </w:lvl>
  </w:abstractNum>
  <w:abstractNum w:abstractNumId="20">
    <w:nsid w:val="2D517796"/>
    <w:multiLevelType w:val="hybridMultilevel"/>
    <w:lvl w:ilvl="0">
      <w:lvlJc w:val="left"/>
      <w:lvlText w:val="(%1)"/>
      <w:numFmt w:val="lowerLetter"/>
      <w:start w:val="1"/>
    </w:lvl>
  </w:abstractNum>
  <w:abstractNum w:abstractNumId="21">
    <w:nsid w:val="580BD78F"/>
    <w:multiLevelType w:val="hybridMultilevel"/>
    <w:lvl w:ilvl="0">
      <w:lvlJc w:val="left"/>
      <w:lvlText w:val="%1."/>
      <w:numFmt w:val="decimal"/>
      <w:start w:val="10"/>
    </w:lvl>
  </w:abstractNum>
  <w:abstractNum w:abstractNumId="22">
    <w:nsid w:val="153EA438"/>
    <w:multiLevelType w:val="hybridMultilevel"/>
    <w:lvl w:ilvl="0">
      <w:lvlJc w:val="left"/>
      <w:lvlText w:val="%1."/>
      <w:numFmt w:val="decimal"/>
      <w:start w:val="11"/>
    </w:lvl>
  </w:abstractNum>
  <w:abstractNum w:abstractNumId="23">
    <w:nsid w:val="3855585C"/>
    <w:multiLevelType w:val="hybridMultilevel"/>
    <w:lvl w:ilvl="0">
      <w:lvlJc w:val="left"/>
      <w:lvlText w:val="(%1)"/>
      <w:numFmt w:val="lowerLetter"/>
      <w:start w:val="1"/>
    </w:lvl>
  </w:abstractNum>
  <w:abstractNum w:abstractNumId="24">
    <w:nsid w:val="70A64E2A"/>
    <w:multiLevelType w:val="hybridMultilevel"/>
    <w:lvl w:ilvl="0">
      <w:lvlJc w:val="left"/>
      <w:lvlText w:val="%1."/>
      <w:numFmt w:val="decimal"/>
      <w:start w:val="12"/>
    </w:lvl>
  </w:abstractNum>
  <w:abstractNum w:abstractNumId="25">
    <w:nsid w:val="6A2342EC"/>
    <w:multiLevelType w:val="hybridMultilevel"/>
    <w:lvl w:ilvl="0">
      <w:lvlJc w:val="left"/>
      <w:lvlText w:val="(%1)"/>
      <w:numFmt w:val="lowerLetter"/>
      <w:start w:val="1"/>
    </w:lvl>
  </w:abstractNum>
  <w:abstractNum w:abstractNumId="26">
    <w:nsid w:val="2A487CB0"/>
    <w:multiLevelType w:val="hybridMultilevel"/>
    <w:lvl w:ilvl="0">
      <w:lvlJc w:val="left"/>
      <w:lvlText w:val="%1."/>
      <w:numFmt w:val="decimal"/>
      <w:start w:val="13"/>
    </w:lvl>
  </w:abstractNum>
  <w:abstractNum w:abstractNumId="27">
    <w:nsid w:val="1D4ED43B"/>
    <w:multiLevelType w:val="hybridMultilevel"/>
    <w:lvl w:ilvl="0">
      <w:lvlJc w:val="left"/>
      <w:lvlText w:val="%1."/>
      <w:numFmt w:val="decimal"/>
      <w:start w:val="14"/>
    </w:lvl>
  </w:abstractNum>
  <w:abstractNum w:abstractNumId="28">
    <w:nsid w:val="725A06FB"/>
    <w:multiLevelType w:val="hybridMultilevel"/>
    <w:lvl w:ilvl="0">
      <w:lvlJc w:val="left"/>
      <w:lvlText w:val="%1."/>
      <w:numFmt w:val="decimal"/>
      <w:start w:val="15"/>
    </w:lvl>
  </w:abstractNum>
  <w:abstractNum w:abstractNumId="29">
    <w:nsid w:val="2CD89A32"/>
    <w:multiLevelType w:val="hybridMultilevel"/>
    <w:lvl w:ilvl="0">
      <w:lvlJc w:val="left"/>
      <w:lvlText w:val="%1."/>
      <w:numFmt w:val="decimal"/>
      <w:start w:val="16"/>
    </w:lvl>
  </w:abstractNum>
  <w:abstractNum w:abstractNumId="30">
    <w:nsid w:val="57E4CCAF"/>
    <w:multiLevelType w:val="hybridMultilevel"/>
    <w:lvl w:ilvl="0">
      <w:lvlJc w:val="left"/>
      <w:lvlText w:val="%1."/>
      <w:numFmt w:val="decimal"/>
      <w:start w:val="17"/>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lvl w:ilvl="1">
      <w:lvlJc w:val="left"/>
      <w:lvlText w:val="(%2)"/>
      <w:numFmt w:val="lowerRoman"/>
      <w:start w:val="1"/>
    </w:lvl>
  </w:abstractNum>
  <w:abstractNum w:abstractNumId="39">
    <w:nsid w:val="579478FE"/>
    <w:multiLevelType w:val="hybridMultilevel"/>
    <w:lvl w:ilvl="0">
      <w:lvlJc w:val="left"/>
      <w:lvlText w:val="(%1)"/>
      <w:numFmt w:val="lowerLetter"/>
      <w:start w:val="1"/>
    </w:lvl>
  </w:abstractNum>
  <w:abstractNum w:abstractNumId="40">
    <w:nsid w:val="749ABB43"/>
    <w:multiLevelType w:val="hybridMultilevel"/>
    <w:lvl w:ilvl="0">
      <w:lvlJc w:val="left"/>
      <w:lvlText w:val="(%1)"/>
      <w:numFmt w:val="lowerLetter"/>
      <w:start w:val="1"/>
    </w:lvl>
  </w:abstractNum>
  <w:abstractNum w:abstractNumId="41">
    <w:nsid w:val="3DC240FB"/>
    <w:multiLevelType w:val="hybridMultilevel"/>
    <w:lvl w:ilvl="0">
      <w:lvlJc w:val="left"/>
      <w:lvlText w:val="(%1)"/>
      <w:numFmt w:val="lowerLetter"/>
      <w:start w:val="1"/>
    </w:lvl>
  </w:abstractNum>
  <w:abstractNum w:abstractNumId="42">
    <w:nsid w:val="1BA026FA"/>
    <w:multiLevelType w:val="hybridMultilevel"/>
    <w:lvl w:ilvl="0">
      <w:lvlJc w:val="left"/>
      <w:lvlText w:val="(%1)"/>
      <w:numFmt w:val="lowerRoman"/>
      <w:start w:val="2"/>
    </w:lvl>
  </w:abstractNum>
  <w:abstractNum w:abstractNumId="43">
    <w:nsid w:val="79A1DEAA"/>
    <w:multiLevelType w:val="hybridMultilevel"/>
    <w:lvl w:ilvl="0">
      <w:lvlJc w:val="left"/>
      <w:lvlText w:val="(%1)"/>
      <w:numFmt w:val="lowerLetter"/>
      <w:start w:val="1"/>
    </w:lvl>
  </w:abstractNum>
  <w:abstractNum w:abstractNumId="44">
    <w:nsid w:val="75C6C33A"/>
    <w:multiLevelType w:val="hybridMultilevel"/>
    <w:lvl w:ilvl="0">
      <w:lvlJc w:val="left"/>
      <w:lvlText w:val="(%1)"/>
      <w:numFmt w:val="lowerLetter"/>
      <w:start w:val="1"/>
    </w:lvl>
  </w:abstractNum>
  <w:abstractNum w:abstractNumId="45">
    <w:nsid w:val="12E685FB"/>
    <w:multiLevelType w:val="hybridMultilevel"/>
    <w:lvl w:ilvl="0">
      <w:lvlJc w:val="left"/>
      <w:lvlText w:val="(%1)"/>
      <w:numFmt w:val="lowerLetter"/>
      <w:start w:val="2"/>
    </w:lvl>
  </w:abstractNum>
  <w:abstractNum w:abstractNumId="46">
    <w:nsid w:val="70C6A529"/>
    <w:multiLevelType w:val="hybridMultilevel"/>
    <w:lvl w:ilvl="0">
      <w:lvlJc w:val="left"/>
      <w:lvlText w:val="(%1)"/>
      <w:numFmt w:val="lowerLetter"/>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1)"/>
      <w:numFmt w:val="lowerLetter"/>
      <w:start w:val="2"/>
    </w:lvl>
  </w:abstractNum>
  <w:abstractNum w:abstractNumId="51">
    <w:nsid w:val="649BB77C"/>
    <w:multiLevelType w:val="hybridMultilevel"/>
    <w:lvl w:ilvl="0">
      <w:lvlJc w:val="left"/>
      <w:lvlText w:val="(%1)"/>
      <w:numFmt w:val="lowerLetter"/>
      <w:start w:val="5"/>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lowerLetter"/>
      <w:start w:val="1"/>
    </w:lvl>
    <w:lvl w:ilvl="1">
      <w:lvlJc w:val="left"/>
      <w:lvlText w:val="•"/>
      <w:numFmt w:val="bullet"/>
      <w:start w:val="1"/>
    </w:lvl>
  </w:abstractNum>
  <w:abstractNum w:abstractNumId="56">
    <w:nsid w:val="235BA861"/>
    <w:multiLevelType w:val="hybridMultilevel"/>
    <w:lvl w:ilvl="0">
      <w:lvlJc w:val="left"/>
      <w:lvlText w:val="(%1)"/>
      <w:numFmt w:val="lowerLetter"/>
      <w:start w:val="8"/>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24" Type="http://schemas.openxmlformats.org/officeDocument/2006/relationships/image" Target="media/image89.png"/><Relationship Id="rId125" Type="http://schemas.openxmlformats.org/officeDocument/2006/relationships/image" Target="media/image90.png"/><Relationship Id="rId126" Type="http://schemas.openxmlformats.org/officeDocument/2006/relationships/image" Target="media/image91.png"/><Relationship Id="rId127" Type="http://schemas.openxmlformats.org/officeDocument/2006/relationships/image" Target="media/image92.png"/><Relationship Id="rId128" Type="http://schemas.openxmlformats.org/officeDocument/2006/relationships/image" Target="media/image93.png"/><Relationship Id="rId129" Type="http://schemas.openxmlformats.org/officeDocument/2006/relationships/image" Target="media/image94.png"/><Relationship Id="rId130" Type="http://schemas.openxmlformats.org/officeDocument/2006/relationships/image" Target="media/image95.png"/><Relationship Id="rId131" Type="http://schemas.openxmlformats.org/officeDocument/2006/relationships/image" Target="media/image96.png"/><Relationship Id="rId132" Type="http://schemas.openxmlformats.org/officeDocument/2006/relationships/image" Target="media/image97.png"/><Relationship Id="rId94" Type="http://schemas.openxmlformats.org/officeDocument/2006/relationships/hyperlink" Target="http://www.sec.gov/Archives/edgar/data/1326141/000119312505145683/dex31.htm" TargetMode="External"/><Relationship Id="rId95" Type="http://schemas.openxmlformats.org/officeDocument/2006/relationships/hyperlink" Target="http://www.sec.gov/Archives/edgar/data/1326141/000119312505145683/dex32.htm" TargetMode="External"/><Relationship Id="rId96" Type="http://schemas.openxmlformats.org/officeDocument/2006/relationships/hyperlink" Target="http://www.sec.gov/Archives/edgar/data/1326141/000119312515355050/d40575dex33.htm" TargetMode="External"/><Relationship Id="rId97" Type="http://schemas.openxmlformats.org/officeDocument/2006/relationships/hyperlink" Target="http://www.sec.gov/Archives/edgar/data/1326141/000156459016026508/lzd-ex34_617.htm" TargetMode="External"/><Relationship Id="rId98" Type="http://schemas.openxmlformats.org/officeDocument/2006/relationships/hyperlink" Target="http://www.sec.gov/Archives/edgar/data/1326141/000119312505145683/dex41.htm" TargetMode="External"/><Relationship Id="rId99" Type="http://schemas.openxmlformats.org/officeDocument/2006/relationships/hyperlink" Target="http://www.sec.gov/Archives/edgar/data/1326141/000119312507140250/dex41.htm" TargetMode="External"/><Relationship Id="rId100" Type="http://schemas.openxmlformats.org/officeDocument/2006/relationships/hyperlink" Target="http://www.sec.gov/Archives/edgar/data/1326141/000119312513442331/d627938dex41.htm" TargetMode="External"/><Relationship Id="rId101" Type="http://schemas.openxmlformats.org/officeDocument/2006/relationships/hyperlink" Target="http://www.sec.gov/Archives/edgar/data/1326141/000119312515050372/d871109dex41.htm" TargetMode="External"/><Relationship Id="rId102" Type="http://schemas.openxmlformats.org/officeDocument/2006/relationships/hyperlink" Target="http://www.sec.gov/Archives/edgar/data/1326141/000119312516760474/d275674dex41.htm" TargetMode="External"/><Relationship Id="rId103" Type="http://schemas.openxmlformats.org/officeDocument/2006/relationships/hyperlink" Target="http://www.sec.gov/Archives/edgar/data/1311370/000119312505025486/dex1019.htm" TargetMode="External"/><Relationship Id="rId104" Type="http://schemas.openxmlformats.org/officeDocument/2006/relationships/hyperlink" Target="http://www.sec.gov/Archives/edgar/data/1326141/000119312511117049/dex1015.htm" TargetMode="External"/><Relationship Id="rId105" Type="http://schemas.openxmlformats.org/officeDocument/2006/relationships/hyperlink" Target="http://www.sec.gov/Archives/edgar/data/1311370/000119312505025486/dex1021.htm" TargetMode="External"/><Relationship Id="rId106" Type="http://schemas.openxmlformats.org/officeDocument/2006/relationships/hyperlink" Target="http://www.sec.gov/Archives/edgar/data/1311370/000119312505091140/dex1021.htm" TargetMode="External"/><Relationship Id="rId107" Type="http://schemas.openxmlformats.org/officeDocument/2006/relationships/hyperlink" Target="http://www.sec.gov/Archives/edgar/data/1311370/000119312508063107/ddef14a.htm" TargetMode="External"/><Relationship Id="rId108" Type="http://schemas.openxmlformats.org/officeDocument/2006/relationships/hyperlink" Target="http://www.sec.gov/Archives/edgar/data/1311370/000119312516500308/d128121ddef14a.htm" TargetMode="External"/><Relationship Id="rId109" Type="http://schemas.openxmlformats.org/officeDocument/2006/relationships/hyperlink" Target="http://www.sec.gov/Archives/edgar/data/1326141/000119312516556968/d177065dex107.htm" TargetMode="External"/><Relationship Id="rId112" Type="http://schemas.openxmlformats.org/officeDocument/2006/relationships/hyperlink" Target="http://www.sec.gov/Archives/edgar/data/1326141/000119312516556968/d177065dex108.htm" TargetMode="External"/><Relationship Id="rId113" Type="http://schemas.openxmlformats.org/officeDocument/2006/relationships/hyperlink" Target="http://www.sec.gov/Archives/edgar/data/1326141/000119312516556968/d177065dex109.htm" TargetMode="External"/><Relationship Id="rId114" Type="http://schemas.openxmlformats.org/officeDocument/2006/relationships/hyperlink" Target="http://www.sec.gov/Archives/edgar/data/1326141/000119312516556968/d177065dex1010.htm" TargetMode="External"/><Relationship Id="rId115" Type="http://schemas.openxmlformats.org/officeDocument/2006/relationships/hyperlink" Target="http://www.sec.gov/Archives/edgar/data/1326141/000119312516556968/d177065dex1011.htm" TargetMode="External"/><Relationship Id="rId116" Type="http://schemas.openxmlformats.org/officeDocument/2006/relationships/hyperlink" Target="http://www.sec.gov/Archives/edgar/data/1311370/000089882205001180/sept9_exhibit.txt" TargetMode="External"/><Relationship Id="rId117" Type="http://schemas.openxmlformats.org/officeDocument/2006/relationships/hyperlink" Target="http://www.sec.gov/Archives/edgar/data/1311370/000119312509041325/dex1041.htm" TargetMode="External"/><Relationship Id="rId118" Type="http://schemas.openxmlformats.org/officeDocument/2006/relationships/hyperlink" Target="http://www.sec.gov/Archives/edgar/data/1311370/000119312509041325/dex1042.htm" TargetMode="External"/><Relationship Id="rId119" Type="http://schemas.openxmlformats.org/officeDocument/2006/relationships/hyperlink" Target="http://www.sec.gov/Archives/edgar/data/1311370/000119312506109044/dex1039.htm" TargetMode="External"/><Relationship Id="rId120" Type="http://schemas.openxmlformats.org/officeDocument/2006/relationships/hyperlink" Target="http://www.sec.gov/Archives/edgar/data/1326141/000119312515355050/d40575dex1025.htm" TargetMode="External"/><Relationship Id="rId121" Type="http://schemas.openxmlformats.org/officeDocument/2006/relationships/hyperlink" Target="http://www.sec.gov/Archives/edgar/data/1326141/000119312513188145/d507153dex1054.htm" TargetMode="External"/><Relationship Id="rId122" Type="http://schemas.openxmlformats.org/officeDocument/2006/relationships/hyperlink" Target="http://www.sec.gov/Archives/edgar/data/1326141/000119312514185018/d700862dex1054.htm" TargetMode="External"/><Relationship Id="rId123" Type="http://schemas.openxmlformats.org/officeDocument/2006/relationships/hyperlink" Target="http://www.sec.gov/Archives/edgar/data/1326141/000119312514185018/d700862dex105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2019-12-29T05:10:04Z</dcterms:created>
  <dcterms:modified xsi:type="dcterms:W3CDTF">2019-12-29T05:10:04Z</dcterms:modified>
</cp:coreProperties>
</file>