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121920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2" w:lineRule="exact"/>
        <w:rPr>
          <w:sz w:val="24"/>
          <w:szCs w:val="24"/>
          <w:color w:val="auto"/>
        </w:rPr>
      </w:pPr>
    </w:p>
    <w:p>
      <w:pPr>
        <w:ind w:left="580" w:right="320" w:hanging="572"/>
        <w:spacing w:after="0" w:line="262" w:lineRule="auto"/>
        <w:tabs>
          <w:tab w:leader="none" w:pos="5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580" w:right="320" w:hanging="572"/>
        <w:spacing w:after="0" w:line="262" w:lineRule="auto"/>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195"/>
        </w:trPr>
        <w:tc>
          <w:tcPr>
            <w:tcW w:w="232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1040" w:type="dxa"/>
            <w:vAlign w:val="bottom"/>
            <w:tcBorders>
              <w:bottom w:val="single" w:sz="8" w:color="auto"/>
            </w:tcBorders>
          </w:tcPr>
          <w:p>
            <w:pPr>
              <w:spacing w:after="0"/>
              <w:rPr>
                <w:sz w:val="16"/>
                <w:szCs w:val="16"/>
                <w:color w:val="auto"/>
              </w:rPr>
            </w:pPr>
          </w:p>
        </w:tc>
        <w:tc>
          <w:tcPr>
            <w:tcW w:w="240" w:type="dxa"/>
            <w:vAlign w:val="bottom"/>
          </w:tcPr>
          <w:p>
            <w:pPr>
              <w:ind w:left="40"/>
              <w:spacing w:after="0" w:line="195" w:lineRule="exact"/>
              <w:rPr>
                <w:sz w:val="20"/>
                <w:szCs w:val="20"/>
                <w:color w:val="auto"/>
              </w:rPr>
            </w:pPr>
            <w:r>
              <w:rPr>
                <w:rFonts w:ascii="Times New Roman" w:cs="Times New Roman" w:eastAsia="Times New Roman" w:hAnsi="Times New Roman"/>
                <w:sz w:val="18"/>
                <w:szCs w:val="18"/>
                <w:b w:val="1"/>
                <w:bCs w:val="1"/>
                <w:color w:val="auto"/>
              </w:rPr>
              <w:t>to</w:t>
            </w:r>
          </w:p>
        </w:tc>
        <w:tc>
          <w:tcPr>
            <w:tcW w:w="1060" w:type="dxa"/>
            <w:vAlign w:val="bottom"/>
            <w:tcBorders>
              <w:bottom w:val="single" w:sz="8" w:color="auto"/>
            </w:tcBorders>
          </w:tcPr>
          <w:p>
            <w:pPr>
              <w:spacing w:after="0"/>
              <w:rPr>
                <w:sz w:val="16"/>
                <w:szCs w:val="16"/>
                <w:color w:val="auto"/>
              </w:rPr>
            </w:pPr>
          </w:p>
        </w:tc>
        <w:tc>
          <w:tcPr>
            <w:tcW w:w="1500" w:type="dxa"/>
            <w:vAlign w:val="bottom"/>
          </w:tcPr>
          <w:p>
            <w:pPr>
              <w:spacing w:after="0"/>
              <w:rPr>
                <w:sz w:val="16"/>
                <w:szCs w:val="16"/>
                <w:color w:val="auto"/>
              </w:rPr>
            </w:pPr>
          </w:p>
        </w:tc>
      </w:tr>
      <w:tr>
        <w:trPr>
          <w:trHeight w:val="274"/>
        </w:trPr>
        <w:tc>
          <w:tcPr>
            <w:tcW w:w="2320" w:type="dxa"/>
            <w:vAlign w:val="bottom"/>
          </w:tcPr>
          <w:p>
            <w:pPr>
              <w:spacing w:after="0"/>
              <w:rPr>
                <w:sz w:val="23"/>
                <w:szCs w:val="23"/>
                <w:color w:val="auto"/>
              </w:rPr>
            </w:pPr>
          </w:p>
        </w:tc>
        <w:tc>
          <w:tcPr>
            <w:tcW w:w="38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001-32492</w:t>
            </w:r>
          </w:p>
        </w:tc>
      </w:tr>
      <w:tr>
        <w:trPr>
          <w:trHeight w:val="230"/>
        </w:trPr>
        <w:tc>
          <w:tcPr>
            <w:tcW w:w="2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2"/>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7"/>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7" w:lineRule="exact"/>
        <w:rPr>
          <w:sz w:val="24"/>
          <w:szCs w:val="24"/>
          <w:color w:val="auto"/>
        </w:rPr>
      </w:pPr>
    </w:p>
    <w:tbl>
      <w:tblPr>
        <w:tblLayout w:type="fixed"/>
        <w:tblInd w:w="1620" w:type="dxa"/>
        <w:tblCellMar>
          <w:top w:w="0" w:type="dxa"/>
          <w:left w:w="0" w:type="dxa"/>
          <w:bottom w:w="0" w:type="dxa"/>
          <w:right w:w="0" w:type="dxa"/>
        </w:tblCellMar>
      </w:tblPr>
      <w:tr>
        <w:trPr>
          <w:trHeight w:val="534"/>
        </w:trPr>
        <w:tc>
          <w:tcPr>
            <w:tcW w:w="5960" w:type="dxa"/>
            <w:vAlign w:val="bottom"/>
            <w:gridSpan w:val="3"/>
          </w:tcPr>
          <w:p>
            <w:pPr>
              <w:jc w:val="center"/>
              <w:ind w:left="2123"/>
              <w:spacing w:after="0"/>
              <w:rPr>
                <w:sz w:val="20"/>
                <w:szCs w:val="20"/>
                <w:color w:val="auto"/>
              </w:rPr>
            </w:pPr>
            <w:r>
              <w:rPr>
                <w:rFonts w:ascii="Times New Roman" w:cs="Times New Roman" w:eastAsia="Times New Roman" w:hAnsi="Times New Roman"/>
                <w:sz w:val="43"/>
                <w:szCs w:val="43"/>
                <w:b w:val="1"/>
                <w:bCs w:val="1"/>
                <w:color w:val="auto"/>
                <w:w w:val="99"/>
              </w:rPr>
              <w:t>LAZARD LTD</w:t>
            </w:r>
          </w:p>
        </w:tc>
        <w:tc>
          <w:tcPr>
            <w:tcW w:w="2200" w:type="dxa"/>
            <w:vAlign w:val="bottom"/>
          </w:tcPr>
          <w:p>
            <w:pPr>
              <w:spacing w:after="0"/>
              <w:rPr>
                <w:sz w:val="24"/>
                <w:szCs w:val="24"/>
                <w:color w:val="auto"/>
              </w:rPr>
            </w:pPr>
          </w:p>
        </w:tc>
      </w:tr>
      <w:tr>
        <w:trPr>
          <w:trHeight w:val="178"/>
        </w:trPr>
        <w:tc>
          <w:tcPr>
            <w:tcW w:w="5960" w:type="dxa"/>
            <w:vAlign w:val="bottom"/>
            <w:gridSpan w:val="3"/>
          </w:tcPr>
          <w:p>
            <w:pPr>
              <w:jc w:val="center"/>
              <w:ind w:left="2123"/>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c>
          <w:tcPr>
            <w:tcW w:w="2200" w:type="dxa"/>
            <w:vAlign w:val="bottom"/>
          </w:tcPr>
          <w:p>
            <w:pPr>
              <w:spacing w:after="0"/>
              <w:rPr>
                <w:sz w:val="15"/>
                <w:szCs w:val="15"/>
                <w:color w:val="auto"/>
              </w:rPr>
            </w:pPr>
          </w:p>
        </w:tc>
      </w:tr>
      <w:tr>
        <w:trPr>
          <w:trHeight w:val="254"/>
        </w:trPr>
        <w:tc>
          <w:tcPr>
            <w:tcW w:w="5960" w:type="dxa"/>
            <w:vAlign w:val="bottom"/>
            <w:gridSpan w:val="3"/>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7"/>
              </w:rPr>
              <w:t>Bermuda</w:t>
            </w:r>
          </w:p>
        </w:tc>
        <w:tc>
          <w:tcPr>
            <w:tcW w:w="2200" w:type="dxa"/>
            <w:vAlign w:val="bottom"/>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 of Incorporation</w:t>
            </w:r>
          </w:p>
        </w:tc>
        <w:tc>
          <w:tcPr>
            <w:tcW w:w="2200" w:type="dxa"/>
            <w:vAlign w:val="bottom"/>
          </w:tcPr>
          <w:p>
            <w:pPr>
              <w:jc w:val="center"/>
              <w:ind w:left="42"/>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r>
      <w:tr>
        <w:trPr>
          <w:trHeight w:val="178"/>
        </w:trPr>
        <w:tc>
          <w:tcPr>
            <w:tcW w:w="5960" w:type="dxa"/>
            <w:vAlign w:val="bottom"/>
            <w:gridSpan w:val="3"/>
          </w:tcPr>
          <w:p>
            <w:pPr>
              <w:jc w:val="center"/>
              <w:ind w:right="3360"/>
              <w:spacing w:after="0"/>
              <w:rPr>
                <w:sz w:val="20"/>
                <w:szCs w:val="20"/>
                <w:color w:val="auto"/>
              </w:rPr>
            </w:pPr>
            <w:r>
              <w:rPr>
                <w:rFonts w:ascii="Times New Roman" w:cs="Times New Roman" w:eastAsia="Times New Roman" w:hAnsi="Times New Roman"/>
                <w:sz w:val="14"/>
                <w:szCs w:val="14"/>
                <w:b w:val="1"/>
                <w:bCs w:val="1"/>
                <w:color w:val="auto"/>
                <w:w w:val="95"/>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47"/>
        </w:trPr>
        <w:tc>
          <w:tcPr>
            <w:tcW w:w="290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6"/>
              </w:rPr>
              <w:t>Clarendon House</w:t>
            </w:r>
          </w:p>
        </w:tc>
        <w:tc>
          <w:tcPr>
            <w:tcW w:w="2200" w:type="dxa"/>
            <w:vAlign w:val="bottom"/>
          </w:tcPr>
          <w:p>
            <w:pPr>
              <w:spacing w:after="0"/>
              <w:rPr>
                <w:sz w:val="21"/>
                <w:szCs w:val="21"/>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2 Church Street</w:t>
            </w:r>
          </w:p>
        </w:tc>
        <w:tc>
          <w:tcPr>
            <w:tcW w:w="2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7"/>
              </w:rPr>
              <w:t>Hamilton HM11, Bermuda</w:t>
            </w:r>
          </w:p>
        </w:tc>
        <w:tc>
          <w:tcPr>
            <w:tcW w:w="2200" w:type="dxa"/>
            <w:vAlign w:val="bottom"/>
          </w:tcPr>
          <w:p>
            <w:pPr>
              <w:spacing w:after="0"/>
              <w:rPr>
                <w:sz w:val="18"/>
                <w:szCs w:val="18"/>
                <w:color w:val="auto"/>
              </w:rPr>
            </w:pPr>
          </w:p>
        </w:tc>
      </w:tr>
      <w:tr>
        <w:trPr>
          <w:trHeight w:val="230"/>
        </w:trPr>
        <w:tc>
          <w:tcPr>
            <w:tcW w:w="5960" w:type="dxa"/>
            <w:vAlign w:val="bottom"/>
            <w:gridSpan w:val="3"/>
          </w:tcPr>
          <w:p>
            <w:pPr>
              <w:jc w:val="center"/>
              <w:ind w:left="2123"/>
              <w:spacing w:after="0"/>
              <w:rPr>
                <w:sz w:val="20"/>
                <w:szCs w:val="20"/>
                <w:color w:val="auto"/>
              </w:rPr>
            </w:pPr>
            <w:r>
              <w:rPr>
                <w:rFonts w:ascii="Times New Roman" w:cs="Times New Roman" w:eastAsia="Times New Roman" w:hAnsi="Times New Roman"/>
                <w:sz w:val="18"/>
                <w:szCs w:val="18"/>
                <w:b w:val="1"/>
                <w:bCs w:val="1"/>
                <w:color w:val="auto"/>
                <w:w w:val="97"/>
              </w:rPr>
              <w:t>(Address of principal executive offices)</w:t>
            </w:r>
          </w:p>
        </w:tc>
        <w:tc>
          <w:tcPr>
            <w:tcW w:w="2200" w:type="dxa"/>
            <w:vAlign w:val="bottom"/>
          </w:tcPr>
          <w:p>
            <w:pPr>
              <w:spacing w:after="0"/>
              <w:rPr>
                <w:sz w:val="20"/>
                <w:szCs w:val="20"/>
                <w:color w:val="auto"/>
              </w:rPr>
            </w:pPr>
          </w:p>
        </w:tc>
      </w:tr>
      <w:tr>
        <w:trPr>
          <w:trHeight w:val="270"/>
        </w:trPr>
        <w:tc>
          <w:tcPr>
            <w:tcW w:w="5960" w:type="dxa"/>
            <w:vAlign w:val="bottom"/>
            <w:gridSpan w:val="3"/>
          </w:tcPr>
          <w:p>
            <w:pPr>
              <w:jc w:val="center"/>
              <w:ind w:left="2143"/>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(441) 295-1422</w:t>
            </w:r>
          </w:p>
        </w:tc>
        <w:tc>
          <w:tcPr>
            <w:tcW w:w="2200" w:type="dxa"/>
            <w:vAlign w:val="bottom"/>
          </w:tcPr>
          <w:p>
            <w:pPr>
              <w:spacing w:after="0"/>
              <w:rPr>
                <w:sz w:val="23"/>
                <w:szCs w:val="23"/>
                <w:color w:val="auto"/>
              </w:rPr>
            </w:pPr>
          </w:p>
        </w:tc>
      </w:tr>
    </w:tbl>
    <w:p>
      <w:pPr>
        <w:spacing w:after="0" w:line="42" w:lineRule="exact"/>
        <w:rPr>
          <w:sz w:val="24"/>
          <w:szCs w:val="24"/>
          <w:color w:val="auto"/>
        </w:rPr>
      </w:pPr>
    </w:p>
    <w:p>
      <w:pPr>
        <w:ind w:right="32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firstLine="342"/>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26"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26"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85" w:lineRule="exact"/>
        <w:rPr>
          <w:sz w:val="24"/>
          <w:szCs w:val="24"/>
          <w:color w:val="auto"/>
        </w:rPr>
      </w:pPr>
    </w:p>
    <w:p>
      <w:pPr>
        <w:ind w:right="940" w:firstLine="342"/>
        <w:spacing w:after="0" w:line="275" w:lineRule="auto"/>
        <w:rPr>
          <w:sz w:val="20"/>
          <w:szCs w:val="20"/>
          <w:color w:val="auto"/>
        </w:rPr>
      </w:pPr>
      <w:r>
        <w:rPr>
          <w:rFonts w:ascii="Times New Roman" w:cs="Times New Roman" w:eastAsia="Times New Roman" w:hAnsi="Times New Roman"/>
          <w:sz w:val="18"/>
          <w:szCs w:val="18"/>
          <w:color w:val="auto"/>
        </w:rPr>
        <w:t>As of April 17, 2015, there were 129,766,091 shares of the Registrant’s Class A common stock outstanding (including 3,756,974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operating assets other than indirect ownership as of March 31, 2015 of all of the common membership interests in Lazard Group and its controlling interest in Lazard Group.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040" w:type="dxa"/>
            <w:vAlign w:val="bottom"/>
            <w:gridSpan w:val="15"/>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73">
              <w:r>
                <w:rPr>
                  <w:rFonts w:ascii="Times New Roman" w:cs="Times New Roman" w:eastAsia="Times New Roman" w:hAnsi="Times New Roman"/>
                  <w:sz w:val="18"/>
                  <w:szCs w:val="18"/>
                  <w:color w:val="0000EE"/>
                  <w:w w:val="97"/>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4. Controls and Procedures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7"/>
              </w:rPr>
            </w:pPr>
            <w:hyperlink w:anchor="page75">
              <w:r>
                <w:rPr>
                  <w:rFonts w:ascii="Times New Roman" w:cs="Times New Roman" w:eastAsia="Times New Roman" w:hAnsi="Times New Roman"/>
                  <w:sz w:val="18"/>
                  <w:szCs w:val="18"/>
                  <w:b w:val="1"/>
                  <w:bCs w:val="1"/>
                  <w:color w:val="0000EE"/>
                  <w:w w:val="97"/>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1. Legal Proceedings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75">
              <w:r>
                <w:rPr>
                  <w:rFonts w:ascii="Times New Roman" w:cs="Times New Roman" w:eastAsia="Times New Roman" w:hAnsi="Times New Roman"/>
                  <w:sz w:val="18"/>
                  <w:szCs w:val="18"/>
                  <w:color w:val="0000EE"/>
                  <w:w w:val="96"/>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Times New Roman" w:cs="Times New Roman" w:eastAsia="Times New Roman" w:hAnsi="Times New Roman"/>
                <w:sz w:val="18"/>
                <w:szCs w:val="18"/>
                <w:b w:val="1"/>
                <w:bCs w:val="1"/>
                <w:color w:val="0000EE"/>
              </w:rPr>
            </w:pPr>
            <w:hyperlink w:anchor="page82">
              <w:r>
                <w:rPr>
                  <w:rFonts w:ascii="Times New Roman" w:cs="Times New Roman" w:eastAsia="Times New Roman" w:hAnsi="Times New Roman"/>
                  <w:sz w:val="18"/>
                  <w:szCs w:val="18"/>
                  <w:b w:val="1"/>
                  <w:bCs w:val="1"/>
                  <w:color w:val="0000EE"/>
                </w:rPr>
                <w:t>Signatures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140" w:type="dxa"/>
            <w:vAlign w:val="bottom"/>
            <w:gridSpan w:val="6"/>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6"/>
              </w:rPr>
              <w:t>PART I. FINANCIAL INFORMATION</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026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40" w:type="dxa"/>
            <w:vAlign w:val="bottom"/>
            <w:gridSpan w:val="8"/>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Financial Condition as of March 31, 2015 and December 31, 2014</w:t>
              </w:r>
            </w:hyperlink>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11040" w:type="dxa"/>
            <w:vAlign w:val="bottom"/>
            <w:gridSpan w:val="8"/>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40" w:type="dxa"/>
            <w:vAlign w:val="bottom"/>
            <w:gridSpan w:val="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Operations for the three month periods ended March 31, 2015 and 2014</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Condensed Consolidated Statements of Comprehensive Income for the three month periods ended March 31, 2015 and 2014</w:t>
              </w:r>
            </w:hyperlink>
          </w:p>
        </w:tc>
        <w:tc>
          <w:tcPr>
            <w:tcW w:w="22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for the three month periods ended March 31, 2015 and 2014</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Condensed Consolidated Statements of Changes in Stockholders’ Equity for the three month periods ended March 31, 2015 and 2014</w:t>
              </w:r>
            </w:hyperlink>
          </w:p>
        </w:tc>
        <w:tc>
          <w:tcPr>
            <w:tcW w:w="16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56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2015 AND DECEMBER 31,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4"/>
                <w:szCs w:val="14"/>
                <w:color w:val="auto"/>
              </w:rPr>
            </w:pPr>
          </w:p>
        </w:tc>
        <w:tc>
          <w:tcPr>
            <w:tcW w:w="10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606,336</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$ 1,066,580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with banks and short-term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217,626</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207,760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with clearing organizations and other segregated cash</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46,700</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43,290</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8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Receivables (net of allowance for doubtful accounts of $18,459 and $23,540 at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March 31, 2015 and December 31, 2014, respectively):</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457,337</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Customers and 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135,323</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Related parties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593,841</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486,746</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620,352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Property (net of accumulated amortization and depreciation of $245,842 and $256,286 at March 31, 2015 and December 31,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2014,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209,211</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222,569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Goodwill and other intangible assets (net of accumulated amortization of $52,773 and $51,754 at March 31, 2015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December 31, 2014, respectively)</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335,966</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331,305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2,827,731</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$ 3,332,236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2015 AND DECEMBER 31,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18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9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Deposits and other customer payables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377,511</w:t>
            </w:r>
          </w:p>
        </w:tc>
        <w:tc>
          <w:tcPr>
            <w:tcW w:w="26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Senior debt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1,048,350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Related party payables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559,346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2,290,426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2,562,179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Preferred stock, par value $.01 per share; 15,000,000 shares authorized: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Series A - 7,921 shares issued and outstanding at March 31, 2015 and December 31, 2014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Series B - no shares issued and outstanding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Class A, par value $.01 per share (500,000,000 shares authorized;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129,766,091 shares issued at March 31, 2015 and December 31, 2014, including shares held by subsidiaries as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indicated below)</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(233,494)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(200,766)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615,352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Class A common stock held by subsidiaries, at cost (3,758,081 and 7,450,745 shares at March 31, 2015 and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December 31, 2014, respectively)</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(142,269)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Lazard Ltd Stockholders’ Equity</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473,083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537,305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2,827,731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3,332,236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PERIODS ENDED MARCH 31, 2015 AND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42"/>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620" w:type="dxa"/>
            <w:vAlign w:val="bottom"/>
            <w:gridSpan w:val="2"/>
            <w:vMerge w:val="continue"/>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 banking and other advisory fees</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301,372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Asset management fees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261,955</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29,629</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revenue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593,885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revenue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577,749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533,400</w:t>
            </w: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328,502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Occupancy and equipment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27,339</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19,190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Technology and information services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22,893</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Professional services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11,459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Fund administration and outsourced services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16,148</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pursuant to tax receivable agreement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6,535</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69,987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503,086</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74,663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107,180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12,017</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62,646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85,429</w:t>
            </w:r>
          </w:p>
        </w:tc>
        <w:tc>
          <w:tcPr>
            <w:tcW w:w="0" w:type="dxa"/>
            <w:vAlign w:val="bottom"/>
          </w:tcPr>
          <w:p>
            <w:pPr>
              <w:spacing w:after="0"/>
              <w:rPr>
                <w:sz w:val="1"/>
                <w:szCs w:val="1"/>
                <w:color w:val="auto"/>
              </w:rPr>
            </w:pPr>
          </w:p>
        </w:tc>
      </w:tr>
      <w:tr>
        <w:trPr>
          <w:trHeight w:val="331"/>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 - NET INCOME ATTRIBUTABLE TO NONCONTROLLING INTERESTS</w:t>
            </w:r>
          </w:p>
        </w:tc>
        <w:tc>
          <w:tcPr>
            <w:tcW w:w="1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LAZARD LTD</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80,842</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ATTRIBUTABLE TO LAZARD LTD CLASS A COMMON STOCKHOLDERS:</w:t>
            </w: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62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WEIGHTED AVERAGE SHARES OF COMMON STOCK</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123,655,689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121,776,207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133,735,946</w:t>
            </w: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134,025,991</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DIVIDENDS DECLARED PER SHARE OF COMMON STOCK</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PERIODS ENDED MARCH 31, 2015 AND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9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$ 62,646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85,429</w:t>
            </w:r>
          </w:p>
        </w:tc>
        <w:tc>
          <w:tcPr>
            <w:tcW w:w="100" w:type="dxa"/>
            <w:vAlign w:val="bottom"/>
            <w:shd w:val="clear" w:color="auto" w:fill="CCEEFF"/>
          </w:tcPr>
          <w:p>
            <w:pPr>
              <w:spacing w:after="0"/>
              <w:rPr>
                <w:sz w:val="18"/>
                <w:szCs w:val="18"/>
                <w:color w:val="auto"/>
              </w:rPr>
            </w:pPr>
          </w:p>
        </w:tc>
      </w:tr>
      <w:tr>
        <w:trPr>
          <w:trHeight w:val="222"/>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(34,133)</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5,913</w:t>
            </w: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Employee benefit plans: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620" w:type="dxa"/>
            <w:vAlign w:val="bottom"/>
            <w:shd w:val="clear" w:color="auto" w:fill="CCEEFF"/>
          </w:tcPr>
          <w:p>
            <w:pPr>
              <w:ind w:left="860"/>
              <w:spacing w:after="0" w:line="201" w:lineRule="exact"/>
              <w:rPr>
                <w:sz w:val="20"/>
                <w:szCs w:val="20"/>
                <w:color w:val="auto"/>
              </w:rPr>
            </w:pPr>
            <w:r>
              <w:rPr>
                <w:rFonts w:ascii="Times New Roman" w:cs="Times New Roman" w:eastAsia="Times New Roman" w:hAnsi="Times New Roman"/>
                <w:sz w:val="18"/>
                <w:szCs w:val="18"/>
                <w:color w:val="auto"/>
              </w:rPr>
              <w:t>Actuarial gain (loss) (net of tax benefit (expense) of $(115) and $50 for the three months ended March 31, 2015 and</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6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2014, respectively)</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4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w:t>
            </w:r>
          </w:p>
        </w:tc>
      </w:tr>
      <w:tr>
        <w:trPr>
          <w:trHeight w:val="202"/>
        </w:trPr>
        <w:tc>
          <w:tcPr>
            <w:tcW w:w="20" w:type="dxa"/>
            <w:vAlign w:val="bottom"/>
          </w:tcPr>
          <w:p>
            <w:pPr>
              <w:spacing w:after="0"/>
              <w:rPr>
                <w:sz w:val="17"/>
                <w:szCs w:val="17"/>
                <w:color w:val="auto"/>
              </w:rPr>
            </w:pPr>
          </w:p>
        </w:tc>
        <w:tc>
          <w:tcPr>
            <w:tcW w:w="962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Adjustment for items reclassified to earnings (net of tax expense of $563 and $532 for the three months ended March</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9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31, 2015 and 2014, respectively)</w:t>
            </w:r>
          </w:p>
        </w:tc>
        <w:tc>
          <w:tcPr>
            <w:tcW w:w="2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1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(32,728)</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6,645</w:t>
            </w:r>
          </w:p>
        </w:tc>
      </w:tr>
      <w:tr>
        <w:trPr>
          <w:trHeight w:val="222"/>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92,074</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 COMPREHENSIVE INCOME ATTRIBUTABLE TO NONCONTROLLING INTERESTS</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6,693</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4,611</w:t>
            </w:r>
          </w:p>
        </w:tc>
      </w:tr>
      <w:tr>
        <w:trPr>
          <w:trHeight w:val="223"/>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LAZARD LTD</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$ 23,225</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87,463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6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PERIODS ENDED MARCH 31, 2015 AND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62,646</w:t>
            </w:r>
          </w:p>
        </w:tc>
        <w:tc>
          <w:tcPr>
            <w:tcW w:w="120" w:type="dxa"/>
            <w:vAlign w:val="bottom"/>
          </w:tcPr>
          <w:p>
            <w:pPr>
              <w:spacing w:after="0"/>
              <w:rPr>
                <w:sz w:val="12"/>
                <w:szCs w:val="12"/>
                <w:color w:val="auto"/>
              </w:rPr>
            </w:pPr>
          </w:p>
        </w:tc>
        <w:tc>
          <w:tcPr>
            <w:tcW w:w="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Depreciation and amortization of property</w:t>
            </w: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Amortization of deferred expenses and share-based incentive compensation</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106,379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 related to acquisitions</w:t>
            </w: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60,219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decrease in operating assets:</w:t>
            </w: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Deposits with banks and short-term investments</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(35,081)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Cash deposited with clearing organizations and other segregated cash</w:t>
            </w: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(5,544)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Receivables-net</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(64,321)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(101,761)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(decrease) in operating liabilities:</w:t>
            </w: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Deposits and other payables</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106,835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71,680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 and other liabilities</w:t>
            </w: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(221,990)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1280"/>
              <w:spacing w:after="0" w:line="14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12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Additions to property</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(4,055)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Disposals of property</w:t>
            </w:r>
          </w:p>
        </w:tc>
        <w:tc>
          <w:tcPr>
            <w:tcW w:w="2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1280"/>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(4,011)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(2,903)</w:t>
            </w:r>
          </w:p>
        </w:tc>
        <w:tc>
          <w:tcPr>
            <w:tcW w:w="0" w:type="dxa"/>
            <w:vAlign w:val="bottom"/>
          </w:tcPr>
          <w:p>
            <w:pPr>
              <w:spacing w:after="0"/>
              <w:rPr>
                <w:sz w:val="1"/>
                <w:szCs w:val="1"/>
                <w:color w:val="auto"/>
              </w:rPr>
            </w:pPr>
          </w:p>
        </w:tc>
      </w:tr>
      <w:tr>
        <w:trPr>
          <w:trHeight w:val="156"/>
        </w:trPr>
        <w:tc>
          <w:tcPr>
            <w:tcW w:w="74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Issuance of senior debt, net of expenses</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396,272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Excess tax benefits from share-based incentive compensation</w:t>
            </w: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Payments for:</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Senior debt</w:t>
            </w: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(509,098)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Capital lease obligations</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(5,841)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Purchase of Class A common stock</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(82,963)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(106,935)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Class A common stock dividends</w:t>
            </w: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(158,390)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Settlement of vested share-based incentive compensation</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(101,885)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financing activities</w:t>
            </w: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1280"/>
              <w:spacing w:after="0" w:line="149"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(454,026)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(227,791)</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w:t>
            </w:r>
          </w:p>
        </w:tc>
        <w:tc>
          <w:tcPr>
            <w:tcW w:w="2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60" w:type="dxa"/>
            <w:vAlign w:val="bottom"/>
            <w:gridSpan w:val="2"/>
            <w:vMerge w:val="continue"/>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(37,175)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(460,244)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(174,893)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EQUIVALENTS—January 1</w:t>
            </w:r>
          </w:p>
        </w:tc>
        <w:tc>
          <w:tcPr>
            <w:tcW w:w="2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1,066,580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841,482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EQUIVALENTS—March 31</w:t>
            </w:r>
          </w:p>
        </w:tc>
        <w:tc>
          <w:tcPr>
            <w:tcW w:w="22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606,336</w:t>
            </w: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666,589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 ENDED MARCH 31,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54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2"/>
              </w:rPr>
              <w:t>Class A</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54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60" w:type="dxa"/>
            <w:vAlign w:val="bottom"/>
            <w:gridSpan w:val="4"/>
            <w:vMerge w:val="restart"/>
          </w:tcPr>
          <w:p>
            <w:pPr>
              <w:jc w:val="center"/>
              <w:ind w:left="1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540" w:type="dxa"/>
            <w:vAlign w:val="bottom"/>
            <w:gridSpan w:val="5"/>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54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960" w:type="dxa"/>
            <w:vAlign w:val="bottom"/>
            <w:gridSpan w:val="5"/>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20" w:type="dxa"/>
            <w:vAlign w:val="bottom"/>
          </w:tcPr>
          <w:p>
            <w:pPr>
              <w:spacing w:after="0"/>
              <w:rPr>
                <w:sz w:val="4"/>
                <w:szCs w:val="4"/>
                <w:color w:val="auto"/>
              </w:rPr>
            </w:pPr>
          </w:p>
        </w:tc>
        <w:tc>
          <w:tcPr>
            <w:tcW w:w="1240" w:type="dxa"/>
            <w:vAlign w:val="bottom"/>
            <w:gridSpan w:val="3"/>
            <w:vMerge w:val="restart"/>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380" w:type="dxa"/>
            <w:vAlign w:val="bottom"/>
            <w:gridSpan w:val="4"/>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Held By Subsidiaries</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960" w:type="dxa"/>
            <w:vAlign w:val="bottom"/>
            <w:tcBorders>
              <w:bottom w:val="single" w:sz="8" w:color="auto"/>
            </w:tcBorders>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bottom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40" w:type="dxa"/>
            <w:vAlign w:val="bottom"/>
          </w:tcPr>
          <w:p>
            <w:pPr>
              <w:spacing w:after="0"/>
              <w:rPr>
                <w:sz w:val="11"/>
                <w:szCs w:val="11"/>
                <w:color w:val="auto"/>
              </w:rPr>
            </w:pPr>
          </w:p>
        </w:tc>
        <w:tc>
          <w:tcPr>
            <w:tcW w:w="68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3"/>
              </w:rPr>
              <w:t>Retained</w:t>
            </w:r>
          </w:p>
        </w:tc>
        <w:tc>
          <w:tcPr>
            <w:tcW w:w="106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7"/>
              </w:rPr>
              <w:t>Income (Loss),</w:t>
            </w:r>
          </w:p>
        </w:tc>
        <w:tc>
          <w:tcPr>
            <w:tcW w:w="1380" w:type="dxa"/>
            <w:vAlign w:val="bottom"/>
            <w:tcBorders>
              <w:bottom w:val="single" w:sz="8" w:color="auto"/>
            </w:tcBorders>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4"/>
              </w:rPr>
              <w:t>Stockholders’</w:t>
            </w:r>
          </w:p>
        </w:tc>
        <w:tc>
          <w:tcPr>
            <w:tcW w:w="10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1"/>
              </w:rPr>
              <w:t>Earnings</w:t>
            </w: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2"/>
              </w:rPr>
              <w:t>Net of Tax</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January 1, 2014</w:t>
            </w:r>
          </w:p>
        </w:tc>
        <w:tc>
          <w:tcPr>
            <w:tcW w:w="500" w:type="dxa"/>
            <w:vAlign w:val="bottom"/>
            <w:tcBorders>
              <w:top w:val="single" w:sz="8" w:color="auto"/>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w w:val="88"/>
              </w:rPr>
              <w:t>7,921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129,056,082</w:t>
            </w: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$1,291</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737,899</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9"/>
              </w:rPr>
              <w:t>$ 203,236</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(133,004)</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8,317,065</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8"/>
              </w:rPr>
              <w:t>$ (249,213)</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560,209</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69,789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629,998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80,842</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80,842</w:t>
            </w: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4,587</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85,429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Other comprehensive income -</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net of tax</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6,621</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6,621</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6,645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Business acquisitions and related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equity transactions: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Class A common stock issuable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(including related</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amortization)</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128</w:t>
            </w: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Amortization of share-based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incentive compensation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60,464</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60,464</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333</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60,797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Dividend-equivalents</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5,013</w:t>
            </w:r>
          </w:p>
        </w:tc>
        <w:tc>
          <w:tcPr>
            <w:tcW w:w="7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(5,343)</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A common stock dividends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(35,917)</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(35,917)</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Class A common stock</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2,392,674</w:t>
            </w:r>
          </w:p>
        </w:tc>
        <w:tc>
          <w:tcPr>
            <w:tcW w:w="8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(106,935)</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(106,935)</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(106,935)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Delivery of Class A common stock</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 connection with share-based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incentive compensation and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related tax benefit of $1,776</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(247,810)</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(4,649,300)</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167,555</w:t>
            </w:r>
          </w:p>
        </w:tc>
        <w:tc>
          <w:tcPr>
            <w:tcW w:w="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(80,255)</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(80,245)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Distributions to noncontrolling</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interests, net</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(3,928)</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(3,928)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Adjustments related to</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noncontrolling interests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1,017</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(1,017)</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March 31, 2014</w:t>
            </w:r>
          </w:p>
        </w:tc>
        <w:tc>
          <w:tcPr>
            <w:tcW w:w="5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7,921</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129,056,082</w:t>
            </w:r>
          </w:p>
        </w:tc>
        <w:tc>
          <w:tcPr>
            <w:tcW w:w="520" w:type="dxa"/>
            <w:vAlign w:val="bottom"/>
            <w:gridSpan w:val="2"/>
            <w:shd w:val="clear" w:color="auto" w:fill="CCEEFF"/>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1,291</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556,711</w:t>
            </w:r>
          </w:p>
        </w:tc>
        <w:tc>
          <w:tcPr>
            <w:tcW w:w="7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$ 242,818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(126,383)</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6,060,439</w:t>
            </w:r>
          </w:p>
        </w:tc>
        <w:tc>
          <w:tcPr>
            <w:tcW w:w="8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(188,593)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485,844</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69,797</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555,641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Includes 129,056,081 shares of the Company’s Class A common stock issued at January 1, 2014 and March 31, 2014,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 ENDED MARCH 31,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50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2"/>
              </w:rPr>
              <w:t>Class A</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740" w:type="dxa"/>
            <w:vAlign w:val="bottom"/>
            <w:gridSpan w:val="4"/>
            <w:vMerge w:val="restart"/>
          </w:tcPr>
          <w:p>
            <w:pPr>
              <w:jc w:val="center"/>
              <w:ind w:left="132"/>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Series A</w:t>
            </w: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500" w:type="dxa"/>
            <w:vAlign w:val="bottom"/>
            <w:gridSpan w:val="5"/>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74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940" w:type="dxa"/>
            <w:vAlign w:val="bottom"/>
            <w:gridSpan w:val="5"/>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4"/>
              </w:rPr>
              <w:t>Preferred Stock</w:t>
            </w:r>
          </w:p>
        </w:tc>
        <w:tc>
          <w:tcPr>
            <w:tcW w:w="140" w:type="dxa"/>
            <w:vAlign w:val="bottom"/>
          </w:tcPr>
          <w:p>
            <w:pPr>
              <w:spacing w:after="0"/>
              <w:rPr>
                <w:sz w:val="4"/>
                <w:szCs w:val="4"/>
                <w:color w:val="auto"/>
              </w:rPr>
            </w:pPr>
          </w:p>
        </w:tc>
        <w:tc>
          <w:tcPr>
            <w:tcW w:w="1220" w:type="dxa"/>
            <w:vAlign w:val="bottom"/>
            <w:gridSpan w:val="3"/>
            <w:vMerge w:val="restart"/>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340" w:type="dxa"/>
            <w:vAlign w:val="bottom"/>
            <w:gridSpan w:val="4"/>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Held By Subsidiaries</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40" w:type="dxa"/>
            <w:vAlign w:val="bottom"/>
            <w:tcBorders>
              <w:bottom w:val="single" w:sz="8" w:color="auto"/>
            </w:tcBorders>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72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6"/>
              </w:rPr>
              <w:t>Retained</w:t>
            </w:r>
          </w:p>
        </w:tc>
        <w:tc>
          <w:tcPr>
            <w:tcW w:w="104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5"/>
              </w:rPr>
              <w:t>Income (Loss),</w:t>
            </w:r>
          </w:p>
        </w:tc>
        <w:tc>
          <w:tcPr>
            <w:tcW w:w="1340" w:type="dxa"/>
            <w:vAlign w:val="bottom"/>
            <w:tcBorders>
              <w:bottom w:val="single" w:sz="8" w:color="auto"/>
            </w:tcBorders>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4"/>
              </w:rPr>
              <w:t>Stockholders’</w:t>
            </w:r>
          </w:p>
        </w:tc>
        <w:tc>
          <w:tcPr>
            <w:tcW w:w="10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Net of Tax</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January 1, 2015</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7,921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129,766,091</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$1,298</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702,800</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$ 464,655</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(200,766)</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7,450,745</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7"/>
              </w:rPr>
              <w:t>$(261,243)</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706,744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63,313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770,057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55,953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55,953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6,693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62,646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w w:val="99"/>
              </w:rPr>
              <w:t>Other comprehensive loss - net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tax</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(32,728)</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(32,728)</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(32,728)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Business acquisitions and related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equity transactions: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Class A common stock issuable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(including related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amortization)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89</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7"/>
              </w:rPr>
              <w:t>Amortization of share-based incentive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compensation</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77,923</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77,923</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Dividend-equivalents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22,898</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(24,053)</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 common stock dividends</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(158,390)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(158,390)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(158,390)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Class A common stock</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1,677,464</w:t>
            </w:r>
          </w:p>
        </w:tc>
        <w:tc>
          <w:tcPr>
            <w:tcW w:w="7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(82,963)</w:t>
            </w: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(82,963)</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(82,963)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8"/>
              </w:rPr>
              <w:t>Delivery of Class A common stock in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connection with share-based</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incentive compensation and</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related tax benefit of $9,495</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(294,327)</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(5,370,128)</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201,937</w:t>
            </w: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(92,390)</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(92,390)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Distributions to noncontrolling</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interests, net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(5,784)</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March 31, 2015</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7,921</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129,766,091</w:t>
            </w:r>
          </w:p>
        </w:tc>
        <w:tc>
          <w:tcPr>
            <w:tcW w:w="500" w:type="dxa"/>
            <w:vAlign w:val="bottom"/>
            <w:gridSpan w:val="2"/>
            <w:shd w:val="clear" w:color="auto" w:fill="CCEEFF"/>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1,298</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509,383</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6"/>
              </w:rPr>
              <w:t>$ 338,165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(233,494)</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3,758,081</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(142,269)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473,083</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64,222</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537,305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95" w:lineRule="exact"/>
        <w:rPr>
          <w:sz w:val="20"/>
          <w:szCs w:val="20"/>
          <w:color w:val="auto"/>
        </w:rPr>
      </w:pPr>
    </w:p>
    <w:p>
      <w:pPr>
        <w:ind w:right="7040" w:firstLine="8"/>
        <w:spacing w:after="0" w:line="346" w:lineRule="auto"/>
        <w:tabs>
          <w:tab w:leader="none" w:pos="446"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ORGANIZATION AND BASIS OF PRESENTATION Organization</w:t>
      </w:r>
    </w:p>
    <w:p>
      <w:pPr>
        <w:spacing w:after="0" w:line="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Lazard Ltd indirectly held 100% of all outstanding Lazard Group common membership interests as of March 31, 2015 and December 31, 2014. Lazard Ltd, through its control of the managing members of Lazard Group, controls Lazard Group, which is governed by an Operating Agreement dated as of May 10, 2005, as amended (the “Operating Agreement”). LAZ-MD Holdings LLC (“LAZ-MD Holdings”), an entity formerly owned by Lazard Group’s current and former managing directors, held approximately 0.5% of the outstanding Lazard Group common membership interests as of January 1, 2014. As of January 1, 2014, LAZ-MD Holdings was also the sole owner of the one issued and outstanding share of Lazard Ltd’s Class B common stock (the “Class B common stock”). In May 2014, the remaining outstanding Lazard Group common membership interests held by LAZ-MD Holdings were exchanged for shares of the Company’s Class A common stock, par value $0.01 per share (“Class A common stock”), and the sole issued and outstanding share of the Company’s Class B common stock was automatically converted into one share of the Company’s Class A common stock pursuant to the provisions of the Company’s bye-laws, resulting in only one outstanding class of common stock (the “Final Exchange of LAZ-MD Interests”). Following the Final Exchange of LAZ-MD Interests, Lazard Group became a wholly-owned indirect subsidiary of Lazard Ltd.</w:t>
      </w:r>
    </w:p>
    <w:p>
      <w:pPr>
        <w:spacing w:after="0" w:line="141"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Our sole operating asset is our indirect ownership of the common membership interests of Lazard Group and our managing member interest of Lazard Group, whose principal operating activities are included in two business segments:</w:t>
      </w:r>
    </w:p>
    <w:p>
      <w:pPr>
        <w:spacing w:after="0" w:line="39" w:lineRule="exact"/>
        <w:rPr>
          <w:sz w:val="20"/>
          <w:szCs w:val="20"/>
          <w:color w:val="auto"/>
        </w:rPr>
      </w:pPr>
    </w:p>
    <w:p>
      <w:pPr>
        <w:jc w:val="both"/>
        <w:ind w:left="900" w:right="160" w:hanging="325"/>
        <w:spacing w:after="0" w:line="26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1" w:lineRule="exact"/>
        <w:rPr>
          <w:rFonts w:ascii="Times New Roman" w:cs="Times New Roman" w:eastAsia="Times New Roman" w:hAnsi="Times New Roman"/>
          <w:sz w:val="18"/>
          <w:szCs w:val="18"/>
          <w:color w:val="auto"/>
        </w:rPr>
      </w:pPr>
    </w:p>
    <w:p>
      <w:pPr>
        <w:jc w:val="both"/>
        <w:ind w:left="900" w:right="420" w:hanging="325"/>
        <w:spacing w:after="0" w:line="26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3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2014 (the “Form 10-K”). The accompanying December 31, 2014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38" w:lineRule="exact"/>
        <w:rPr>
          <w:sz w:val="20"/>
          <w:szCs w:val="20"/>
          <w:color w:val="auto"/>
        </w:rPr>
      </w:pPr>
    </w:p>
    <w:p>
      <w:pPr>
        <w:jc w:val="both"/>
        <w:ind w:right="20" w:firstLine="456"/>
        <w:spacing w:after="0" w:line="287" w:lineRule="auto"/>
        <w:rPr>
          <w:sz w:val="20"/>
          <w:szCs w:val="20"/>
          <w:color w:val="auto"/>
        </w:rPr>
      </w:pPr>
      <w:r>
        <w:rPr>
          <w:rFonts w:ascii="Times New Roman" w:cs="Times New Roman" w:eastAsia="Times New Roman" w:hAnsi="Times New Roman"/>
          <w:sz w:val="16"/>
          <w:szCs w:val="16"/>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Although these estimates are based on management’s knowledge of current events and actions that Lazard may undertake in the future, actual results may differ materially from the estimates.</w:t>
      </w:r>
    </w:p>
    <w:p>
      <w:pPr>
        <w:spacing w:after="0" w:line="13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consolidated results of operations for the three month period ended March 31, 2015 are not necessarily indicative of the results to be expected for any future interim or annual period.</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Company’s policy is to consolidate entities in which it has a controlling financial interest. The Company consolidates (i) a voting interest entity (“VOE”) where the Company either holds a majority of the voting interest in such entity or is the general partner in such entity and the third-party investors do not have the right to replace the general partner and (ii) a variable interest entity (“VIE”) where the Company absorbs a majority of the expected losses, expected residual returns, or both, of such entity.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257"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92" w:lineRule="exact"/>
        <w:rPr>
          <w:sz w:val="20"/>
          <w:szCs w:val="20"/>
          <w:color w:val="auto"/>
        </w:rPr>
      </w:pPr>
    </w:p>
    <w:p>
      <w:pPr>
        <w:jc w:val="both"/>
        <w:ind w:right="4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—In May 2014, the Financial Accounting Standards Board (the “FASB”) issued comprehensive new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guidance. The guidance requires a company to recognize revenue when it transfers promised services to customers in an amount that reflects the consideration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which the company expects to be entitled in exchange for those services and requires enhanced disclosures. The new guidance is effective for annual and interim periods beginning after December 15, 2016, and early adoption is not permitted. On April 1, 2015, the FASB tentatively decided to defer the effective date of the new revenue guidance by one year to annual reporting periods beginning after December 15, 2017, with early adoption being permitted for annual periods beginning after December 15, 2016. The Company is currently evaluating the new guidance.</w:t>
      </w:r>
    </w:p>
    <w:p>
      <w:pPr>
        <w:spacing w:after="0" w:line="134" w:lineRule="exact"/>
        <w:rPr>
          <w:sz w:val="20"/>
          <w:szCs w:val="20"/>
          <w:color w:val="auto"/>
        </w:rPr>
      </w:pPr>
    </w:p>
    <w:p>
      <w:pPr>
        <w:ind w:right="2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Amendments to the Consolidation Analysis</w:t>
      </w:r>
      <w:r>
        <w:rPr>
          <w:rFonts w:ascii="Times New Roman" w:cs="Times New Roman" w:eastAsia="Times New Roman" w:hAnsi="Times New Roman"/>
          <w:sz w:val="18"/>
          <w:szCs w:val="18"/>
          <w:color w:val="auto"/>
        </w:rPr>
        <w:t>—In February 2015, the FASB issued updated guidance for the consolidation of certain legal entities.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updated guidance eliminates the deferral of certain consolidation standards for entities considered to be investment companies and modifies the evaluation of whether limited partnerships and similar legal entities are VIEs or VOEs. The new guidance is effective for annual reporting periods beginning after December 31, 2015, with early adoption permitted. The Company does not expect that the adoption of this guidance will have a material impact on our consolidated financial statements or related disclosures.</w:t>
      </w:r>
    </w:p>
    <w:p>
      <w:pPr>
        <w:spacing w:after="0" w:line="134"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Interest—Imputation of Interest</w:t>
      </w:r>
      <w:r>
        <w:rPr>
          <w:rFonts w:ascii="Times New Roman" w:cs="Times New Roman" w:eastAsia="Times New Roman" w:hAnsi="Times New Roman"/>
          <w:sz w:val="18"/>
          <w:szCs w:val="18"/>
          <w:color w:val="auto"/>
        </w:rPr>
        <w:t>—In April 2015, the FASB issued updated guidance which requires a company to classify debt issuance costs related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debt liability in the balance sheet as a direct deduction from the carrying amount of that debt liability, consistent with debt discounts. The new guidance is effective for financial statements issued for fiscal years beginning after December 15, 2015, with early adoption permitted. The new guidance is to be applied on a retrospective basis. The Company does not expect that the adoption of this guidance will have a material impact on our consolidated financial statements or related disclosures.</w:t>
      </w:r>
    </w:p>
    <w:p>
      <w:pPr>
        <w:spacing w:after="0" w:line="254"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RECEIVABLES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receivables represent receivables from fees, customers and other and related parties.</w:t>
      </w:r>
    </w:p>
    <w:p>
      <w:pPr>
        <w:spacing w:after="0" w:line="17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periods ended March 31, 2015 and 2014 was as follows: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7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7820" w:type="dxa"/>
            <w:vAlign w:val="bottom"/>
          </w:tcPr>
          <w:p>
            <w:pPr>
              <w:spacing w:after="0"/>
              <w:rPr>
                <w:sz w:val="14"/>
                <w:szCs w:val="14"/>
                <w:color w:val="auto"/>
              </w:rPr>
            </w:pPr>
          </w:p>
        </w:tc>
        <w:tc>
          <w:tcPr>
            <w:tcW w:w="17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7820" w:type="dxa"/>
            <w:vAlign w:val="bottom"/>
          </w:tcPr>
          <w:p>
            <w:pPr>
              <w:spacing w:after="0"/>
              <w:rPr>
                <w:sz w:val="12"/>
                <w:szCs w:val="12"/>
                <w:color w:val="auto"/>
              </w:rPr>
            </w:pPr>
          </w:p>
        </w:tc>
        <w:tc>
          <w:tcPr>
            <w:tcW w:w="580" w:type="dxa"/>
            <w:vAlign w:val="bottom"/>
            <w:tcBorders>
              <w:top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$23,540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$28,777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 net of recoveries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9,136</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 foreign currency translation and other adjustments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(6,313)</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(6,589)</w:t>
            </w: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18,459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31,324</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left="480" w:right="220"/>
        <w:spacing w:after="0" w:line="447" w:lineRule="auto"/>
        <w:rPr>
          <w:sz w:val="20"/>
          <w:szCs w:val="20"/>
          <w:color w:val="auto"/>
        </w:rPr>
      </w:pPr>
      <w:r>
        <w:rPr>
          <w:rFonts w:ascii="Times New Roman" w:cs="Times New Roman" w:eastAsia="Times New Roman" w:hAnsi="Times New Roman"/>
          <w:sz w:val="18"/>
          <w:szCs w:val="18"/>
          <w:color w:val="auto"/>
        </w:rPr>
        <w:t>Bad debt expense, net of recoveries is included in “investment banking and other advisory fees” on the condensed consolidated statements of operations. 11</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2015 and December 31, 2014, the Company had receivables past due or deemed uncollectible of $19,220 and $24,578, respectively.</w:t>
      </w:r>
    </w:p>
    <w:p>
      <w:pPr>
        <w:spacing w:after="0" w:line="171"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Of the Company’s fee receivables at March 31, 2015 and December 31, 2014, $76,878 and $86,221,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3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aggregate carrying amount of our non-interest bearing receivables of $516,963 and $471,375 at March 31, 2015 and December 31, 2014, respectively, approximates fair value.</w:t>
      </w:r>
    </w:p>
    <w:p>
      <w:pPr>
        <w:spacing w:after="0" w:line="237"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investments and securities sold, not yet purchased, consist of the following at March 31, 2015 and December 31, 2014: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Funds: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Alternative investments (a)</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29,896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Debt (a)</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59,960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(a)</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171,944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Private equity</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107,440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369,240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method</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486,746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54,248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Equity method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425,844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Securities sold, not yet purchased, at fair value (included in “other liabilities”)</w:t>
            </w: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40" w:type="dxa"/>
            <w:vAlign w:val="bottom"/>
            <w:gridSpan w:val="3"/>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40" w:hanging="452"/>
        <w:spacing w:after="0" w:line="25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alternative investment funds, debt funds and equity funds include investments with fair values of $4,862, $18,982 and $117,447, respectively, at March 31, 2015 and $8,321, $42,070 and $162,798, respectively, at December 31, 2014,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 of Notes to Condensed Consolidated Financial Statements).</w:t>
      </w:r>
    </w:p>
    <w:p>
      <w:pPr>
        <w:spacing w:after="0" w:line="139"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Debt securities primarily consist of seed investments invested in debt securities held within separately managed accounts related to our Asset Management business.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Alternative investment funds primarily consist of interests in various Lazard-managed hedge funds and funds of funds.</w:t>
      </w:r>
    </w:p>
    <w:p>
      <w:pPr>
        <w:spacing w:after="0" w:line="17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Debt funds primarily consist of seed investments in funds related to our Asset Management business that invest in debt securities, amounts related to LFI discussed above and an investment in a debt fund held by the Company’s broker-dealer subsidiary.</w:t>
      </w:r>
    </w:p>
    <w:p>
      <w:pPr>
        <w:spacing w:after="0" w:line="12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Equity funds primarily consist of seed investments in funds related to our Asset Management business that invest in equity securities, and amounts related to LFI discussed above.</w:t>
      </w:r>
    </w:p>
    <w:p>
      <w:pPr>
        <w:spacing w:after="0" w:line="120"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fund targeting significant noncontrolling-stake investments in established private companies, (iii) Edgewater Growth Capital Partners III, L.P. (“EGCP III”), a fund primarily making equity and buyout investments in middle market companies and (iv) Lazard Australia Corporate Opportunities Fund (“COF2”), a Lazard-managed Australian fund targeting Australian mid-market investments.</w:t>
      </w:r>
    </w:p>
    <w:p>
      <w:pPr>
        <w:spacing w:after="0" w:line="1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Private equity investments consolidated but not owned by Lazard relate to the economic interests that are owned by the management team and other investors in the Edgewater Funds (“Edgewater”) which totaled $5,408 and $6,421 at March 31, 2015 and December 31, 2014, respectively (see Note 10 of Notes to Condensed Consolidated Financial Statements).</w:t>
      </w:r>
    </w:p>
    <w:p>
      <w:pPr>
        <w:spacing w:after="0" w:line="132"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During the three month periods ended March 31, 2015 and 2014, the Company reported in “revenue-other” on its condensed consolidated statements of operations net unrealized investment gains and losses pertaining to “trading” securities still held as of the reporting date as follows:</w:t>
      </w:r>
    </w:p>
    <w:p>
      <w:pPr>
        <w:spacing w:after="0" w:line="158" w:lineRule="exact"/>
        <w:rPr>
          <w:sz w:val="20"/>
          <w:szCs w:val="20"/>
          <w:color w:val="auto"/>
        </w:rPr>
      </w:pPr>
    </w:p>
    <w:p>
      <w:pPr>
        <w:jc w:val="center"/>
        <w:ind w:left="9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640"/>
        <w:spacing w:after="0" w:line="227" w:lineRule="auto"/>
        <w:rPr>
          <w:sz w:val="20"/>
          <w:szCs w:val="20"/>
          <w:color w:val="auto"/>
        </w:rPr>
      </w:pPr>
      <w:r>
        <w:rPr>
          <w:rFonts w:ascii="Times New Roman" w:cs="Times New Roman" w:eastAsia="Times New Roman" w:hAnsi="Times New Roman"/>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20" w:type="dxa"/>
            <w:vAlign w:val="bottom"/>
            <w:tcBorders>
              <w:top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60" w:type="dxa"/>
            <w:vAlign w:val="bottom"/>
            <w:tcBorders>
              <w:top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investment gains</w:t>
            </w:r>
          </w:p>
        </w:tc>
        <w:tc>
          <w:tcPr>
            <w:tcW w:w="37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$ 2,193</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65"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Lazard categorizes its investments and certain other assets and liabilities recorded at fair value into a three-level fair value hierarchy as follows:</w:t>
      </w:r>
    </w:p>
    <w:p>
      <w:pPr>
        <w:spacing w:after="0" w:line="88" w:lineRule="exact"/>
        <w:rPr>
          <w:sz w:val="20"/>
          <w:szCs w:val="20"/>
          <w:color w:val="auto"/>
        </w:rPr>
      </w:pPr>
    </w:p>
    <w:p>
      <w:pPr>
        <w:ind w:left="920" w:right="360" w:hanging="904"/>
        <w:spacing w:after="0" w:line="275"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Assets and liabilities whose values are based on unadjusted quoted prices for identical assets or liabilities in an active market that Lazard has the ability to access.</w:t>
      </w:r>
    </w:p>
    <w:p>
      <w:pPr>
        <w:spacing w:after="0" w:line="39" w:lineRule="exact"/>
        <w:rPr>
          <w:sz w:val="20"/>
          <w:szCs w:val="20"/>
          <w:color w:val="auto"/>
        </w:rPr>
      </w:pPr>
    </w:p>
    <w:p>
      <w:pPr>
        <w:ind w:left="920" w:hanging="904"/>
        <w:spacing w:after="0" w:line="258"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3" w:lineRule="exact"/>
        <w:rPr>
          <w:sz w:val="20"/>
          <w:szCs w:val="20"/>
          <w:color w:val="auto"/>
        </w:rPr>
      </w:pPr>
    </w:p>
    <w:p>
      <w:pPr>
        <w:ind w:left="920" w:right="20" w:hanging="904"/>
        <w:spacing w:after="0" w:line="296"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6"/>
          <w:szCs w:val="16"/>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10"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Company’s investments in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32" w:lineRule="exact"/>
        <w:rPr>
          <w:sz w:val="20"/>
          <w:szCs w:val="20"/>
          <w:color w:val="auto"/>
        </w:rPr>
      </w:pPr>
    </w:p>
    <w:p>
      <w:pPr>
        <w:jc w:val="both"/>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investments in alternative investment funds is classified as Level 2 and is valued at NAV or its equivalent, which is primarily determined based on information provided by external fund administrators. Such investments are redeemable within the near term.</w:t>
      </w:r>
    </w:p>
    <w:p>
      <w:pPr>
        <w:spacing w:after="0" w:line="120"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investments in debt funds is classified as Level 1 when the fair values are primarily based on the publicly reported closing price for the fund, and classified as Level 2 when the fair values are primarily based on NAV or its equivalent and are redeemable within the near term.</w:t>
      </w:r>
    </w:p>
    <w:p>
      <w:pPr>
        <w:spacing w:after="0" w:line="120"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fair value of investments in equity funds is classified as Level 1 or 2 as follows: publicly traded asset management funds are classified as Level 1 and are valued based on the reported closing price for the fund; and investments in asset management funds redeemable in the near term are classified as Level 2 and are valued at NAV or its equivalent, which is primarily determined based on information provided by external fund administrators.</w:t>
      </w:r>
    </w:p>
    <w:p>
      <w:pPr>
        <w:spacing w:after="0" w:line="132" w:lineRule="exact"/>
        <w:rPr>
          <w:sz w:val="20"/>
          <w:szCs w:val="20"/>
          <w:color w:val="auto"/>
        </w:rPr>
      </w:pPr>
    </w:p>
    <w:p>
      <w:pPr>
        <w:ind w:right="88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investments in private equity funds is classified as Level 3, and is primarily based on NAV or its equivalent, except for certain investments that are valued based on potential transaction value. Such investments are not redeemable within the near term.</w:t>
      </w:r>
    </w:p>
    <w:p>
      <w:pPr>
        <w:spacing w:after="0" w:line="120"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 of Notes to Condensed Consolidated Financial Statements.</w:t>
      </w:r>
    </w:p>
    <w:p>
      <w:pPr>
        <w:spacing w:after="0" w:line="13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tables present the classification of investments and certain other assets and liabilities measured at fair value on a recurring basis as of March 31, 2015 and December 31, 2014 within the fair value hierarchy:</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12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10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54,671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Funds: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Alternative 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29,896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Debt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59,954</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59,960</w:t>
            </w: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Equity</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171,900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171,944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Private equity</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107,440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107,440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287,169</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34,242</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108,729</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430,140</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3,094</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227,628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227,628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227,628</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230,722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10,426</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57,302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Funds: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Alternative 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34,705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34,705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Debt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82,885</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82,889</w:t>
            </w: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Equity</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228,166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228,209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Private equity</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114,470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114,470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372,578</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41,993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115,785</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530,356</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208,093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208,093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5"/>
              </w:rPr>
              <w:t>208,093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217,383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There were no transfers between any of the Level 1, 2 and 3 categories in the fair value measurement hierarchy during the three month periods ended March 31, 2015 and 2014.</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tables provide a summary of changes in fair value of the Company’s Level 3 assets for the three month periods ended March 31, 2015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Three Months Ended March 31, 2015</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8"/>
              </w:rPr>
              <w:t>Net Unrealized/</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Realized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38"/>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Included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38"/>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Revenue-</w:t>
            </w:r>
          </w:p>
        </w:tc>
        <w:tc>
          <w:tcPr>
            <w:tcW w:w="6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Purchases/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562"/>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1180" w:type="dxa"/>
            <w:vAlign w:val="bottom"/>
            <w:gridSpan w:val="3"/>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65"/>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Other (a)</w:t>
            </w:r>
          </w:p>
        </w:tc>
        <w:tc>
          <w:tcPr>
            <w:tcW w:w="6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Acquisitions</w:t>
            </w: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1180" w:type="dxa"/>
            <w:vAlign w:val="bottom"/>
            <w:gridSpan w:val="3"/>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Private equity funds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114,470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w w:val="97"/>
              </w:rPr>
              <w:t>(10,531)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(5,056)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107,440</w:t>
            </w:r>
          </w:p>
        </w:tc>
        <w:tc>
          <w:tcPr>
            <w:tcW w:w="100" w:type="dxa"/>
            <w:vAlign w:val="bottom"/>
            <w:shd w:val="clear" w:color="auto" w:fill="CCEEFF"/>
          </w:tcPr>
          <w:p>
            <w:pPr>
              <w:spacing w:after="0"/>
              <w:rPr>
                <w:sz w:val="18"/>
                <w:szCs w:val="18"/>
                <w:color w:val="auto"/>
              </w:rPr>
            </w:pPr>
          </w:p>
        </w:tc>
      </w:tr>
      <w:tr>
        <w:trPr>
          <w:trHeight w:val="223"/>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4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(10,531</w:t>
            </w:r>
          </w:p>
        </w:tc>
        <w:tc>
          <w:tcPr>
            <w:tcW w:w="400" w:type="dxa"/>
            <w:vAlign w:val="bottom"/>
          </w:tcPr>
          <w:p>
            <w:pPr>
              <w:jc w:val="right"/>
              <w:ind w:right="3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108,729</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Three Months Ended March 31, 2014</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Realized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38"/>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Included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38"/>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Revenue-</w:t>
            </w:r>
          </w:p>
        </w:tc>
        <w:tc>
          <w:tcPr>
            <w:tcW w:w="6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Purchases/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562"/>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1180" w:type="dxa"/>
            <w:vAlign w:val="bottom"/>
            <w:gridSpan w:val="3"/>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65"/>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Other (a)</w:t>
            </w:r>
          </w:p>
        </w:tc>
        <w:tc>
          <w:tcPr>
            <w:tcW w:w="6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Acquisitions</w:t>
            </w: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1180" w:type="dxa"/>
            <w:vAlign w:val="bottom"/>
            <w:gridSpan w:val="3"/>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Private equity funds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114,193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115,537</w:t>
            </w:r>
          </w:p>
        </w:tc>
        <w:tc>
          <w:tcPr>
            <w:tcW w:w="100" w:type="dxa"/>
            <w:vAlign w:val="bottom"/>
            <w:shd w:val="clear" w:color="auto" w:fill="CCEEFF"/>
          </w:tcPr>
          <w:p>
            <w:pPr>
              <w:spacing w:after="0"/>
              <w:rPr>
                <w:sz w:val="18"/>
                <w:szCs w:val="18"/>
                <w:color w:val="auto"/>
              </w:rPr>
            </w:pPr>
          </w:p>
        </w:tc>
      </w:tr>
      <w:tr>
        <w:trPr>
          <w:trHeight w:val="223"/>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115,533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400" w:type="dxa"/>
            <w:vAlign w:val="bottom"/>
          </w:tcPr>
          <w:p>
            <w:pPr>
              <w:jc w:val="right"/>
              <w:ind w:right="3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116,874</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1560" w:hanging="5612"/>
        <w:spacing w:after="0" w:line="447"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for the three month periods ended March 31, 2015 and 2014 include net unrealized gains of $6,097 and $4,413, respectively. 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right="20" w:firstLine="456"/>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Fair Value of Certain Investments Based on NAV</w:t>
      </w:r>
      <w:r>
        <w:rPr>
          <w:rFonts w:ascii="Times New Roman" w:cs="Times New Roman" w:eastAsia="Times New Roman" w:hAnsi="Times New Roman"/>
          <w:sz w:val="16"/>
          <w:szCs w:val="16"/>
          <w:color w:val="auto"/>
        </w:rPr>
        <w:t>—The Company’s Level 2 and Level 3 investments at March 31, 2015 and December 31, 2014 include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certain investments that are valued using NAV or its equivalent as a practical expedient in determining fair value. Information with respect thereto was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5"/>
        </w:trPr>
        <w:tc>
          <w:tcPr>
            <w:tcW w:w="11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0" w:type="dxa"/>
            <w:vAlign w:val="bottom"/>
            <w:gridSpan w:val="6"/>
          </w:tcPr>
          <w:p>
            <w:pPr>
              <w:ind w:left="180"/>
              <w:spacing w:after="0" w:line="125" w:lineRule="exact"/>
              <w:rPr>
                <w:sz w:val="20"/>
                <w:szCs w:val="20"/>
                <w:color w:val="auto"/>
              </w:rPr>
            </w:pPr>
            <w:r>
              <w:rPr>
                <w:rFonts w:ascii="Times New Roman" w:cs="Times New Roman" w:eastAsia="Times New Roman" w:hAnsi="Times New Roman"/>
                <w:sz w:val="14"/>
                <w:szCs w:val="14"/>
                <w:b w:val="1"/>
                <w:bCs w:val="1"/>
                <w:color w:val="auto"/>
              </w:rPr>
              <w:t>Estimated Liquidation Period of</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5"/>
        </w:trPr>
        <w:tc>
          <w:tcPr>
            <w:tcW w:w="1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240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Investments Not Redeemable</w:t>
            </w:r>
          </w:p>
        </w:tc>
        <w:tc>
          <w:tcPr>
            <w:tcW w:w="19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r>
      <w:tr>
        <w:trPr>
          <w:trHeight w:val="125"/>
        </w:trPr>
        <w:tc>
          <w:tcPr>
            <w:tcW w:w="11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5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Unfunded</w:t>
            </w: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1"/>
              </w:rPr>
              <w:t>Not</w:t>
            </w:r>
          </w:p>
        </w:tc>
        <w:tc>
          <w:tcPr>
            <w:tcW w:w="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Next</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Redemption</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Redemption</w:t>
            </w:r>
          </w:p>
        </w:tc>
      </w:tr>
      <w:tr>
        <w:trPr>
          <w:trHeight w:val="165"/>
        </w:trPr>
        <w:tc>
          <w:tcPr>
            <w:tcW w:w="1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00" w:type="dxa"/>
            <w:vAlign w:val="bottom"/>
          </w:tcPr>
          <w:p>
            <w:pPr>
              <w:spacing w:after="0"/>
              <w:rPr>
                <w:sz w:val="14"/>
                <w:szCs w:val="14"/>
                <w:color w:val="auto"/>
              </w:rPr>
            </w:pP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4"/>
              </w:rPr>
              <w:t>Commitments</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Thereafter</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Notice Period</w:t>
            </w:r>
          </w:p>
        </w:tc>
      </w:tr>
      <w:tr>
        <w:trPr>
          <w:trHeight w:val="196"/>
        </w:trPr>
        <w:tc>
          <w:tcPr>
            <w:tcW w:w="40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Alternative investment funds: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4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Hedge funds</w:t>
            </w:r>
          </w:p>
        </w:tc>
        <w:tc>
          <w:tcPr>
            <w:tcW w:w="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NA</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&lt;30-60 days</w:t>
            </w:r>
          </w:p>
        </w:tc>
      </w:tr>
      <w:tr>
        <w:trPr>
          <w:trHeight w:val="216"/>
        </w:trPr>
        <w:tc>
          <w:tcPr>
            <w:tcW w:w="4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Funds of funds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NA</w:t>
            </w:r>
          </w:p>
        </w:tc>
        <w:tc>
          <w:tcPr>
            <w:tcW w:w="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&lt;30-90 days</w:t>
            </w:r>
          </w:p>
        </w:tc>
      </w:tr>
      <w:tr>
        <w:trPr>
          <w:trHeight w:val="216"/>
        </w:trPr>
        <w:tc>
          <w:tcPr>
            <w:tcW w:w="4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NA</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&lt;30-60 days</w:t>
            </w: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funds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NA</w:t>
            </w:r>
          </w:p>
        </w:tc>
        <w:tc>
          <w:tcPr>
            <w:tcW w:w="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days</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funds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NA</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&lt;30-90 days</w:t>
            </w: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 funds: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Equity growth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6,012(f)</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NA</w:t>
            </w:r>
          </w:p>
        </w:tc>
      </w:tr>
      <w:tr>
        <w:trPr>
          <w:trHeight w:val="216"/>
        </w:trPr>
        <w:tc>
          <w:tcPr>
            <w:tcW w:w="4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Mezzanine debt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NA</w:t>
            </w:r>
          </w:p>
        </w:tc>
      </w:tr>
      <w:tr>
        <w:trPr>
          <w:trHeight w:val="22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115,261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(17%), monthly (69%) and quarterly (14%)</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(98%) and quarterly (2%)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(19%), weekly (5%) and monthly (76%)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(14%), monthly (58%) and quarterly (28%)</w:t>
      </w:r>
    </w:p>
    <w:p>
      <w:pPr>
        <w:spacing w:after="0" w:line="9" w:lineRule="exact"/>
        <w:rPr>
          <w:rFonts w:ascii="Times New Roman" w:cs="Times New Roman" w:eastAsia="Times New Roman" w:hAnsi="Times New Roman"/>
          <w:sz w:val="18"/>
          <w:szCs w:val="18"/>
          <w:color w:val="auto"/>
        </w:rPr>
      </w:pPr>
    </w:p>
    <w:p>
      <w:pPr>
        <w:ind w:left="460" w:right="80" w:hanging="452"/>
        <w:spacing w:after="0" w:line="261"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$6,588 are excluded. Such commitments are required to be funded by capital contributions from noncontrolling interest holders.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gridSpan w:val="6"/>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Estimated Liquidation Period of</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5"/>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24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Investments Not Redeemable</w:t>
            </w:r>
          </w:p>
        </w:tc>
        <w:tc>
          <w:tcPr>
            <w:tcW w:w="19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5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Unfunded</w:t>
            </w: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Not</w:t>
            </w: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Next</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Redemption</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Redemption</w:t>
            </w:r>
          </w:p>
        </w:tc>
      </w:tr>
      <w:tr>
        <w:trPr>
          <w:trHeight w:val="165"/>
        </w:trPr>
        <w:tc>
          <w:tcPr>
            <w:tcW w:w="39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2"/>
              </w:rPr>
              <w:t>5 Years</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Thereafter</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Notice Period</w:t>
            </w: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Hedge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31,042</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&lt;30-60 days</w:t>
            </w:r>
          </w:p>
        </w:tc>
      </w:tr>
      <w:tr>
        <w:trPr>
          <w:trHeight w:val="216"/>
        </w:trPr>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&lt;30-90 days</w:t>
            </w:r>
          </w:p>
        </w:tc>
      </w:tr>
      <w:tr>
        <w:trPr>
          <w:trHeight w:val="216"/>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&lt;30-60 days</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days</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30-90 days</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18,676(f)</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NA</w:t>
            </w:r>
          </w:p>
        </w:tc>
      </w:tr>
      <w:tr>
        <w:trPr>
          <w:trHeight w:val="216"/>
        </w:trPr>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Mezzanine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NA</w:t>
            </w: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149,222</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18,676</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57"/>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4"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(15%), monthly (66%) and quarterly (19%)</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(98%) and quarterly (2%)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(11%), weekly (3%) and monthly (86%)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(14%), monthly (58%) and quarterly (28%)</w:t>
      </w:r>
    </w:p>
    <w:p>
      <w:pPr>
        <w:spacing w:after="0" w:line="9" w:lineRule="exact"/>
        <w:rPr>
          <w:rFonts w:ascii="Times New Roman" w:cs="Times New Roman" w:eastAsia="Times New Roman" w:hAnsi="Times New Roman"/>
          <w:sz w:val="18"/>
          <w:szCs w:val="18"/>
          <w:color w:val="auto"/>
        </w:rPr>
      </w:pPr>
    </w:p>
    <w:p>
      <w:pPr>
        <w:ind w:left="460" w:right="60" w:hanging="452"/>
        <w:spacing w:after="0" w:line="261"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$6,888 are excluded. Such commitments are required to be funded by capital contributions from noncontrolling interest holders.</w:t>
      </w:r>
    </w:p>
    <w:p>
      <w:pPr>
        <w:spacing w:after="0" w:line="13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See Note 4 of Notes to Condensed Consolidated Financial Statements for discussion of significant investment strategies for investments with value based on NAV.</w:t>
      </w:r>
    </w:p>
    <w:p>
      <w:pPr>
        <w:spacing w:after="0" w:line="11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Investment Capital Funding Commitments—</w:t>
      </w:r>
      <w:r>
        <w:rPr>
          <w:rFonts w:ascii="Times New Roman" w:cs="Times New Roman" w:eastAsia="Times New Roman" w:hAnsi="Times New Roman"/>
          <w:sz w:val="18"/>
          <w:szCs w:val="18"/>
          <w:color w:val="auto"/>
        </w:rPr>
        <w:t>At March 31, 2015, the Company’s maximum unfunded commitments for capital contributions to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funds arose from (i) commitments to CP II, which amounted to $1,499 for potential “follow-on investments” and/or for fund expenses through the earlier of February 25, 2017 or the liquidation of the fund, (ii) commitments to EGCP III, which amounted to $12,035, through the earlier of October 12, 2016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$4,144, through the earlier of November 11, 2016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260"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DERIVATIVES</w:t>
      </w:r>
    </w:p>
    <w:p>
      <w:pPr>
        <w:spacing w:after="0" w:line="94"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not designated as hedging instruments are included in “interest income” and “interest expense”, respectively, or “revenue-other”, depending on the nature of the underlying item, in the condensed consolidated statements of operations.</w:t>
      </w:r>
    </w:p>
    <w:p>
      <w:pPr>
        <w:spacing w:after="0" w:line="14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(see Note 12 of Notes to Condensed Consolidated Financial Statements) on the accompanying condensed consolidated statements of financial condition as of March 31, 2015 and December 31,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8380" w:type="dxa"/>
            <w:vAlign w:val="bottom"/>
          </w:tcPr>
          <w:p>
            <w:pPr>
              <w:spacing w:after="0"/>
              <w:rPr>
                <w:sz w:val="13"/>
                <w:szCs w:val="13"/>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116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9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4,296</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return swaps and other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8"/>
                <w:szCs w:val="18"/>
                <w:color w:val="auto"/>
              </w:rPr>
            </w:pPr>
          </w:p>
        </w:tc>
      </w:tr>
      <w:tr>
        <w:trPr>
          <w:trHeight w:val="223"/>
        </w:trPr>
        <w:tc>
          <w:tcPr>
            <w:tcW w:w="9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LFI and other similar deferred compensation arrangements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226,107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207,306</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227,628</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208,093</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260" w:hanging="452"/>
        <w:spacing w:after="0" w:line="258"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total return swaps, amounts represent the netting of gross derivative assets and liabilities of $530 and $1,531 as of March 31, 2015, respectively, and $1,123 and $1,786 as of December 31, 2014, respectively, for contracts with the same counterparty under legally enforceable master netting agreements. Such amounts are recorded “net” in “other assets”, with receivables for net cash collateral under such contracts of $11,214 and $12,364 as of March 31, 2015 and December 31, 2014, respectively.</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periods ended March 31, 2015 and 2014,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5"/>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48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4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15,400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$(1,153)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LFI and other similar deferred compensation arrangements</w:t>
            </w:r>
          </w:p>
        </w:tc>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(4,136)</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1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return swaps and other</w:t>
            </w:r>
          </w:p>
        </w:tc>
        <w:tc>
          <w:tcPr>
            <w:tcW w:w="4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(3,168)</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22"/>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8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(5,725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860" w:type="dxa"/>
            <w:vAlign w:val="bottom"/>
            <w:vMerge w:val="restart"/>
          </w:tcPr>
          <w:p>
            <w:pPr>
              <w:jc w:val="right"/>
              <w:ind w:right="3852"/>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8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At March 31, 2015 and December 31, 2014, property consists of the following:</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53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Depreciable</w:t>
            </w: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530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2"/>
              </w:rPr>
              <w:t>Life in Years</w:t>
            </w:r>
          </w:p>
        </w:tc>
        <w:tc>
          <w:tcPr>
            <w:tcW w:w="6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4"/>
                <w:szCs w:val="14"/>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$135,568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152,982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162,785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167,837</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3-10</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150,706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150,458</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80" w:type="dxa"/>
            <w:vAlign w:val="bottom"/>
          </w:tcPr>
          <w:p>
            <w:pPr>
              <w:spacing w:after="0"/>
              <w:rPr>
                <w:sz w:val="18"/>
                <w:szCs w:val="18"/>
                <w:color w:val="auto"/>
              </w:rPr>
            </w:pPr>
          </w:p>
        </w:tc>
      </w:tr>
      <w:tr>
        <w:trPr>
          <w:trHeight w:val="27"/>
        </w:trPr>
        <w:tc>
          <w:tcPr>
            <w:tcW w:w="5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455,053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478,855</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245,842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256,286</w:t>
            </w:r>
          </w:p>
        </w:tc>
        <w:tc>
          <w:tcPr>
            <w:tcW w:w="80" w:type="dxa"/>
            <w:vAlign w:val="bottom"/>
          </w:tcPr>
          <w:p>
            <w:pPr>
              <w:spacing w:after="0"/>
              <w:rPr>
                <w:sz w:val="18"/>
                <w:szCs w:val="18"/>
                <w:color w:val="auto"/>
              </w:rPr>
            </w:pPr>
          </w:p>
        </w:tc>
      </w:tr>
      <w:tr>
        <w:trPr>
          <w:trHeight w:val="27"/>
        </w:trPr>
        <w:tc>
          <w:tcPr>
            <w:tcW w:w="5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1"/>
              </w:rPr>
              <w:t>$ 209,211</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222,569</w:t>
            </w:r>
          </w:p>
        </w:tc>
        <w:tc>
          <w:tcPr>
            <w:tcW w:w="80" w:type="dxa"/>
            <w:vAlign w:val="bottom"/>
            <w:shd w:val="clear" w:color="auto" w:fill="CCEEFF"/>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9"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components of goodwill and other intangible assets at March 31, 2015 and December 31, 2014 are presented below:</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2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$324,963</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335,402</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16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335,966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347,438</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At March 31, 2015 and December 31, 2014, goodwill of $260,422 and $270,861, respectively, was attributable to the Company’s Financial Advisory segment and, at each such respective date, $64,541 of goodwill was attributable to the Company’s Asset Management segment.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 month periods ended March 31, 2015 and 2014 are as follows: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9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2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$335,402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$345,453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(10,439)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324,963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349,716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All changes in the carrying amount of goodwill for the three month periods ended March 31, 2015 and 2014 are attributable to the Company’s Financial Advisory segment.</w:t>
      </w:r>
    </w:p>
    <w:p>
      <w:pPr>
        <w:spacing w:after="0" w:line="1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240" w:top="455" w:right="5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gross cost and accumulated amortization of other intangible assets as of March 31, 2015 and December 31, 2014, by major intangible asset category,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 2014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5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0"/>
                <w:szCs w:val="10"/>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r>
      <w:tr>
        <w:trPr>
          <w:trHeight w:val="165"/>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1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2"/>
              </w:rPr>
              <w:t>Amortization</w:t>
            </w:r>
          </w:p>
        </w:tc>
        <w:tc>
          <w:tcPr>
            <w:tcW w:w="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$30,740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customer relationships and non-compete agreements</w:t>
            </w:r>
          </w:p>
        </w:tc>
        <w:tc>
          <w:tcPr>
            <w:tcW w:w="4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33,050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63,776</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11,003</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63,790</w:t>
            </w:r>
          </w:p>
        </w:tc>
        <w:tc>
          <w:tcPr>
            <w:tcW w:w="4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51,754</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12,036</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Amortization expense of intangible assets for the three month periods ended March 31, 2015 and 2014 was $1,033 and $1,220, respectively. Estimated future amortization expense is as follows:</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720" w:type="dxa"/>
            <w:vAlign w:val="bottom"/>
            <w:gridSpan w:val="4"/>
          </w:tcPr>
          <w:p>
            <w:pPr>
              <w:ind w:left="28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52"/>
        </w:trPr>
        <w:tc>
          <w:tcPr>
            <w:tcW w:w="5640" w:type="dxa"/>
            <w:vAlign w:val="bottom"/>
            <w:gridSpan w:val="4"/>
            <w:vMerge w:val="continue"/>
          </w:tcPr>
          <w:p>
            <w:pPr>
              <w:spacing w:after="0"/>
              <w:rPr>
                <w:sz w:val="13"/>
                <w:szCs w:val="13"/>
                <w:color w:val="auto"/>
              </w:rPr>
            </w:pPr>
          </w:p>
        </w:tc>
        <w:tc>
          <w:tcPr>
            <w:tcW w:w="2840" w:type="dxa"/>
            <w:vAlign w:val="bottom"/>
          </w:tcPr>
          <w:p>
            <w:pPr>
              <w:spacing w:after="0"/>
              <w:rPr>
                <w:sz w:val="13"/>
                <w:szCs w:val="13"/>
                <w:color w:val="auto"/>
              </w:rPr>
            </w:pPr>
          </w:p>
        </w:tc>
        <w:tc>
          <w:tcPr>
            <w:tcW w:w="880" w:type="dxa"/>
            <w:vAlign w:val="bottom"/>
            <w:gridSpan w:val="3"/>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540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2015 (April 1 through December 31)</w:t>
            </w:r>
          </w:p>
        </w:tc>
        <w:tc>
          <w:tcPr>
            <w:tcW w:w="2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5,525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7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040" w:type="dxa"/>
            <w:vAlign w:val="bottom"/>
            <w:gridSpan w:val="2"/>
            <w:shd w:val="clear" w:color="auto" w:fill="CCEEFF"/>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480" w:hanging="567"/>
        <w:spacing w:after="0"/>
        <w:tabs>
          <w:tab w:leader="none" w:pos="14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46% of intangible asset amortization is attributable to a noncontrolling interest.</w:t>
      </w:r>
    </w:p>
    <w:p>
      <w:pPr>
        <w:spacing w:after="0" w:line="28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SENIOR DEBT</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Senior debt is comprised of the following as of March 31, 2015 and December 31, 2014:</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260" w:type="dxa"/>
            <w:vAlign w:val="bottom"/>
          </w:tcPr>
          <w:p>
            <w:pPr>
              <w:spacing w:after="0"/>
              <w:rPr>
                <w:sz w:val="14"/>
                <w:szCs w:val="14"/>
                <w:color w:val="auto"/>
              </w:rPr>
            </w:pPr>
          </w:p>
        </w:tc>
        <w:tc>
          <w:tcPr>
            <w:tcW w:w="20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Outstanding As Of</w:t>
            </w:r>
          </w:p>
        </w:tc>
      </w:tr>
      <w:tr>
        <w:trPr>
          <w:trHeight w:val="125"/>
        </w:trPr>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90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860" w:type="dxa"/>
            <w:vAlign w:val="bottom"/>
            <w:gridSpan w:val="2"/>
          </w:tcPr>
          <w:p>
            <w:pPr>
              <w:jc w:val="center"/>
              <w:ind w:right="4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Interest</w:t>
            </w:r>
          </w:p>
        </w:tc>
        <w:tc>
          <w:tcPr>
            <w:tcW w:w="260" w:type="dxa"/>
            <w:vAlign w:val="bottom"/>
          </w:tcPr>
          <w:p>
            <w:pPr>
              <w:spacing w:after="0"/>
              <w:rPr>
                <w:sz w:val="10"/>
                <w:szCs w:val="10"/>
                <w:color w:val="auto"/>
              </w:rPr>
            </w:pPr>
          </w:p>
        </w:tc>
        <w:tc>
          <w:tcPr>
            <w:tcW w:w="6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Pr>
          <w:p>
            <w:pPr>
              <w:spacing w:after="0"/>
              <w:rPr>
                <w:sz w:val="10"/>
                <w:szCs w:val="10"/>
                <w:color w:val="auto"/>
              </w:rPr>
            </w:pPr>
          </w:p>
        </w:tc>
      </w:tr>
      <w:tr>
        <w:trPr>
          <w:trHeight w:val="165"/>
        </w:trPr>
        <w:tc>
          <w:tcPr>
            <w:tcW w:w="11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Lazard Group 6.85% Senior Notes</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600,000</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548,350</w:t>
            </w:r>
          </w:p>
        </w:tc>
        <w:tc>
          <w:tcPr>
            <w:tcW w:w="100" w:type="dxa"/>
            <w:vAlign w:val="bottom"/>
            <w:shd w:val="clear" w:color="auto" w:fill="CCEEFF"/>
          </w:tcPr>
          <w:p>
            <w:pPr>
              <w:spacing w:after="0"/>
              <w:rPr>
                <w:sz w:val="18"/>
                <w:szCs w:val="18"/>
                <w:color w:val="auto"/>
              </w:rPr>
            </w:pPr>
          </w:p>
        </w:tc>
      </w:tr>
      <w:tr>
        <w:trPr>
          <w:trHeight w:val="21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Lazard Group 4.25%</w:t>
            </w: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500,000</w:t>
            </w: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11/14/20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Lazard Group 3.75%</w:t>
            </w: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400,000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2/13/25</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Lazard Group Credit Facility</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150,000</w:t>
            </w:r>
          </w:p>
        </w:tc>
        <w:tc>
          <w:tcPr>
            <w:tcW w:w="4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9/25/15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0.80%</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15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$ 998,350</w:t>
            </w: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$ 1,048,350</w:t>
            </w: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60" w:hanging="452"/>
        <w:spacing w:after="0" w:line="255"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February 2015, Lazard Group completed an offering of $400,000 aggregate principal amount of 3.75% senior notes due 2025 (the “2025 Notes”). Lazard Group also issued a notice to redeem $450,000 of Lazard Group’s 6.85% senior notes due June 15, 2017 (the “2017 Notes”) in February 2015. Interest on the 2025 Notes is payable semi-annually on March 1 and September 1 of each year beginning September 1, 2015. Lazard Group used the net proceeds of the 2025 Notes, together with cash on hand, to redeem or otherwise retire $450,000 of the 2017 Notes, which, including the recognition of unamortized issuance costs, resulted in a loss on debt extinguishment of $60,219. Such loss on debt extinguishment was recorded in “operating expenses— other” on the condensed consolidated statement of operations for the three month period ended March 31, 2015.</w:t>
      </w:r>
    </w:p>
    <w:p>
      <w:pPr>
        <w:spacing w:after="0" w:line="139"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On September 25, 2012, Lazard Group entered into a $150,000, three-year senior revolving credit facility with a group of lenders (the “Credit Facility”), which expires in September 2015. The Credit Facility replaced a similar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revolving credit facility which was terminated as a condition to effectiveness of the Credit Facility. Interest rates under the Credit Facility vary and are based on either a Federal Funds rate or a Eurodollar rate, in each case plus an applicable margin. As of March 31, 2015, the annual interest rate for a loan accruing interest (based on the Federal Funds overnight rate), including the applicable margin, was 0.80%. At March 31, 2015 and December 31, 2014, no amounts were outstanding under the Credit Facility.</w:t>
      </w:r>
    </w:p>
    <w:p>
      <w:pPr>
        <w:spacing w:after="0" w:line="136"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March 31, 2015, the Company was in compliance with such provisions. All of the Company’s senior debt obligations are unsecured.</w:t>
      </w:r>
    </w:p>
    <w:p>
      <w:pPr>
        <w:spacing w:after="0" w:line="136"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As of March 31, 2015, the Company had approximately $245,000 in unused lines of credit available to it, including the Credit Facility, and unused lines of credit available to LFB of approximately $38,000 (at March 31, 2015 exchange rates) and Edgewater of $55,000. In addition, LFB has access to the Eurosystem Covered Bond Purchase Program of the Banque de France.</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Company’s senior debt at March 31, 2015 and December 31, 2014 is carried at historical amounts. At those dates, the fair value of such senior debt was approximately $1,037,000 and $1,135,000, respectively, and exceeded the aggregate carrying value by approximately $39,000 and $87,000, respectively. The fair value of the Company’s senior debt is based on market quotations. The Company’s senior debt would be categorized within Level 2 of the hierarchy of fair value measurements if carried at fair value.</w:t>
      </w:r>
    </w:p>
    <w:p>
      <w:pPr>
        <w:spacing w:after="0" w:line="254"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90"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The Company has various leases and other contractual commitments arising in the ordinary course of business.</w:t>
      </w:r>
    </w:p>
    <w:p>
      <w:pPr>
        <w:spacing w:after="0" w:line="171" w:lineRule="exact"/>
        <w:rPr>
          <w:sz w:val="20"/>
          <w:szCs w:val="20"/>
          <w:color w:val="auto"/>
        </w:rPr>
      </w:pPr>
    </w:p>
    <w:p>
      <w:pPr>
        <w:ind w:right="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In the normal course of business, LFB provides indemnifications to third parties to protect them in the event of non-performance by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clients. At March 31, 2015, LFB had $3,698 of such indemnifications and held $3,276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29" w:lineRule="exact"/>
        <w:rPr>
          <w:sz w:val="20"/>
          <w:szCs w:val="20"/>
          <w:color w:val="auto"/>
        </w:rPr>
      </w:pPr>
    </w:p>
    <w:p>
      <w:pPr>
        <w:ind w:right="120"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Certain Business Transactions</w:t>
      </w:r>
      <w:r>
        <w:rPr>
          <w:rFonts w:ascii="Times New Roman" w:cs="Times New Roman" w:eastAsia="Times New Roman" w:hAnsi="Times New Roman"/>
          <w:sz w:val="16"/>
          <w:szCs w:val="16"/>
          <w:color w:val="auto"/>
        </w:rPr>
        <w:t>—On July 15, 2009, the Company established a private equity business with Edgewater. Edgewater manages funds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0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Earnout Shares will be issued only if certain performance thresholds are met. As of March 31, 2015 and December 31, 2014, 913,722 shares are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issuable on a contingent basis, and 1,371,992 shares have been earned because applicable performance thresholds have been satisfied. As of March 31, 2015 and December 31, 2014, 1,371,992 of the earned shares have been settled.</w:t>
      </w:r>
    </w:p>
    <w:p>
      <w:pPr>
        <w:spacing w:after="0" w:line="116" w:lineRule="exact"/>
        <w:rPr>
          <w:sz w:val="20"/>
          <w:szCs w:val="20"/>
          <w:color w:val="auto"/>
        </w:rPr>
      </w:pPr>
    </w:p>
    <w:p>
      <w:pPr>
        <w:ind w:right="1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Contingent Consideration Relating To Other Business Acquisitions</w:t>
      </w:r>
      <w:r>
        <w:rPr>
          <w:rFonts w:ascii="Times New Roman" w:cs="Times New Roman" w:eastAsia="Times New Roman" w:hAnsi="Times New Roman"/>
          <w:sz w:val="18"/>
          <w:szCs w:val="18"/>
          <w:color w:val="auto"/>
        </w:rPr>
        <w:t>—For a business acquired in 2012, at December 31, 2012, 170,988 shares of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 by December 31, 2014. The extent of the achievement of such performance thresholds is currently under review.</w:t>
      </w:r>
    </w:p>
    <w:p>
      <w:pPr>
        <w:spacing w:after="0" w:line="129" w:lineRule="exact"/>
        <w:rPr>
          <w:sz w:val="20"/>
          <w:szCs w:val="20"/>
          <w:color w:val="auto"/>
        </w:rPr>
      </w:pPr>
    </w:p>
    <w:p>
      <w:pPr>
        <w:jc w:val="both"/>
        <w:ind w:right="3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Other Commitments</w:t>
      </w:r>
      <w:r>
        <w:rPr>
          <w:rFonts w:ascii="Times New Roman" w:cs="Times New Roman" w:eastAsia="Times New Roman" w:hAnsi="Times New Roman"/>
          <w:sz w:val="18"/>
          <w:szCs w:val="18"/>
          <w:color w:val="auto"/>
        </w:rPr>
        <w:t>—In the normal course of business, LFB enters into commitments to extend credit, predominately at variable interest rates.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March 31, 2015, these commitments were not material.</w:t>
      </w:r>
    </w:p>
    <w:p>
      <w:pPr>
        <w:spacing w:after="0" w:line="133"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Company has various other contractual commitments arising in the ordinary course of business. In addition, from time to time, each of LFB and LFNY may enter into underwriting commitments in which it will participate as an underwriter. At March 31, 2015, LFB and LFNY had no such underwriting commitments.</w:t>
      </w:r>
    </w:p>
    <w:p>
      <w:pPr>
        <w:spacing w:after="0" w:line="132"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16"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Legal</w:t>
      </w:r>
      <w:r>
        <w:rPr>
          <w:rFonts w:ascii="Times New Roman" w:cs="Times New Roman" w:eastAsia="Times New Roman" w:hAnsi="Times New Roman"/>
          <w:sz w:val="18"/>
          <w:szCs w:val="18"/>
          <w:color w:val="auto"/>
        </w:rPr>
        <w:t>—The Company is involved from time to time in judicial, regulatory and arbitration proceedings and inquiries concerning matters arising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55"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STOCKHOLDERS’ EQUITY</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—During the three month period ended March 31, 2015 and for the years ended December 31, 2014, 2013, and 2012,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Board of Directors of Lazard authorized the repurchase of Class A common stock and Lazard Group common membership interests as set forth in the table below.</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2360" w:type="dxa"/>
            <w:vAlign w:val="bottom"/>
            <w:vMerge w:val="restart"/>
          </w:tcPr>
          <w:p>
            <w:pPr>
              <w:spacing w:after="0"/>
              <w:rPr>
                <w:sz w:val="13"/>
                <w:szCs w:val="13"/>
                <w:color w:val="auto"/>
              </w:rPr>
            </w:pPr>
          </w:p>
        </w:tc>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6"/>
              </w:rPr>
              <w:t>Repurchase</w:t>
            </w: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80" w:type="dxa"/>
            <w:vAlign w:val="bottom"/>
            <w:tcBorders>
              <w:bottom w:val="single" w:sz="8" w:color="auto"/>
            </w:tcBorders>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1540" w:type="dxa"/>
            <w:vAlign w:val="bottom"/>
            <w:gridSpan w:val="3"/>
          </w:tcPr>
          <w:p>
            <w:pPr>
              <w:jc w:val="center"/>
              <w:ind w:right="6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Authorization</w:t>
            </w:r>
          </w:p>
        </w:tc>
        <w:tc>
          <w:tcPr>
            <w:tcW w:w="1780" w:type="dxa"/>
            <w:vAlign w:val="bottom"/>
            <w:gridSpan w:val="2"/>
          </w:tcPr>
          <w:p>
            <w:pPr>
              <w:ind w:left="520"/>
              <w:spacing w:after="0" w:line="152"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2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October 2012</w:t>
            </w:r>
          </w:p>
        </w:tc>
        <w:tc>
          <w:tcPr>
            <w:tcW w:w="2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97"/>
              </w:rPr>
              <w:t>December 31, 2014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2013</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December 31, 2015</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2014</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December 31, 2015</w:t>
            </w:r>
          </w:p>
        </w:tc>
        <w:tc>
          <w:tcPr>
            <w:tcW w:w="0" w:type="dxa"/>
            <w:vAlign w:val="bottom"/>
          </w:tcPr>
          <w:p>
            <w:pPr>
              <w:spacing w:after="0"/>
              <w:rPr>
                <w:sz w:val="1"/>
                <w:szCs w:val="1"/>
                <w:color w:val="auto"/>
              </w:rPr>
            </w:pPr>
          </w:p>
        </w:tc>
      </w:tr>
      <w:tr>
        <w:trPr>
          <w:trHeight w:val="22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2015</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20" w:type="dxa"/>
            <w:vAlign w:val="bottom"/>
          </w:tcPr>
          <w:p>
            <w:pPr>
              <w:spacing w:after="0"/>
              <w:rPr>
                <w:sz w:val="19"/>
                <w:szCs w:val="19"/>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December 31, 2016</w:t>
            </w:r>
          </w:p>
        </w:tc>
        <w:tc>
          <w:tcPr>
            <w:tcW w:w="0" w:type="dxa"/>
            <w:vAlign w:val="bottom"/>
          </w:tcPr>
          <w:p>
            <w:pPr>
              <w:spacing w:after="0"/>
              <w:rPr>
                <w:sz w:val="1"/>
                <w:szCs w:val="1"/>
                <w:color w:val="auto"/>
              </w:rPr>
            </w:pPr>
          </w:p>
        </w:tc>
      </w:tr>
      <w:tr>
        <w:trPr>
          <w:trHeight w:val="350"/>
        </w:trPr>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2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Company expects that the share repurchase program will primarily be used to offset a portion of the shares that have been or will be issued under the Lazard Ltd 2005 Equity Incentive Plan (the “2005 Plan”) and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6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w:t>
            </w:r>
          </w:p>
        </w:tc>
      </w:tr>
      <w:tr>
        <w:trPr>
          <w:trHeight w:val="165"/>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Purchased</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w:t>
            </w:r>
          </w:p>
        </w:tc>
      </w:tr>
      <w:tr>
        <w:trPr>
          <w:trHeight w:val="115"/>
        </w:trPr>
        <w:tc>
          <w:tcPr>
            <w:tcW w:w="20" w:type="dxa"/>
            <w:vAlign w:val="bottom"/>
          </w:tcPr>
          <w:p>
            <w:pPr>
              <w:spacing w:after="0"/>
              <w:rPr>
                <w:sz w:val="10"/>
                <w:szCs w:val="10"/>
                <w:color w:val="auto"/>
              </w:rPr>
            </w:pPr>
          </w:p>
        </w:tc>
        <w:tc>
          <w:tcPr>
            <w:tcW w:w="962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7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210"/>
        </w:trPr>
        <w:tc>
          <w:tcPr>
            <w:tcW w:w="20" w:type="dxa"/>
            <w:vAlign w:val="bottom"/>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2014</w:t>
            </w:r>
          </w:p>
        </w:tc>
        <w:tc>
          <w:tcPr>
            <w:tcW w:w="77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2,392,674</w:t>
            </w:r>
          </w:p>
        </w:tc>
        <w:tc>
          <w:tcPr>
            <w:tcW w:w="5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77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1,677,464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jc w:val="both"/>
        <w:ind w:right="120" w:firstLine="456"/>
        <w:spacing w:after="0" w:line="275" w:lineRule="auto"/>
        <w:rPr>
          <w:sz w:val="20"/>
          <w:szCs w:val="20"/>
          <w:color w:val="auto"/>
        </w:rPr>
      </w:pPr>
      <w:r>
        <w:rPr>
          <w:rFonts w:ascii="Times New Roman" w:cs="Times New Roman" w:eastAsia="Times New Roman" w:hAnsi="Times New Roman"/>
          <w:sz w:val="18"/>
          <w:szCs w:val="18"/>
          <w:color w:val="auto"/>
        </w:rPr>
        <w:t>As of March 31, 2015, a total of $195,969 of share repurchase authorizations remained available under the Company’s share repurchase program, $45,969 of which will expire on December 31, 2015 and $150,000 of which will expire on December 31, 2016.</w:t>
      </w:r>
    </w:p>
    <w:p>
      <w:pPr>
        <w:spacing w:after="0" w:line="120" w:lineRule="exact"/>
        <w:rPr>
          <w:sz w:val="20"/>
          <w:szCs w:val="20"/>
          <w:color w:val="auto"/>
        </w:rPr>
      </w:pPr>
    </w:p>
    <w:p>
      <w:pPr>
        <w:jc w:val="both"/>
        <w:ind w:right="120" w:firstLine="456"/>
        <w:spacing w:after="0" w:line="275" w:lineRule="auto"/>
        <w:rPr>
          <w:sz w:val="20"/>
          <w:szCs w:val="20"/>
          <w:color w:val="auto"/>
        </w:rPr>
      </w:pPr>
      <w:r>
        <w:rPr>
          <w:rFonts w:ascii="Times New Roman" w:cs="Times New Roman" w:eastAsia="Times New Roman" w:hAnsi="Times New Roman"/>
          <w:sz w:val="18"/>
          <w:szCs w:val="18"/>
          <w:color w:val="auto"/>
        </w:rPr>
        <w:t>During the three month period ended March 31, 2015, the Company had in place trading plans under Rule 10b5-1 of the Securities Exchange Act of 1934, pursuant to which it effected stock repurchases in the open market.</w:t>
      </w:r>
    </w:p>
    <w:p>
      <w:pPr>
        <w:spacing w:after="0" w:line="116"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—Lazard Ltd has 15,000,000 authorized shares of preferred stock, par value $0.01 per share, inclusive of its Series A and Series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Series A and Series B preferred shares were issued in connection with certain prior year business acquisitions and are each non-participating securities convertible into Class A common stock, and have no voting or dividend rights. As of both March 31, 2015 and December 31, 2014, 7,921 shares of Series A preferred stock were outstanding, and no shares of Series B preferred stock were outstanding. At March 31, 2015 and December 31, 2014, no shares of Series A preferred stock were convertible into shares of Class A common stock on a contingent or a non-contingent basis.</w:t>
      </w:r>
    </w:p>
    <w:p>
      <w:pPr>
        <w:spacing w:after="0" w:line="134" w:lineRule="exact"/>
        <w:rPr>
          <w:sz w:val="20"/>
          <w:szCs w:val="20"/>
          <w:color w:val="auto"/>
        </w:rPr>
      </w:pPr>
    </w:p>
    <w:p>
      <w:pPr>
        <w:ind w:right="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Net of Tax (“AOCI”)</w:t>
      </w:r>
      <w:r>
        <w:rPr>
          <w:rFonts w:ascii="Times New Roman" w:cs="Times New Roman" w:eastAsia="Times New Roman" w:hAnsi="Times New Roman"/>
          <w:sz w:val="18"/>
          <w:szCs w:val="18"/>
          <w:color w:val="auto"/>
        </w:rPr>
        <w:t>—The tables below reflect changes in the balances of each component of AOCI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three month periods ended March 31, 2015 and 2014: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18"/>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Currency</w:t>
            </w:r>
          </w:p>
        </w:tc>
        <w:tc>
          <w:tcPr>
            <w:tcW w:w="1120" w:type="dxa"/>
            <w:vAlign w:val="bottom"/>
            <w:gridSpan w:val="2"/>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w w:val="94"/>
              </w:rPr>
              <w:t>Employee</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8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gridSpan w:val="3"/>
          </w:tcPr>
          <w:p>
            <w:pPr>
              <w:jc w:val="right"/>
              <w:ind w:right="378"/>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1120" w:type="dxa"/>
            <w:vAlign w:val="bottom"/>
            <w:gridSpan w:val="2"/>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Benefit</w:t>
            </w:r>
          </w:p>
        </w:tc>
        <w:tc>
          <w:tcPr>
            <w:tcW w:w="1140" w:type="dxa"/>
            <w:vAlign w:val="bottom"/>
            <w:gridSpan w:val="2"/>
          </w:tcPr>
          <w:p>
            <w:pPr>
              <w:jc w:val="right"/>
              <w:ind w:right="53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5"/>
              </w:rPr>
              <w:t>Lazard Ltd</w:t>
            </w:r>
          </w:p>
        </w:tc>
        <w:tc>
          <w:tcPr>
            <w:tcW w:w="0" w:type="dxa"/>
            <w:vAlign w:val="bottom"/>
          </w:tcPr>
          <w:p>
            <w:pPr>
              <w:spacing w:after="0"/>
              <w:rPr>
                <w:sz w:val="1"/>
                <w:szCs w:val="1"/>
                <w:color w:val="auto"/>
              </w:rPr>
            </w:pPr>
          </w:p>
        </w:tc>
      </w:tr>
      <w:tr>
        <w:trPr>
          <w:trHeight w:val="165"/>
        </w:trPr>
        <w:tc>
          <w:tcPr>
            <w:tcW w:w="5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20" w:type="dxa"/>
            <w:vAlign w:val="bottom"/>
            <w:gridSpan w:val="2"/>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1140" w:type="dxa"/>
            <w:vAlign w:val="bottom"/>
            <w:gridSpan w:val="2"/>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AOCI</w:t>
            </w: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8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2"/>
              </w:rPr>
              <w:t>AOCI</w:t>
            </w:r>
          </w:p>
        </w:tc>
        <w:tc>
          <w:tcPr>
            <w:tcW w:w="0" w:type="dxa"/>
            <w:vAlign w:val="bottom"/>
          </w:tcPr>
          <w:p>
            <w:pPr>
              <w:spacing w:after="0"/>
              <w:rPr>
                <w:sz w:val="1"/>
                <w:szCs w:val="1"/>
                <w:color w:val="auto"/>
              </w:rPr>
            </w:pPr>
          </w:p>
        </w:tc>
      </w:tr>
      <w:tr>
        <w:trPr>
          <w:trHeight w:val="20"/>
        </w:trPr>
        <w:tc>
          <w:tcPr>
            <w:tcW w:w="5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2015</w:t>
            </w:r>
          </w:p>
        </w:tc>
        <w:tc>
          <w:tcPr>
            <w:tcW w:w="7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(46,102</w:t>
            </w:r>
          </w:p>
        </w:tc>
        <w:tc>
          <w:tcPr>
            <w:tcW w:w="42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(154,665</w:t>
            </w:r>
          </w:p>
        </w:tc>
        <w:tc>
          <w:tcPr>
            <w:tcW w:w="4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(200,767</w:t>
            </w:r>
          </w:p>
        </w:tc>
        <w:tc>
          <w:tcPr>
            <w:tcW w:w="4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(200,766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Activity January 1 to March 31, 2015:</w:t>
            </w: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(34,133)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(33,914)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(33,914)</w:t>
            </w: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Adjustments for items reclassified to earnings, net of tax</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(34,133)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(32,728)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(32,728)</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March 31, 2015</w:t>
            </w:r>
          </w:p>
        </w:tc>
        <w:tc>
          <w:tcPr>
            <w:tcW w:w="7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2"/>
        </w:trPr>
        <w:tc>
          <w:tcPr>
            <w:tcW w:w="51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(80,235</w:t>
            </w:r>
          </w:p>
        </w:tc>
        <w:tc>
          <w:tcPr>
            <w:tcW w:w="42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(153,260</w:t>
            </w:r>
          </w:p>
        </w:tc>
        <w:tc>
          <w:tcPr>
            <w:tcW w:w="40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(233,495</w:t>
            </w:r>
          </w:p>
        </w:tc>
        <w:tc>
          <w:tcPr>
            <w:tcW w:w="4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(233,494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Currency</w:t>
            </w:r>
          </w:p>
        </w:tc>
        <w:tc>
          <w:tcPr>
            <w:tcW w:w="1120" w:type="dxa"/>
            <w:vAlign w:val="bottom"/>
            <w:gridSpan w:val="2"/>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w w:val="94"/>
              </w:rPr>
              <w:t>Employee</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8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49"/>
        </w:trPr>
        <w:tc>
          <w:tcPr>
            <w:tcW w:w="5900" w:type="dxa"/>
            <w:vAlign w:val="bottom"/>
          </w:tcPr>
          <w:p>
            <w:pPr>
              <w:spacing w:after="0"/>
              <w:rPr>
                <w:sz w:val="12"/>
                <w:szCs w:val="12"/>
                <w:color w:val="auto"/>
              </w:rPr>
            </w:pPr>
          </w:p>
        </w:tc>
        <w:tc>
          <w:tcPr>
            <w:tcW w:w="114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1120" w:type="dxa"/>
            <w:vAlign w:val="bottom"/>
            <w:gridSpan w:val="2"/>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Benefit</w:t>
            </w:r>
          </w:p>
        </w:tc>
        <w:tc>
          <w:tcPr>
            <w:tcW w:w="1140" w:type="dxa"/>
            <w:vAlign w:val="bottom"/>
            <w:gridSpan w:val="2"/>
          </w:tcPr>
          <w:p>
            <w:pPr>
              <w:jc w:val="right"/>
              <w:ind w:right="53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5"/>
              </w:rPr>
              <w:t>Lazard Ltd</w:t>
            </w:r>
          </w:p>
        </w:tc>
      </w:tr>
      <w:tr>
        <w:trPr>
          <w:trHeight w:val="165"/>
        </w:trPr>
        <w:tc>
          <w:tcPr>
            <w:tcW w:w="590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20" w:type="dxa"/>
            <w:vAlign w:val="bottom"/>
            <w:gridSpan w:val="2"/>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1140" w:type="dxa"/>
            <w:vAlign w:val="bottom"/>
            <w:gridSpan w:val="2"/>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AOCI</w:t>
            </w: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2"/>
              </w:rPr>
              <w:t>AOCI</w:t>
            </w: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2014</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(137,431</w:t>
            </w:r>
          </w:p>
        </w:tc>
        <w:tc>
          <w:tcPr>
            <w:tcW w:w="400" w:type="dxa"/>
            <w:vAlign w:val="bottom"/>
            <w:tcBorders>
              <w:top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(133,562</w:t>
            </w:r>
          </w:p>
        </w:tc>
        <w:tc>
          <w:tcPr>
            <w:tcW w:w="400" w:type="dxa"/>
            <w:vAlign w:val="bottom"/>
            <w:tcBorders>
              <w:top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(133,004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2"/>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Activity January 1 to March 31, 2014: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5,913</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(557)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5,339</w:t>
            </w:r>
          </w:p>
        </w:tc>
      </w:tr>
      <w:tr>
        <w:trPr>
          <w:trHeight w:val="223"/>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Adjustments for items reclassified to earnings, net of tax</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4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9"/>
                <w:szCs w:val="19"/>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5,913</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6,621</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2014</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(136,699</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(126,917</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(126,383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table below reflects adjustments for items reclassified out of AOCI, by component, for the three month periods ended March 31, 2015 and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17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7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540" w:type="dxa"/>
            <w:vAlign w:val="bottom"/>
            <w:tcBorders>
              <w:top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relating to employee benefit plans (a)</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$ 1,749</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$ 1,821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 related income taxes</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$ 1,186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120" w:hanging="452"/>
        <w:spacing w:after="0" w:line="275"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16" w:lineRule="exact"/>
        <w:rPr>
          <w:sz w:val="20"/>
          <w:szCs w:val="20"/>
          <w:color w:val="auto"/>
        </w:rPr>
      </w:pPr>
    </w:p>
    <w:p>
      <w:pPr>
        <w:jc w:val="both"/>
        <w:ind w:right="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Noncontrolling Interests—</w:t>
      </w:r>
      <w:r>
        <w:rPr>
          <w:rFonts w:ascii="Times New Roman" w:cs="Times New Roman" w:eastAsia="Times New Roman" w:hAnsi="Times New Roman"/>
          <w:sz w:val="18"/>
          <w:szCs w:val="18"/>
          <w:color w:val="auto"/>
        </w:rPr>
        <w:t>Noncontrolling interests principally represent interests held in (i) Lazard Group by LAZ-MD Holdings until May 2014 and (ii)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Edgewater’s management vehicles that the Company is deemed to control, but does not own. Following the Final Exchange of LAZ-MD Interests, Lazard Group became a wholly-owned indirect subsidiary of Lazard Ltd.</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ownership interests in Lazard Group held by Lazard Ltd and LAZ-MD Holdings: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2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w w:val="92"/>
              </w:rPr>
              <w:t>Lazard Ltd</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LAZ-MD Holdings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gridSpan w:val="2"/>
            <w:vMerge w:val="restart"/>
          </w:tcPr>
          <w:p>
            <w:pPr>
              <w:jc w:val="center"/>
              <w:ind w:right="100"/>
              <w:spacing w:after="0" w:line="132" w:lineRule="exact"/>
              <w:rPr>
                <w:sz w:val="20"/>
                <w:szCs w:val="20"/>
                <w:color w:val="auto"/>
              </w:rPr>
            </w:pPr>
            <w:r>
              <w:rPr>
                <w:rFonts w:ascii="Times New Roman" w:cs="Times New Roman" w:eastAsia="Times New Roman" w:hAnsi="Times New Roman"/>
                <w:sz w:val="14"/>
                <w:szCs w:val="14"/>
                <w:b w:val="1"/>
                <w:bCs w:val="1"/>
                <w:color w:val="auto"/>
                <w:w w:val="96"/>
              </w:rPr>
              <w:t>Lazard Group</w:t>
            </w:r>
          </w:p>
        </w:tc>
        <w:tc>
          <w:tcPr>
            <w:tcW w:w="0" w:type="dxa"/>
            <w:vAlign w:val="bottom"/>
          </w:tcPr>
          <w:p>
            <w:pPr>
              <w:spacing w:after="0"/>
              <w:rPr>
                <w:sz w:val="1"/>
                <w:szCs w:val="1"/>
                <w:color w:val="auto"/>
              </w:rPr>
            </w:pPr>
          </w:p>
        </w:tc>
      </w:tr>
      <w:tr>
        <w:trPr>
          <w:trHeight w:val="85"/>
        </w:trPr>
        <w:tc>
          <w:tcPr>
            <w:tcW w:w="1000" w:type="dxa"/>
            <w:vAlign w:val="bottom"/>
          </w:tcPr>
          <w:p>
            <w:pPr>
              <w:spacing w:after="0"/>
              <w:rPr>
                <w:sz w:val="7"/>
                <w:szCs w:val="7"/>
                <w:color w:val="auto"/>
              </w:rPr>
            </w:pPr>
          </w:p>
        </w:tc>
        <w:tc>
          <w:tcPr>
            <w:tcW w:w="4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0" w:type="dxa"/>
            <w:vAlign w:val="bottom"/>
          </w:tcPr>
          <w:p>
            <w:pPr>
              <w:spacing w:after="0"/>
              <w:rPr>
                <w:sz w:val="1"/>
                <w:szCs w:val="1"/>
                <w:color w:val="auto"/>
              </w:rPr>
            </w:pPr>
          </w:p>
        </w:tc>
      </w:tr>
      <w:tr>
        <w:trPr>
          <w:trHeight w:val="149"/>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46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Membership</w:t>
            </w:r>
          </w:p>
        </w:tc>
        <w:tc>
          <w:tcPr>
            <w:tcW w:w="660" w:type="dxa"/>
            <w:vAlign w:val="bottom"/>
          </w:tcPr>
          <w:p>
            <w:pPr>
              <w:jc w:val="right"/>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Membership</w:t>
            </w:r>
          </w:p>
        </w:tc>
        <w:tc>
          <w:tcPr>
            <w:tcW w:w="660" w:type="dxa"/>
            <w:vAlign w:val="bottom"/>
          </w:tcPr>
          <w:p>
            <w:pPr>
              <w:jc w:val="right"/>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Membership</w:t>
            </w:r>
          </w:p>
        </w:tc>
        <w:tc>
          <w:tcPr>
            <w:tcW w:w="0" w:type="dxa"/>
            <w:vAlign w:val="bottom"/>
          </w:tcPr>
          <w:p>
            <w:pPr>
              <w:spacing w:after="0"/>
              <w:rPr>
                <w:sz w:val="1"/>
                <w:szCs w:val="1"/>
                <w:color w:val="auto"/>
              </w:rPr>
            </w:pPr>
          </w:p>
        </w:tc>
      </w:tr>
      <w:tr>
        <w:trPr>
          <w:trHeight w:val="157"/>
        </w:trPr>
        <w:tc>
          <w:tcPr>
            <w:tcW w:w="1000" w:type="dxa"/>
            <w:vAlign w:val="bottom"/>
            <w:tcBorders>
              <w:bottom w:val="single" w:sz="8" w:color="auto"/>
            </w:tcBorders>
            <w:vMerge w:val="continue"/>
          </w:tcPr>
          <w:p>
            <w:pPr>
              <w:spacing w:after="0"/>
              <w:rPr>
                <w:sz w:val="13"/>
                <w:szCs w:val="13"/>
                <w:color w:val="auto"/>
              </w:rPr>
            </w:pPr>
          </w:p>
        </w:tc>
        <w:tc>
          <w:tcPr>
            <w:tcW w:w="4640" w:type="dxa"/>
            <w:vAlign w:val="bottom"/>
          </w:tcPr>
          <w:p>
            <w:pPr>
              <w:spacing w:after="0"/>
              <w:rPr>
                <w:sz w:val="13"/>
                <w:szCs w:val="13"/>
                <w:color w:val="auto"/>
              </w:rPr>
            </w:pPr>
          </w:p>
        </w:tc>
        <w:tc>
          <w:tcPr>
            <w:tcW w:w="1320" w:type="dxa"/>
            <w:vAlign w:val="bottom"/>
            <w:gridSpan w:val="2"/>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Interests</w:t>
            </w:r>
          </w:p>
        </w:tc>
        <w:tc>
          <w:tcPr>
            <w:tcW w:w="1160" w:type="dxa"/>
            <w:vAlign w:val="bottom"/>
            <w:gridSpan w:val="2"/>
          </w:tcPr>
          <w:p>
            <w:pPr>
              <w:jc w:val="center"/>
              <w:ind w:right="520"/>
              <w:spacing w:after="0" w:line="152" w:lineRule="exact"/>
              <w:rPr>
                <w:sz w:val="20"/>
                <w:szCs w:val="20"/>
                <w:color w:val="auto"/>
              </w:rPr>
            </w:pPr>
            <w:r>
              <w:rPr>
                <w:rFonts w:ascii="Times New Roman" w:cs="Times New Roman" w:eastAsia="Times New Roman" w:hAnsi="Times New Roman"/>
                <w:sz w:val="14"/>
                <w:szCs w:val="14"/>
                <w:b w:val="1"/>
                <w:bCs w:val="1"/>
                <w:color w:val="auto"/>
                <w:w w:val="96"/>
              </w:rPr>
              <w:t>Ownership</w:t>
            </w:r>
          </w:p>
        </w:tc>
        <w:tc>
          <w:tcPr>
            <w:tcW w:w="1120" w:type="dxa"/>
            <w:vAlign w:val="bottom"/>
            <w:gridSpan w:val="2"/>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Interests</w:t>
            </w:r>
          </w:p>
        </w:tc>
        <w:tc>
          <w:tcPr>
            <w:tcW w:w="11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b w:val="1"/>
                <w:bCs w:val="1"/>
                <w:color w:val="auto"/>
                <w:w w:val="93"/>
              </w:rPr>
              <w:t>Ownership</w:t>
            </w:r>
          </w:p>
        </w:tc>
        <w:tc>
          <w:tcPr>
            <w:tcW w:w="102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Interests</w:t>
            </w:r>
          </w:p>
        </w:tc>
        <w:tc>
          <w:tcPr>
            <w:tcW w:w="0" w:type="dxa"/>
            <w:vAlign w:val="bottom"/>
          </w:tcPr>
          <w:p>
            <w:pPr>
              <w:spacing w:after="0"/>
              <w:rPr>
                <w:sz w:val="1"/>
                <w:szCs w:val="1"/>
                <w:color w:val="auto"/>
              </w:rPr>
            </w:pPr>
          </w:p>
        </w:tc>
      </w:tr>
      <w:tr>
        <w:trPr>
          <w:trHeight w:val="20"/>
        </w:trPr>
        <w:tc>
          <w:tcPr>
            <w:tcW w:w="1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46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vMerge w:val="continue"/>
            <w:shd w:val="clear" w:color="auto" w:fill="CCEEFF"/>
          </w:tcPr>
          <w:p>
            <w:pPr>
              <w:spacing w:after="0"/>
              <w:rPr>
                <w:sz w:val="17"/>
                <w:szCs w:val="17"/>
                <w:color w:val="auto"/>
              </w:rPr>
            </w:pPr>
          </w:p>
        </w:tc>
        <w:tc>
          <w:tcPr>
            <w:tcW w:w="464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129,056,081</w:t>
            </w:r>
          </w:p>
        </w:tc>
        <w:tc>
          <w:tcPr>
            <w:tcW w:w="38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3" w:lineRule="exact"/>
              <w:rPr>
                <w:sz w:val="20"/>
                <w:szCs w:val="20"/>
                <w:color w:val="auto"/>
              </w:rPr>
            </w:pPr>
            <w:r>
              <w:rPr>
                <w:rFonts w:ascii="Times New Roman" w:cs="Times New Roman" w:eastAsia="Times New Roman" w:hAnsi="Times New Roman"/>
                <w:sz w:val="18"/>
                <w:szCs w:val="18"/>
                <w:color w:val="auto"/>
              </w:rPr>
              <w:t>99.5%</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710,009</w:t>
            </w:r>
          </w:p>
        </w:tc>
        <w:tc>
          <w:tcPr>
            <w:tcW w:w="38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3" w:lineRule="exact"/>
              <w:rPr>
                <w:sz w:val="20"/>
                <w:szCs w:val="20"/>
                <w:color w:val="auto"/>
              </w:rPr>
            </w:pPr>
            <w:r>
              <w:rPr>
                <w:rFonts w:ascii="Times New Roman" w:cs="Times New Roman" w:eastAsia="Times New Roman" w:hAnsi="Times New Roman"/>
                <w:sz w:val="18"/>
                <w:szCs w:val="18"/>
                <w:color w:val="auto"/>
              </w:rPr>
              <w:t>0.5%</w:t>
            </w: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129,766,090</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5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129,766,090</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129,766,090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1000" w:type="dxa"/>
            <w:vAlign w:val="bottom"/>
          </w:tcPr>
          <w:p>
            <w:pPr>
              <w:spacing w:after="0"/>
              <w:rPr>
                <w:sz w:val="24"/>
                <w:szCs w:val="24"/>
                <w:color w:val="auto"/>
              </w:rPr>
            </w:pPr>
          </w:p>
        </w:tc>
        <w:tc>
          <w:tcPr>
            <w:tcW w:w="558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820" w:firstLine="456"/>
        <w:spacing w:after="0" w:line="275" w:lineRule="auto"/>
        <w:rPr>
          <w:sz w:val="20"/>
          <w:szCs w:val="20"/>
          <w:color w:val="auto"/>
        </w:rPr>
      </w:pPr>
      <w:r>
        <w:rPr>
          <w:rFonts w:ascii="Times New Roman" w:cs="Times New Roman" w:eastAsia="Times New Roman" w:hAnsi="Times New Roman"/>
          <w:sz w:val="18"/>
          <w:szCs w:val="18"/>
          <w:color w:val="auto"/>
        </w:rPr>
        <w:t>The tables below summarize net income attributable to noncontrolling interests for the three month periods ended March 31, 2015 and 2014 and noncontrolling interests as of March 31, 2015 and December 31, 2014 in the Company’s condensed consolidated financial statements: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5"/>
              </w:rPr>
              <w:t>Net Income</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7"/>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Attributable to Noncontrolling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5"/>
              </w:rPr>
              <w:t>Interests</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5"/>
          </w:tcPr>
          <w:p>
            <w:pPr>
              <w:jc w:val="center"/>
              <w:ind w:left="321"/>
              <w:spacing w:after="0" w:line="125"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Edgewater</w:t>
            </w:r>
          </w:p>
        </w:tc>
        <w:tc>
          <w:tcPr>
            <w:tcW w:w="1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3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LAZ-MD Holdings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6,693</w:t>
            </w:r>
          </w:p>
        </w:tc>
        <w:tc>
          <w:tcPr>
            <w:tcW w:w="100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3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Noncontrolling Interests As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gridSpan w:val="3"/>
          </w:tcPr>
          <w:p>
            <w:pPr>
              <w:jc w:val="right"/>
              <w:ind w:right="140"/>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Edgewater</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63,504</w:t>
            </w: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62,584</w:t>
            </w:r>
          </w:p>
        </w:tc>
        <w:tc>
          <w:tcPr>
            <w:tcW w:w="3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1"/>
              </w:rPr>
              <w:t>718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64,222</w:t>
            </w: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63,313</w:t>
            </w:r>
          </w:p>
        </w:tc>
        <w:tc>
          <w:tcPr>
            <w:tcW w:w="3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Dividends Declared, April 2015</w:t>
      </w:r>
      <w:r>
        <w:rPr>
          <w:rFonts w:ascii="Times New Roman" w:cs="Times New Roman" w:eastAsia="Times New Roman" w:hAnsi="Times New Roman"/>
          <w:sz w:val="18"/>
          <w:szCs w:val="18"/>
          <w:color w:val="auto"/>
        </w:rPr>
        <w:t>— On April 22, 2015, the Board of Directors of Lazard Ltd declared a quarterly dividend of $0.35 per share on its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payable on May 15, 2015, to stockholders of record on May 4, 2015.</w:t>
      </w:r>
    </w:p>
    <w:p>
      <w:pPr>
        <w:spacing w:after="0" w:line="233"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Share-Based Incentive Plan Awards</w:t>
      </w:r>
    </w:p>
    <w:p>
      <w:pPr>
        <w:spacing w:after="0" w:line="9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 description of Lazard Ltd’s 2005 Plan and 2008 Plan and activity with respect thereto during the three month periods ended March 31, 2015 and 2014, is presented below.</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2005 Plan and the 2008 Plan</w:t>
      </w:r>
    </w:p>
    <w:p>
      <w:pPr>
        <w:spacing w:after="0" w:line="94"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The 2005 Plan authorizes the issuance of up to 25,000,000 shares of Class A common stock pursuant to the grant or exercise of stock options, stock appreciation rights, restricted stock units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36"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periods ended March 31, 2015 and 2014: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8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Share-based incentive awards: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59,071</w:t>
            </w:r>
          </w:p>
        </w:tc>
        <w:tc>
          <w:tcPr>
            <w:tcW w:w="840" w:type="dxa"/>
            <w:vAlign w:val="bottom"/>
          </w:tcPr>
          <w:p>
            <w:pPr>
              <w:spacing w:after="0"/>
              <w:rPr>
                <w:sz w:val="18"/>
                <w:szCs w:val="18"/>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52,285</w:t>
            </w: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PRSUs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6,198</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Restricted Stock</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DSUs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r>
      <w:tr>
        <w:trPr>
          <w:trHeight w:val="223"/>
        </w:trPr>
        <w:tc>
          <w:tcPr>
            <w:tcW w:w="8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77,923</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60,797</w:t>
            </w:r>
          </w:p>
        </w:tc>
        <w:tc>
          <w:tcPr>
            <w:tcW w:w="10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20" w:firstLine="456"/>
        <w:spacing w:after="0" w:line="258" w:lineRule="auto"/>
        <w:rPr>
          <w:sz w:val="20"/>
          <w:szCs w:val="20"/>
          <w:color w:val="auto"/>
        </w:rPr>
      </w:pPr>
      <w:r>
        <w:rPr>
          <w:rFonts w:ascii="Times New Roman" w:cs="Times New Roman" w:eastAsia="Times New Roman" w:hAnsi="Times New Roman"/>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36"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incentive plans are described below.</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RSUs and DSUs</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three month periods ended March 31, 2015 and 2014, issuances of RSUs pertaining to such dividend participation rights and respective charges to “retained earnings”, net of estimated forfeitures (with corresponding credits to “additional paid-in-capital”), consisted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1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r>
      <w:tr>
        <w:trPr>
          <w:trHeight w:val="165"/>
        </w:trPr>
        <w:tc>
          <w:tcPr>
            <w:tcW w:w="6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42"/>
        </w:trPr>
        <w:tc>
          <w:tcPr>
            <w:tcW w:w="66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80" w:type="dxa"/>
            <w:vAlign w:val="bottom"/>
            <w:tcBorders>
              <w:top w:val="single" w:sz="8" w:color="auto"/>
            </w:tcBorders>
          </w:tcPr>
          <w:p>
            <w:pPr>
              <w:jc w:val="right"/>
              <w:ind w:right="12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RSUs issued</w:t>
            </w:r>
          </w:p>
        </w:tc>
        <w:tc>
          <w:tcPr>
            <w:tcW w:w="2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453,751</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Charges to retained earnings, net of estimated forfeitures</w:t>
            </w:r>
          </w:p>
        </w:tc>
        <w:tc>
          <w:tcPr>
            <w:tcW w:w="3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$ 22,898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5,013</w:t>
            </w:r>
          </w:p>
        </w:tc>
        <w:tc>
          <w:tcPr>
            <w:tcW w:w="100" w:type="dxa"/>
            <w:vAlign w:val="bottom"/>
          </w:tcPr>
          <w:p>
            <w:pPr>
              <w:spacing w:after="0"/>
              <w:rPr>
                <w:sz w:val="19"/>
                <w:szCs w:val="19"/>
                <w:color w:val="auto"/>
              </w:rPr>
            </w:pPr>
          </w:p>
        </w:tc>
      </w:tr>
    </w:tbl>
    <w:p>
      <w:pPr>
        <w:spacing w:after="0" w:line="13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Non-executive members of the Board of Directors (“Non-Executive Directors”) receive approximately 55% of their annual compensation for service on the Board of Directors and its committees in the form of DSUs. No such DSUs were granted in connection with annual compensation during the three month periods ended March 31, 2015 and 2014.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 income per share, are included in the diluted weighted average shares of Class A common stock outstanding using the “treasury stock” method. DSUs include a cash dividend participation right equivalent to any ordinary quarterly dividends paid on Class A common stock.</w:t>
      </w:r>
    </w:p>
    <w:p>
      <w:pPr>
        <w:spacing w:after="0" w:line="14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Company’s Directors’ Fee Deferral Unit Plan permits the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three month periods ended March 31, 2015 and 2014, 619 and 2,310 DSUs, respectively, had been granted pursuant to such Plan.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activity relating to RSUs and DSUs during the three month periods ended March 31, 2015 and 2014:</w:t>
      </w:r>
    </w:p>
    <w:p>
      <w:pPr>
        <w:spacing w:after="0" w:line="88"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640" w:type="dxa"/>
            <w:vAlign w:val="bottom"/>
          </w:tcPr>
          <w:p>
            <w:pPr>
              <w:spacing w:after="0"/>
              <w:rPr>
                <w:sz w:val="12"/>
                <w:szCs w:val="12"/>
                <w:color w:val="auto"/>
              </w:rPr>
            </w:pPr>
          </w:p>
        </w:tc>
        <w:tc>
          <w:tcPr>
            <w:tcW w:w="1060" w:type="dxa"/>
            <w:vAlign w:val="bottom"/>
            <w:gridSpan w:val="4"/>
          </w:tcPr>
          <w:p>
            <w:pPr>
              <w:jc w:val="center"/>
              <w:ind w:left="98"/>
              <w:spacing w:after="0" w:line="149" w:lineRule="exact"/>
              <w:rPr>
                <w:sz w:val="20"/>
                <w:szCs w:val="20"/>
                <w:color w:val="auto"/>
              </w:rPr>
            </w:pPr>
            <w:r>
              <w:rPr>
                <w:rFonts w:ascii="Times New Roman" w:cs="Times New Roman" w:eastAsia="Times New Roman" w:hAnsi="Times New Roman"/>
                <w:sz w:val="14"/>
                <w:szCs w:val="14"/>
                <w:b w:val="1"/>
                <w:bCs w:val="1"/>
                <w:color w:val="auto"/>
                <w:w w:val="93"/>
              </w:rPr>
              <w:t>Grant Date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13,529,116</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286,227</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453,751 RSUs relating to dividend participation)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3,865,598</w:t>
            </w:r>
          </w:p>
        </w:tc>
        <w:tc>
          <w:tcPr>
            <w:tcW w:w="2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(110,530)</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(6,608,777)</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2015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10,675,407</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286,846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January 1, 2014</w:t>
            </w: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16,630,009</w:t>
            </w:r>
          </w:p>
        </w:tc>
        <w:tc>
          <w:tcPr>
            <w:tcW w:w="26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251,434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(including 115,297 RSUs relating to dividend participation)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3,492,223</w:t>
            </w:r>
          </w:p>
        </w:tc>
        <w:tc>
          <w:tcPr>
            <w:tcW w:w="2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(21,301)</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(6,317,612)</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2014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13,783,319</w:t>
            </w:r>
          </w:p>
        </w:tc>
        <w:tc>
          <w:tcPr>
            <w:tcW w:w="2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RSUs that vested during the three month periods ended March 31, 2015 and 2014, the Company satisfied its minimum statutory tax withholding requirements in lieu of issuing 1,892,454 and 1,843,389 shares of Class A common stock in the respective three month periods. Accordingly, 4,716,323 and 4,474,223 shares of Class A common stock held by the Company were delivered during the three month periods ended March 31, 2015 and 2014, respectively.</w:t>
      </w:r>
    </w:p>
    <w:p>
      <w:pPr>
        <w:spacing w:after="0" w:line="136"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As of March 31, 2015, estimated unrecognized RSU compensation expense was approximately $231,921, with such expense expected to be recognized over a weighted average period of approximately 1.0 years subsequent to March 31, 2015.</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00"/>
          </w:cols>
          <w:pgMar w:left="240" w:top="455" w:right="3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9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summary of activity related to shares of restricted Class A common stock associated with compensation arrangements during the three month periods ended March 31, 2015 and 2014:</w:t>
      </w:r>
    </w:p>
    <w:p>
      <w:pPr>
        <w:spacing w:after="0" w:line="1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40" w:type="dxa"/>
            <w:vAlign w:val="bottom"/>
            <w:gridSpan w:val="4"/>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729,827</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576,886</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(1,300)</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(438,743)</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2015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866,670</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January 1, 2014</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575,054</w:t>
            </w:r>
          </w:p>
        </w:tc>
        <w:tc>
          <w:tcPr>
            <w:tcW w:w="34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449,344</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(205,075)</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2014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819,323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shares of restricted Class A common stock that vested during the three month periods ended March 31, 2015 and 2014, the Company satisfied its minimum statutory tax withholding requirements in lieu of delivering 88,492 and 29,999 shares of Class A common stock during such respective three month periods. Accordingly, 350,251 and 175,076 shares of Class A common stock held by the Company were delivered during the three month periods ended March 31, 2015 and 2014, respectively.</w:t>
      </w:r>
    </w:p>
    <w:p>
      <w:pPr>
        <w:spacing w:after="0" w:line="136" w:lineRule="exact"/>
        <w:rPr>
          <w:sz w:val="20"/>
          <w:szCs w:val="20"/>
          <w:color w:val="auto"/>
        </w:rPr>
      </w:pPr>
    </w:p>
    <w:p>
      <w:pPr>
        <w:ind w:right="400" w:firstLine="456"/>
        <w:spacing w:after="0" w:line="310" w:lineRule="auto"/>
        <w:rPr>
          <w:sz w:val="20"/>
          <w:szCs w:val="20"/>
          <w:color w:val="auto"/>
        </w:rPr>
      </w:pPr>
      <w:r>
        <w:rPr>
          <w:rFonts w:ascii="Times New Roman" w:cs="Times New Roman" w:eastAsia="Times New Roman" w:hAnsi="Times New Roman"/>
          <w:sz w:val="16"/>
          <w:szCs w:val="16"/>
          <w:color w:val="auto"/>
        </w:rPr>
        <w:t>The restricted stock awards include a cash dividend participation right equivalent to any ordinary dividends paid on Class A common stock during the period, which will vest concurrently with the underlying restricted stock award. At March 31, 2015, estimated unrecognized restricted stock expense was approximately $26,051, with such expense to be recognized over a weighted average period of approximately 1.1 years subsequent to March 31, 2015.</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PRSUs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(with the exception of the PRSUs granted in 2013, for which (i) the performance period ended on December 31, 2014 and (ii) the number of shares of Class A common stock that may be received is equal to approximately 2.2 times the target number). The PRSUs granted in 2015 and 2014 will vest on a single date three years following the date of the grant and the PRSUs granted in 2013 vested 33% in March 2015 and will vest 67% in March 2016, in each case provided the applicable service and performance conditions are satisfied, other than with respect to the PRSUs granted in 2013, which performance conditions have been satisfied as of December 31, 2014.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PRSU award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activity relating to PRSUs during the three month periods ended March 31, 2015 and 2014:</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49"/>
        </w:trPr>
        <w:tc>
          <w:tcPr>
            <w:tcW w:w="7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9"/>
        </w:trPr>
        <w:tc>
          <w:tcPr>
            <w:tcW w:w="7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5"/>
        </w:trPr>
        <w:tc>
          <w:tcPr>
            <w:tcW w:w="7480" w:type="dxa"/>
            <w:vAlign w:val="bottom"/>
          </w:tcPr>
          <w:p>
            <w:pPr>
              <w:spacing w:after="0"/>
              <w:rPr>
                <w:sz w:val="14"/>
                <w:szCs w:val="14"/>
                <w:color w:val="auto"/>
              </w:rPr>
            </w:pP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2015</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1,347,148</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368,389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Pr>
          <w:p>
            <w:pPr>
              <w:spacing w:after="0"/>
              <w:rPr>
                <w:sz w:val="18"/>
                <w:szCs w:val="18"/>
                <w:color w:val="auto"/>
              </w:rPr>
            </w:pPr>
          </w:p>
        </w:tc>
      </w:tr>
      <w:tr>
        <w:trPr>
          <w:trHeight w:val="23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(328,793)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shd w:val="clear" w:color="auto" w:fill="CCEEFF"/>
          </w:tcPr>
          <w:p>
            <w:pPr>
              <w:spacing w:after="0"/>
              <w:rPr>
                <w:sz w:val="19"/>
                <w:szCs w:val="19"/>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2015</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1,386,744</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2014</w:t>
            </w:r>
          </w:p>
        </w:tc>
        <w:tc>
          <w:tcPr>
            <w:tcW w:w="1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448,128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360,783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00" w:type="dxa"/>
            <w:vAlign w:val="bottom"/>
          </w:tcPr>
          <w:p>
            <w:pPr>
              <w:spacing w:after="0"/>
              <w:rPr>
                <w:sz w:val="18"/>
                <w:szCs w:val="18"/>
                <w:color w:val="auto"/>
              </w:rPr>
            </w:pPr>
          </w:p>
        </w:tc>
      </w:tr>
      <w:tr>
        <w:trPr>
          <w:trHeight w:val="27"/>
        </w:trPr>
        <w:tc>
          <w:tcPr>
            <w:tcW w:w="7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2014</w:t>
            </w:r>
          </w:p>
        </w:tc>
        <w:tc>
          <w:tcPr>
            <w:tcW w:w="1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808,911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shd w:val="clear" w:color="auto" w:fill="CCEEFF"/>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PRSUs that vested during the three month period ended March 31, 2015, the Company satisfied its minimum statutory tax withholding requirements in lieu of issuing 25,239 shares of Class A common stock in the period. Accordingly, 303,554 shares of Class A common stock held by the Company were delivered during the three month period ended March 31, 2015.</w:t>
      </w:r>
    </w:p>
    <w:p>
      <w:pPr>
        <w:spacing w:after="0" w:line="13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March 31, 2015, the total estimated unrecognized compensation expense was approximately $32,820, and the Company expects to amortize such expense over a weighted-average period of approximately 0.9 years subsequent to March 31, 2015.</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LFI and Other Similar Deferred Compensation Arrangements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summary of activity relating to LFI and other similar deferred compensation arrangements during the three month periods ended March 31, 2015 and 2014:</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6"/>
              </w:rPr>
              <w:t>Prepaid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r>
      <w:tr>
        <w:trPr>
          <w:trHeight w:val="165"/>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3"/>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Liability</w:t>
            </w: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73,278</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89,965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89,965</w:t>
            </w:r>
          </w:p>
        </w:tc>
      </w:tr>
      <w:tr>
        <w:trPr>
          <w:trHeight w:val="230"/>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(75,002)</w:t>
            </w:r>
          </w:p>
        </w:tc>
      </w:tr>
      <w:tr>
        <w:trPr>
          <w:trHeight w:val="229"/>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r>
      <w:tr>
        <w:trPr>
          <w:trHeight w:val="217"/>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(24,614)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4,136</w:t>
            </w:r>
          </w:p>
        </w:tc>
      </w:tr>
      <w:tr>
        <w:trPr>
          <w:trHeight w:val="216"/>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2,565</w:t>
            </w:r>
          </w:p>
        </w:tc>
      </w:tr>
      <w:tr>
        <w:trPr>
          <w:trHeight w:val="216"/>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(844)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(2,244)</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2015</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137,681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226,107</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2"/>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6"/>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r>
      <w:tr>
        <w:trPr>
          <w:trHeight w:val="165"/>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3"/>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Liability</w:t>
            </w: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60,433</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92,711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92,711</w:t>
            </w:r>
          </w:p>
        </w:tc>
      </w:tr>
      <w:tr>
        <w:trPr>
          <w:trHeight w:val="230"/>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(45,450)</w:t>
            </w:r>
          </w:p>
        </w:tc>
      </w:tr>
      <w:tr>
        <w:trPr>
          <w:trHeight w:val="229"/>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(19,407)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2,626</w:t>
            </w:r>
          </w:p>
        </w:tc>
      </w:tr>
      <w:tr>
        <w:trPr>
          <w:trHeight w:val="216"/>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w:t>
            </w:r>
          </w:p>
        </w:tc>
      </w:tr>
      <w:tr>
        <w:trPr>
          <w:trHeight w:val="216"/>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2014</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133,844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213,438</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amortization of the prepaid compensation asset will generally be recognized over a weighted average period of approximately 1.1 years subsequent to March 31, 2015.</w:t>
      </w:r>
    </w:p>
    <w:p>
      <w:pPr>
        <w:spacing w:after="0" w:line="12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summary of the impact of LFI and other similar deferred compensation arrangements on “compensation and benefits” expense within the accompanying condensed consolidated statements of operations for the three month periods ended March 31, 2015 and 2014:</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8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180" w:type="dxa"/>
            <w:vAlign w:val="bottom"/>
            <w:tcBorders>
              <w:top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net of forfeitures</w:t>
            </w:r>
          </w:p>
        </w:tc>
        <w:tc>
          <w:tcPr>
            <w:tcW w:w="29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$26,664</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$20,313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Change in the fair value of underlying investments</w:t>
            </w:r>
          </w:p>
        </w:tc>
        <w:tc>
          <w:tcPr>
            <w:tcW w:w="29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30,800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920" w:type="dxa"/>
            <w:vAlign w:val="bottom"/>
            <w:vMerge w:val="restart"/>
          </w:tcPr>
          <w:p>
            <w:pPr>
              <w:jc w:val="right"/>
              <w:ind w:right="2312"/>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 PLANS</w:t>
      </w:r>
    </w:p>
    <w:p>
      <w:pPr>
        <w:spacing w:after="0" w:line="94"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35" w:lineRule="exact"/>
        <w:rPr>
          <w:sz w:val="20"/>
          <w:szCs w:val="20"/>
          <w:color w:val="auto"/>
        </w:rPr>
      </w:pPr>
    </w:p>
    <w:p>
      <w:pPr>
        <w:ind w:right="10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Employer Contributions to Pension Plans</w:t>
      </w:r>
      <w:r>
        <w:rPr>
          <w:rFonts w:ascii="Times New Roman" w:cs="Times New Roman" w:eastAsia="Times New Roman" w:hAnsi="Times New Roman"/>
          <w:sz w:val="18"/>
          <w:szCs w:val="18"/>
          <w:color w:val="auto"/>
        </w:rPr>
        <w:t>—The Company’s funding policy for its U.S. and non-U.S. pension plans is to fund when required or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upon an agreement with the plans’ trustees (the “Trustees”). Management also evaluates from time to time whether to make voluntary contributions to the plans.</w:t>
      </w:r>
    </w:p>
    <w:p>
      <w:pPr>
        <w:spacing w:after="0" w:line="129"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On March 31, 2015, the Company and the Trustees of the U.K. defined benefit pension plans concluded the December 31, 2013 triennial valuations of the plans. In connection with such valuations, the Company and the Trustees agreed upon pension funding terms pursuant to which the Company agreed, among other things, (i) to make contributions of 11.2 million British pounds into the plans by way of three equal contributions at June 30, September 30 and December 31, 2015, and (ii) that the Company’s existing account security arrangement would be dissolved and the cash balances within such accounts would be paid into the plans by June 30, 2015. The aggregate amount in the account security arrangement was approximately $16,600 and $17,500 at March 31, 2015 and December 31, 2014, respectively, and has been recorded in “cash deposited with clearing organizations and other segregated cash” on the accompanying condensed consolidated statements of financial condition. Income on the account security arrangement accretes to the Company and is recorded in interest income.</w:t>
      </w:r>
    </w:p>
    <w:p>
      <w:pPr>
        <w:spacing w:after="0" w:line="138"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components of net periodic benefit cost (credit) related to the Company’s post-retirement plans for the three month periods ended March 31, 2015 and 2014: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Medical Plan</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8"/>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7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Net Periodic Benefit Cost (Credit):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(7,071)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(8,079)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Prior service cost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actuarial loss (gain)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The Company recorded income tax provisions of $12,017 and $21,751 for the three month periods ended March 31, 2015 and 2014, respectively, representing effective tax rates of 16.1% and 20.3%, respectively. The difference between the U.S. federal statutory rate of 35.0% and the effective tax rates reflected above principally relates to (i) taxes payable to foreign jurisdictions that are not offset against U.S. income taxes, (ii) foreign source income (loss) not subject to U.S. income taxes (including interest on intercompany financings), (iii) change in the U.S. federal valuation allowance affecting the provision for income taxes, and (iv) U.S. state and local taxes (primarily UBT), which are incremental to the U.S. federal statutory tax rate.</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Substantially all of Lazard’s foreign operations are conducted in “pass-through” entities for U.S. income tax purposes. The Company provides for U.S. income taxes on a current basis for those earnings. The repatriation of prior earnings attributable to “non-pass-through” entities would not result in the recognition of a material amount of additional U.S. income taxes.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redemption of partnership interests that were held by former and current managing directors of the Company (including the Company’s executive officers) in connection with the Company’s separation and recapitalization that occurred in May 2005, and the subsequent exchanges of LAZ-MD Holdings exchangeable interests for shares of Class A common stock, have resulted in increases in the tax basis of the tangible or intangible assets of Lazard Group. The tax receivable agreement requires the Company to pay LMDC Holdings LLC (“LMDC Holdings”) 85% of the cash savings, if any, in U.S. federal, state and local income tax or franchise tax that the Company actually realizes as a result of these increases in tax basis. The Company records provisions for payments under the tax receivable agreement to the extent they are probable and estimable. During the three month period ended March 31, 2015, the Company recorded a “provision pursuant to tax receivable agreement” on the condensed consolidated statement of operations of $6,535 (no provision was recorded for the three month period ended March 31, 2014), with the liability related thereto included within “related party payables” on the condensed consolidated statement of financial condition (see Note 16 of Notes to Condensed Consolidated Financial Statements).</w:t>
      </w:r>
    </w:p>
    <w:p>
      <w:pPr>
        <w:spacing w:after="0" w:line="261"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INCOME PER SHARE OF CLASS A COMMON STOCK</w:t>
      </w:r>
    </w:p>
    <w:p>
      <w:pPr>
        <w:spacing w:after="0" w:line="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Company’s basic and diluted net income per share calculations for the three month periods ended March 31, 2015 and 2014 are computed as described below.</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Basic Net Income Per Share</w:t>
      </w:r>
    </w:p>
    <w:p>
      <w:pPr>
        <w:spacing w:after="0" w:line="92"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Numerator</w:t>
      </w:r>
      <w:r>
        <w:rPr>
          <w:rFonts w:ascii="Times New Roman" w:cs="Times New Roman" w:eastAsia="Times New Roman" w:hAnsi="Times New Roman"/>
          <w:sz w:val="18"/>
          <w:szCs w:val="18"/>
          <w:color w:val="auto"/>
        </w:rPr>
        <w:t>—utilizes net income attributable to Lazard Ltd for the respective periods, plus applicable adjustments to such net income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inclusion of shares of Class A common stock issuable on a non-contingent basis.</w:t>
      </w:r>
    </w:p>
    <w:p>
      <w:pPr>
        <w:spacing w:after="0" w:line="116" w:lineRule="exact"/>
        <w:rPr>
          <w:sz w:val="20"/>
          <w:szCs w:val="20"/>
          <w:color w:val="auto"/>
        </w:rPr>
      </w:pPr>
    </w:p>
    <w:p>
      <w:pPr>
        <w:ind w:right="8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Denominator</w:t>
      </w:r>
      <w:r>
        <w:rPr>
          <w:rFonts w:ascii="Times New Roman" w:cs="Times New Roman" w:eastAsia="Times New Roman" w:hAnsi="Times New Roman"/>
          <w:sz w:val="18"/>
          <w:szCs w:val="18"/>
          <w:color w:val="auto"/>
        </w:rPr>
        <w:t>—utilizes the weighted average number of shares of Class A common stock outstanding for the respective periods, plus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to such shares associated with shares of Class A common stock issuable on a non-contingent basis.</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Diluted Net Income Per Share</w:t>
      </w:r>
    </w:p>
    <w:p>
      <w:pPr>
        <w:spacing w:after="0" w:line="92" w:lineRule="exact"/>
        <w:rPr>
          <w:sz w:val="20"/>
          <w:szCs w:val="20"/>
          <w:color w:val="auto"/>
        </w:rPr>
      </w:pPr>
    </w:p>
    <w:p>
      <w:pPr>
        <w:ind w:right="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Numerator</w:t>
      </w:r>
      <w:r>
        <w:rPr>
          <w:rFonts w:ascii="Times New Roman" w:cs="Times New Roman" w:eastAsia="Times New Roman" w:hAnsi="Times New Roman"/>
          <w:sz w:val="18"/>
          <w:szCs w:val="18"/>
          <w:color w:val="auto"/>
        </w:rPr>
        <w:t>—utilizes net income attributable to Lazard Ltd for the respective periods as in the basic net income per share calculation described above, 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applicable and dilutive, (i) changes in net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auto"/>
        </w:rPr>
        <w:t>income attributable to noncontrolling interests resulting from assumed Class A common stock issuances in connection with share-based incentive compensation and, in 2014, on an “as-if-exchanged” basis, amounts applicable to LAZ-MD Holdings exchangeable interests and (ii) income tax related to (i) above.</w:t>
      </w:r>
    </w:p>
    <w:p>
      <w:pPr>
        <w:spacing w:after="0" w:line="72" w:lineRule="exact"/>
        <w:rPr>
          <w:sz w:val="20"/>
          <w:szCs w:val="20"/>
          <w:color w:val="auto"/>
        </w:rPr>
      </w:pPr>
    </w:p>
    <w:p>
      <w:pPr>
        <w:ind w:right="6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Denominator</w:t>
      </w:r>
      <w:r>
        <w:rPr>
          <w:rFonts w:ascii="Times New Roman" w:cs="Times New Roman" w:eastAsia="Times New Roman" w:hAnsi="Times New Roman"/>
          <w:sz w:val="16"/>
          <w:szCs w:val="16"/>
          <w:color w:val="auto"/>
        </w:rPr>
        <w:t>—utilizes the weighted average number of shares of Class A common stock outstanding for the respective periods as in the basic net income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 share calculation described above, plus, to the extent dilutive, the incremental number of shares of Class A common stock required to settle share-based incentive compensation and, in 2014, LAZ-MD Holdings exchangeable interests, using the “treasury stock” method or the “as-if-exchanged” basis, as applicable.</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calculations of the Company’s basic and diluted net income per share and weighted average shares outstanding for the three month periods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2015 and 2014 are presented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676"/>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Lazard Ltd</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Add (deduct) - adjustment associated with Class A common stock issuable on a non-contingent basis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Lazard Ltd - basic</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55,953</w:t>
            </w:r>
          </w:p>
        </w:tc>
        <w:tc>
          <w:tcPr>
            <w:tcW w:w="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Add - dilutive effect, as applicable, of:</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Adjustments to income relating to interest expense and changes in net income attributable to noncontrolling</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interests resulting from assumed Class A common stock issuances in connection with share-based incentive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compensation, and exchangeable interests, net of tax</w:t>
            </w:r>
          </w:p>
        </w:tc>
        <w:tc>
          <w:tcPr>
            <w:tcW w:w="26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Lazard Ltd - diluted</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55,953</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outstanding</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123,583,678</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121,361,210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Add - adjustment for shares of Class A common stock issuable on a non-contingent basis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72,011</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outstanding - basic</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123,655,689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121,776,207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Add - dilutive effect, as applicable, of:</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Weighted average number of incremental shares of Class A common stock issuable from share-based incentive</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compensation and exchangeable interests</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10,080,257</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12,249,784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outstanding - diluted</w:t>
            </w: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133,735,946</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134,025,991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Lazard Ltd per share of Class A common stock:</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$0.45</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jc w:val="right"/>
              <w:ind w:right="2592"/>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4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 PARTIES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receivable from, and payable to, related parties are set forth below:</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1160" w:type="dxa"/>
            <w:vAlign w:val="bottom"/>
            <w:tcBorders>
              <w:bottom w:val="single" w:sz="8" w:color="CCEEFF"/>
            </w:tcBorders>
          </w:tcPr>
          <w:p>
            <w:pPr>
              <w:spacing w:after="0"/>
              <w:rPr>
                <w:sz w:val="14"/>
                <w:szCs w:val="14"/>
                <w:color w:val="auto"/>
              </w:rPr>
            </w:pPr>
          </w:p>
        </w:tc>
        <w:tc>
          <w:tcPr>
            <w:tcW w:w="7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Receivables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LMDC Holdings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1,059</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MBA Lazard Holdings S.A. and its affiliates</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1,181</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LMDC Holdings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27,206</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MBA Lazard Holdings S.A. and its affiliates</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28,544</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640" w:hanging="452"/>
        <w:spacing w:after="0" w:line="493" w:lineRule="auto"/>
        <w:tabs>
          <w:tab w:leader="none" w:pos="4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relating to obligations pursuant to the tax receivable agreement (See Note 14 of Notes to Condensed Consolidated Financial Statements). LMDC Holdings is owned in large part by former and current managing directors of the Company (including the Company’s executive officers).</w:t>
      </w: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MBA Lazard Holdings S.A. and its affiliates (“MBA”), in which the Company has a 50% ownership interest, has operating companies in several South American countries.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REGULATORY AUTHORITIES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LFNY is a U.S. registered broker-dealer and is subject to the net capital requirements of Rule 15c3-1 under the Securities Exchange Act of 1934. Under the basic method permitted by this rule, the minimum required net capital, as defined, is a specified fixed percentage (6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March 31, 2015, LFNY’s regulatory net capital was $62,839, which exceeded the minimum requirement by $59,209. LFNY’s aggregate indebtedness to net capital ratio was 0.87:1 as of March 31, 2015.</w:t>
      </w:r>
    </w:p>
    <w:p>
      <w:pPr>
        <w:spacing w:after="0" w:line="139"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Certain U.K. subsidiaries of the Company, including LCL, Lazard Fund Managers Limited and Lazard Asset Management Limited (collectively, the “U.K. Subsidiaries”) are regulated by the Financial Conduct Authority. At March 31, 2015, the aggregate regulatory net capital of the U.K. Subsidiaries was $120,399, which exceeded the minimum requirement by $103,121.</w:t>
      </w:r>
    </w:p>
    <w:p>
      <w:pPr>
        <w:spacing w:after="0" w:line="13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CFLF, under which asset management and commercial banking activities are carried out in France, is subject to regulation by the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March 31, 2015, the consolidated regulatory net capital of CFLF was $128,933, which exceeded the minimum requirement set for regulatory capital levels by $88,477.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minimum requirements for regulatory net capital to be reported on a semi-annual basis and satisfy periodic financial and other reporting obligations. At December 31, 2014, the regulatory net capital of the combined European regulated group was $180,047, which exceeded the minimum requirement set for regulatory capital levels by $104,309.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4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Certain other U.S. and non-U.S. subsidiaries are subject to various capital adequacy requirements promulgated by various regulatory and exchange authorities in the countries in which they operate. At March 31, 2015, for those subsidiaries with regulatory capital requirements, their aggregate net capital was $97,272, which exceeded the minimum required capital by $72,054.</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2015, each of these subsidiaries individually was in compliance with its regulatory capital requirements.</w:t>
      </w:r>
    </w:p>
    <w:p>
      <w:pPr>
        <w:spacing w:after="0" w:line="17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Any new or expanded rules and regulations that may be adopted in countries in which we operate (including regulations that have not yet been proposed) could affect us in other ways.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INFORMATION</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of Notes to Condensed Consolidated Financial Statements. In addition, as described in Note 1 of Notes to Condensed Consolidated Financial Statements, the Company records selected other activities in its Corporate segment.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segment information for the three months ended March 31, 2015 and 2014 is prepared using the following methodology:</w:t>
      </w:r>
    </w:p>
    <w:p>
      <w:pPr>
        <w:spacing w:after="0" w:line="90"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expenses directly associated with each segment are included in determining operating income.</w:t>
      </w:r>
    </w:p>
    <w:p>
      <w:pPr>
        <w:spacing w:after="0" w:line="9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not directly associated with specific segments are allocated based on the most relevant measures applicable, including headcount, square footage and other factors.</w:t>
      </w:r>
    </w:p>
    <w:p>
      <w:pPr>
        <w:spacing w:after="0" w:line="38"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2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Company allocates investment gains and losses, interest income and interest expense among the various segments based on the segment in which the underlying asset or liability is reported.</w:t>
      </w:r>
    </w:p>
    <w:p>
      <w:pPr>
        <w:spacing w:after="0" w:line="120"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60"/>
          </w:cols>
          <w:pgMar w:left="240" w:top="455" w:right="2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10"/>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tc>
        <w:tc>
          <w:tcPr>
            <w:tcW w:w="44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Net Revenue</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$ 301,519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$ 275,496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4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242,935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245,415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4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Operating Income</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58,584</w:t>
            </w:r>
          </w:p>
        </w:tc>
        <w:tc>
          <w:tcPr>
            <w:tcW w:w="1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4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400" w:type="dxa"/>
            <w:vAlign w:val="bottom"/>
            <w:gridSpan w:val="2"/>
            <w:vMerge w:val="continue"/>
          </w:tcPr>
          <w:p>
            <w:pPr>
              <w:spacing w:after="0"/>
              <w:rPr>
                <w:sz w:val="24"/>
                <w:szCs w:val="24"/>
                <w:color w:val="auto"/>
              </w:rPr>
            </w:pPr>
          </w:p>
        </w:tc>
        <w:tc>
          <w:tcPr>
            <w:tcW w:w="44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Net Revenue</w:t>
            </w:r>
          </w:p>
        </w:tc>
        <w:tc>
          <w:tcPr>
            <w:tcW w:w="24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$ 279,807</w:t>
            </w:r>
          </w:p>
        </w:tc>
        <w:tc>
          <w:tcPr>
            <w:tcW w:w="1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$ 268,564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4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181,792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175,761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4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Operating Income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98,015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3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44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Net Revenue</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(3,577)</w:t>
            </w:r>
          </w:p>
        </w:tc>
        <w:tc>
          <w:tcPr>
            <w:tcW w:w="9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4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78,359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4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Operating Loss</w:t>
            </w:r>
          </w:p>
        </w:tc>
        <w:tc>
          <w:tcPr>
            <w:tcW w:w="2640" w:type="dxa"/>
            <w:vAlign w:val="bottom"/>
            <w:gridSpan w:val="7"/>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(81,936)</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(15,704)</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400" w:type="dxa"/>
            <w:vAlign w:val="bottom"/>
            <w:gridSpan w:val="2"/>
            <w:vMerge w:val="continue"/>
          </w:tcPr>
          <w:p>
            <w:pPr>
              <w:spacing w:after="0"/>
              <w:rPr>
                <w:sz w:val="24"/>
                <w:szCs w:val="24"/>
                <w:color w:val="auto"/>
              </w:rPr>
            </w:pPr>
          </w:p>
        </w:tc>
        <w:tc>
          <w:tcPr>
            <w:tcW w:w="44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Net Revenue</w:t>
            </w:r>
          </w:p>
        </w:tc>
        <w:tc>
          <w:tcPr>
            <w:tcW w:w="24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$ 577,749</w:t>
            </w:r>
          </w:p>
        </w:tc>
        <w:tc>
          <w:tcPr>
            <w:tcW w:w="1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$ 533,400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4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503,086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426,220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4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Operating Income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74,663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$ 107,180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gridSpan w:val="6"/>
          </w:tcPr>
          <w:p>
            <w:pPr>
              <w:jc w:val="right"/>
              <w:ind w:right="520"/>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0"/>
                <w:szCs w:val="10"/>
                <w:color w:val="auto"/>
              </w:rPr>
            </w:pPr>
          </w:p>
        </w:tc>
        <w:tc>
          <w:tcPr>
            <w:tcW w:w="840" w:type="dxa"/>
            <w:vAlign w:val="bottom"/>
            <w:gridSpan w:val="4"/>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4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44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Financial Advisory</w:t>
            </w:r>
          </w:p>
        </w:tc>
        <w:tc>
          <w:tcPr>
            <w:tcW w:w="4420" w:type="dxa"/>
            <w:vAlign w:val="bottom"/>
          </w:tcPr>
          <w:p>
            <w:pPr>
              <w:spacing w:after="0"/>
              <w:rPr>
                <w:sz w:val="18"/>
                <w:szCs w:val="18"/>
                <w:color w:val="auto"/>
              </w:rPr>
            </w:pPr>
          </w:p>
        </w:tc>
        <w:tc>
          <w:tcPr>
            <w:tcW w:w="2440" w:type="dxa"/>
            <w:vAlign w:val="bottom"/>
            <w:gridSpan w:val="5"/>
          </w:tcPr>
          <w:p>
            <w:pPr>
              <w:jc w:val="right"/>
              <w:ind w:right="132"/>
              <w:spacing w:after="0"/>
              <w:rPr>
                <w:sz w:val="20"/>
                <w:szCs w:val="20"/>
                <w:color w:val="auto"/>
              </w:rPr>
            </w:pPr>
            <w:r>
              <w:rPr>
                <w:rFonts w:ascii="Times New Roman" w:cs="Times New Roman" w:eastAsia="Times New Roman" w:hAnsi="Times New Roman"/>
                <w:sz w:val="18"/>
                <w:szCs w:val="18"/>
                <w:color w:val="auto"/>
              </w:rPr>
              <w:t>$  751,621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785,557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Asset Management</w:t>
            </w:r>
          </w:p>
        </w:tc>
        <w:tc>
          <w:tcPr>
            <w:tcW w:w="4420" w:type="dxa"/>
            <w:vAlign w:val="bottom"/>
            <w:shd w:val="clear" w:color="auto" w:fill="CCEEFF"/>
          </w:tcPr>
          <w:p>
            <w:pPr>
              <w:spacing w:after="0"/>
              <w:rPr>
                <w:sz w:val="18"/>
                <w:szCs w:val="18"/>
                <w:color w:val="auto"/>
              </w:rPr>
            </w:pPr>
          </w:p>
        </w:tc>
        <w:tc>
          <w:tcPr>
            <w:tcW w:w="2440" w:type="dxa"/>
            <w:vAlign w:val="bottom"/>
            <w:gridSpan w:val="5"/>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579,027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588,403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w:t>
            </w:r>
          </w:p>
        </w:tc>
        <w:tc>
          <w:tcPr>
            <w:tcW w:w="4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1,497,083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1,958,276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4420" w:type="dxa"/>
            <w:vAlign w:val="bottom"/>
            <w:shd w:val="clear" w:color="auto" w:fill="CCEEFF"/>
          </w:tcPr>
          <w:p>
            <w:pPr>
              <w:spacing w:after="0"/>
              <w:rPr>
                <w:sz w:val="18"/>
                <w:szCs w:val="18"/>
                <w:color w:val="auto"/>
              </w:rPr>
            </w:pPr>
          </w:p>
        </w:tc>
        <w:tc>
          <w:tcPr>
            <w:tcW w:w="2440" w:type="dxa"/>
            <w:vAlign w:val="bottom"/>
            <w:gridSpan w:val="5"/>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$ 2,827,731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$ 3,332,236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42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color w:val="auto"/>
              </w:rPr>
              <w:t>39</w:t>
            </w: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42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0" w:lineRule="exact"/>
        <w:rPr>
          <w:sz w:val="20"/>
          <w:szCs w:val="20"/>
          <w:color w:val="auto"/>
        </w:rPr>
      </w:pPr>
    </w:p>
    <w:p>
      <w:pPr>
        <w:ind w:right="220"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2014 (the “Form 10-K”). All references to “2015”, “2014”, “first quarter”, “three months” or “the period” refer to, as the context requires, the three month periods ended March 31, 2015 and March 31, 2014.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Certain Factors that May Affect Our Business</w:t>
      </w:r>
    </w:p>
    <w:p>
      <w:pPr>
        <w:spacing w:after="0" w:line="92" w:lineRule="exact"/>
        <w:rPr>
          <w:sz w:val="20"/>
          <w:szCs w:val="20"/>
          <w:color w:val="auto"/>
        </w:rPr>
      </w:pPr>
    </w:p>
    <w:p>
      <w:pPr>
        <w:ind w:right="80" w:firstLine="456"/>
        <w:spacing w:after="0" w:line="290" w:lineRule="auto"/>
        <w:rPr>
          <w:sz w:val="20"/>
          <w:szCs w:val="20"/>
          <w:color w:val="auto"/>
        </w:rPr>
      </w:pPr>
      <w:r>
        <w:rPr>
          <w:rFonts w:ascii="Times New Roman" w:cs="Times New Roman" w:eastAsia="Times New Roman" w:hAnsi="Times New Roman"/>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1"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general economic conditions or global or regional financial markets;</w:t>
      </w:r>
    </w:p>
    <w:p>
      <w:pPr>
        <w:spacing w:after="0" w:line="90" w:lineRule="exact"/>
        <w:rPr>
          <w:rFonts w:ascii="Times New Roman" w:cs="Times New Roman" w:eastAsia="Times New Roman" w:hAnsi="Times New Roman"/>
          <w:sz w:val="18"/>
          <w:szCs w:val="18"/>
          <w:color w:val="auto"/>
        </w:rPr>
      </w:pPr>
    </w:p>
    <w:p>
      <w:pPr>
        <w:ind w:left="900" w:right="26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revenues, for example due to a decline in overall mergers and acquisitions (“M&amp;A”) activity, our share of the M&amp;A market or our assets under management (“AUM”);</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caused by financial or other problems experienced by third parties;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unidentified or unanticipated risks;</w:t>
      </w:r>
    </w:p>
    <w:p>
      <w:pPr>
        <w:spacing w:after="0" w:line="8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lack of liquidity,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ready access to funds, for use in our businesses; and</w:t>
      </w:r>
    </w:p>
    <w:p>
      <w:pPr>
        <w:spacing w:after="0" w:line="9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03" w:lineRule="exact"/>
        <w:rPr>
          <w:sz w:val="20"/>
          <w:szCs w:val="20"/>
          <w:color w:val="auto"/>
        </w:rPr>
      </w:pPr>
    </w:p>
    <w:p>
      <w:pPr>
        <w:ind w:right="240" w:firstLine="456"/>
        <w:spacing w:after="0" w:line="301" w:lineRule="auto"/>
        <w:rPr>
          <w:sz w:val="20"/>
          <w:szCs w:val="20"/>
          <w:color w:val="auto"/>
        </w:rPr>
      </w:pPr>
      <w:r>
        <w:rPr>
          <w:rFonts w:ascii="Times New Roman" w:cs="Times New Roman" w:eastAsia="Times New Roman" w:hAnsi="Times New Roman"/>
          <w:sz w:val="16"/>
          <w:szCs w:val="16"/>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90" w:lineRule="exact"/>
        <w:rPr>
          <w:sz w:val="20"/>
          <w:szCs w:val="20"/>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goals, including the ratio of awarded compensation and benefits expense to operating revenue;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deploy surplus cash through dividends, share repurchases and debt repurchases;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offset stockholder dilution through share repurchases;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or assumed future results of operations and operating cash flows;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and investment policies;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plans and the availability of short-term borrowing;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position;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including the consideration to be paid and the timing of consummation;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opportunities available to our businesses;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our managing directors and employees;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levels of compensation expense and non-compensation expense;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operating performance, achievements, productivity improvements, efficiency and cost reduction efforts;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success and impact of litigation;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tax rates, including effective tax rates;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and tax rates;</w:t>
      </w:r>
    </w:p>
    <w:p>
      <w:pPr>
        <w:spacing w:after="0" w:line="90" w:lineRule="exact"/>
        <w:rPr>
          <w:rFonts w:ascii="Times New Roman" w:cs="Times New Roman" w:eastAsia="Times New Roman" w:hAnsi="Times New Roman"/>
          <w:sz w:val="18"/>
          <w:szCs w:val="18"/>
          <w:color w:val="auto"/>
        </w:rPr>
      </w:pPr>
    </w:p>
    <w:p>
      <w:pPr>
        <w:ind w:left="900" w:right="48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on our business;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future legislation and regulation on our business.</w:t>
      </w:r>
    </w:p>
    <w:p>
      <w:pPr>
        <w:spacing w:after="0" w:line="17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(together with its subsidiaries, “LAM”). Investors can link to Lazard Ltd, Lazard Group and their operating company websites through </w:t>
      </w:r>
      <w:r>
        <w:rPr>
          <w:rFonts w:ascii="Times New Roman" w:cs="Times New Roman" w:eastAsia="Times New Roman" w:hAnsi="Times New Roman"/>
          <w:sz w:val="18"/>
          <w:szCs w:val="18"/>
          <w:i w:val="1"/>
          <w:iCs w:val="1"/>
          <w:color w:val="auto"/>
        </w:rPr>
        <w:t>http://www.lazard.com</w:t>
      </w:r>
      <w:r>
        <w:rPr>
          <w:rFonts w:ascii="Times New Roman" w:cs="Times New Roman" w:eastAsia="Times New Roman" w:hAnsi="Times New Roman"/>
          <w:sz w:val="18"/>
          <w:szCs w:val="18"/>
          <w:color w:val="auto"/>
        </w:rPr>
        <w:t>. Our websites and the information contained therein or connected thereto shall not be deemed to be incorporated into this Form 10-Q.</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92"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36"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20"/>
          </w:cols>
          <w:pgMar w:left="240" w:top="455"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80" w:hanging="325"/>
        <w:spacing w:after="0" w:line="26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1" w:lineRule="exact"/>
        <w:rPr>
          <w:rFonts w:ascii="Times New Roman" w:cs="Times New Roman" w:eastAsia="Times New Roman" w:hAnsi="Times New Roman"/>
          <w:sz w:val="18"/>
          <w:szCs w:val="18"/>
          <w:color w:val="auto"/>
        </w:rPr>
      </w:pPr>
    </w:p>
    <w:p>
      <w:pPr>
        <w:jc w:val="both"/>
        <w:ind w:left="900" w:right="420" w:hanging="325"/>
        <w:spacing w:after="0" w:line="26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3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20"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for other clients, investment banking activities, including participation in underwritten offerings of securities in France, and asset-liability management.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consolidated net revenue was derived from the following segments: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6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3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9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Advisory</w:t>
            </w:r>
          </w:p>
        </w:tc>
        <w:tc>
          <w:tcPr>
            <w:tcW w:w="1480" w:type="dxa"/>
            <w:vAlign w:val="bottom"/>
            <w:gridSpan w:val="2"/>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gridSpan w:val="2"/>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1480" w:type="dxa"/>
            <w:vAlign w:val="bottom"/>
            <w:gridSpan w:val="2"/>
          </w:tcPr>
          <w:p>
            <w:pPr>
              <w:jc w:val="right"/>
              <w:ind w:right="73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85" w:lineRule="auto"/>
        <w:rPr>
          <w:sz w:val="20"/>
          <w:szCs w:val="20"/>
          <w:color w:val="auto"/>
        </w:rPr>
      </w:pPr>
      <w:r>
        <w:rPr>
          <w:rFonts w:ascii="Times New Roman" w:cs="Times New Roman" w:eastAsia="Times New Roman" w:hAnsi="Times New Roman"/>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the Edgewater Funds (“Edgewater”), our Chicago-based private equity firm (see Note 10 of Notes to Condensed Consolidated Financial Statements), (ii) Lazard Australia Corporate Opportunities Fund 2 (“COF2”), a Lazard-managed Australian fund targeting Australasian mid-market investments,</w:t>
      </w:r>
    </w:p>
    <w:p>
      <w:pPr>
        <w:spacing w:after="0" w:line="3" w:lineRule="exact"/>
        <w:rPr>
          <w:sz w:val="20"/>
          <w:szCs w:val="20"/>
          <w:color w:val="auto"/>
        </w:rPr>
      </w:pPr>
    </w:p>
    <w:p>
      <w:pPr>
        <w:ind w:right="260" w:firstLine="8"/>
        <w:spacing w:after="0" w:line="261" w:lineRule="auto"/>
        <w:tabs>
          <w:tab w:leader="none" w:pos="30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mezzanine fund, which invests in mezzanine debt of a diversified selection of small-to mid-cap European companies and (iv) a fund targeting significant noncontrolling-stake investments in established private companies. We also make investments to seed our Asset Management strategies.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Outlook</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Despite some market volatility in the early part of the first quarter of 2015, equity market indices for developed markets at March 31, 2015 generally increased as compared to such indices at March 31, 2014. Emerging markets indices at March 31, 2015 have decreased as compared to March 31, 2014, but are up slightly in the first quarter of 2015 compared to December 31, 2014. In the global M&amp;A markets during the first quarter of 2015, the value of all completed M&amp;A transactions increased as compared to the same period in the prior year, as did the subset of such transactions involving values greater than $500 million. During the same time, the value of all announced M&amp;A transactions, including the subset of such transactions involving values greater than $500 million, also increased, reflecting an active global M&amp;A environment. While the value of completed and announced transactions increased as compared to the prior period, the number of announced transactions (excluding the subset of announced transactions involving values greater than $500 million) decreased. During the first quarter of 2015, global restructuring activity remained low, consistent with the last several years.</w:t>
      </w:r>
    </w:p>
    <w:p>
      <w:pPr>
        <w:spacing w:after="0" w:line="138" w:lineRule="exact"/>
        <w:rPr>
          <w:sz w:val="20"/>
          <w:szCs w:val="20"/>
          <w:color w:val="auto"/>
        </w:rPr>
      </w:pPr>
    </w:p>
    <w:p>
      <w:pPr>
        <w:jc w:val="both"/>
        <w:ind w:right="260" w:firstLine="456"/>
        <w:spacing w:after="0" w:line="310" w:lineRule="auto"/>
        <w:rPr>
          <w:sz w:val="20"/>
          <w:szCs w:val="20"/>
          <w:color w:val="auto"/>
        </w:rPr>
      </w:pPr>
      <w:r>
        <w:rPr>
          <w:rFonts w:ascii="Times New Roman" w:cs="Times New Roman" w:eastAsia="Times New Roman" w:hAnsi="Times New Roman"/>
          <w:sz w:val="16"/>
          <w:szCs w:val="16"/>
          <w:color w:val="auto"/>
        </w:rPr>
        <w:t>In the first quarter of 2015, corporate cash balances remain high and interest rates remain low. The U.S. macroeconomic environment has improved, but Europe and many of the developing markets remain unsettled, particularly with respect to foreign currency markets. Volatility has generally reduced across the capital markets. Although market and foreign currency volatility may continue, the longer-term trends appear to remain favorable for both of our businesses.</w:t>
      </w:r>
    </w:p>
    <w:p>
      <w:pPr>
        <w:spacing w:after="0" w:line="97"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We intend to leverage our existing infrastructure to capitalize on any global macroeconomic recovery, positive momentum in the M&amp;A cycle, and strength in the global equity markets. We believe that we can generate revenue growth by remaining adequately staffed to capitalize on any macroeconomic recovery and deploying our intellectual capital to generate new revenue streams.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outlook with respect to our Financial Advisory and Asset Management businesses is described below.</w:t>
      </w:r>
    </w:p>
    <w:p>
      <w:pPr>
        <w:spacing w:after="0" w:line="86" w:lineRule="exact"/>
        <w:rPr>
          <w:sz w:val="20"/>
          <w:szCs w:val="20"/>
          <w:color w:val="auto"/>
        </w:rPr>
      </w:pPr>
    </w:p>
    <w:p>
      <w:pPr>
        <w:ind w:left="920" w:hanging="345"/>
        <w:spacing w:after="0" w:line="257" w:lineRule="auto"/>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Advisory </w:t>
      </w:r>
      <w:r>
        <w:rPr>
          <w:rFonts w:ascii="Times New Roman" w:cs="Times New Roman" w:eastAsia="Times New Roman" w:hAnsi="Times New Roman"/>
          <w:sz w:val="18"/>
          <w:szCs w:val="18"/>
          <w:color w:val="auto"/>
        </w:rPr>
        <w:t>– The fundamentals for continued growth of a strategic M&amp;A cycle appear to remain in place. Demand continues for expert,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strategic 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Japan and Australia position us for growth in these markets, while enhancing our relationships with, and the services that we can provide to, clients in developed economies.</w:t>
      </w:r>
    </w:p>
    <w:p>
      <w:pPr>
        <w:spacing w:after="0" w:line="53" w:lineRule="exact"/>
        <w:rPr>
          <w:rFonts w:ascii="Times New Roman" w:cs="Times New Roman" w:eastAsia="Times New Roman" w:hAnsi="Times New Roman"/>
          <w:sz w:val="18"/>
          <w:szCs w:val="18"/>
          <w:color w:val="auto"/>
        </w:rPr>
      </w:pPr>
    </w:p>
    <w:p>
      <w:pPr>
        <w:ind w:left="920" w:right="20" w:hanging="345"/>
        <w:spacing w:after="0" w:line="253" w:lineRule="auto"/>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Asset Management </w:t>
      </w:r>
      <w:r>
        <w:rPr>
          <w:rFonts w:ascii="Times New Roman" w:cs="Times New Roman" w:eastAsia="Times New Roman" w:hAnsi="Times New Roman"/>
          <w:sz w:val="18"/>
          <w:szCs w:val="18"/>
          <w:color w:val="auto"/>
        </w:rPr>
        <w:t>– Generally, we have seen increased investor demand across regions and investment platforms. In the short to intermediate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In recent years, we have expanded the global footprint of our Asset Management business by opening offices in Zurich, Singapore, Dubai and Dublin. We are continually developing and seeding new investment strategies that extend our existing platforms. Recent examples of growth initiatives include the following investment strategies: Emerging Markets Debt, Emerging Markets Small Cap Equity, Real Estate, Managed Volatility Strategies, Middle East North African Equities, Asian Equities, U.S. Long/Short Equity and International Concentrated Equity.</w:t>
      </w:r>
    </w:p>
    <w:p>
      <w:pPr>
        <w:spacing w:after="0" w:line="143"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See Item 1A, “Risk Factors” in our Form 10-K. Furthermore, net income and revenue in any period may not be indicative of full-year results or the results of any other period and may vary significantly from year to year and quarter to quarter.</w:t>
      </w:r>
    </w:p>
    <w:p>
      <w:pPr>
        <w:spacing w:after="0" w:line="120"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Overall, we continue to focus on the development of our business, including the generation of stable revenue growth, earnings growth and shareholder returns, the prudent management of our costs and expenses, the efficient use of our assets and the return of capital to our shareholders.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data with respect to our Financial Advisory and Asset Management businesses is included below.</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reflected in the following table, which sets forth global M&amp;A industry statistics, the value of all completed transactions, including completed transactions with values greater than $500 million, increased in the 2015 period as compared to the 2014 period, while the number of such transactions decreased. With respect to announced M&amp;A transactions, the value of all transactions increased, while the number decreased, in the 2015 period compared to the 2014 period.</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6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5"/>
        </w:trPr>
        <w:tc>
          <w:tcPr>
            <w:tcW w:w="4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43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jc w:val="right"/>
              <w:ind w:right="216"/>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r>
      <w:tr>
        <w:trPr>
          <w:trHeight w:val="165"/>
        </w:trPr>
        <w:tc>
          <w:tcPr>
            <w:tcW w:w="4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600" w:type="dxa"/>
            <w:vAlign w:val="bottom"/>
          </w:tcPr>
          <w:p>
            <w:pPr>
              <w:spacing w:after="0"/>
              <w:rPr>
                <w:sz w:val="14"/>
                <w:szCs w:val="14"/>
                <w:color w:val="auto"/>
              </w:rPr>
            </w:pPr>
          </w:p>
        </w:tc>
        <w:tc>
          <w:tcPr>
            <w:tcW w:w="106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Incr / (Decr)</w:t>
            </w:r>
          </w:p>
        </w:tc>
      </w:tr>
      <w:tr>
        <w:trPr>
          <w:trHeight w:val="156"/>
        </w:trPr>
        <w:tc>
          <w:tcPr>
            <w:tcW w:w="4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rPr>
              <w:t>($ in billions)</w:t>
            </w:r>
          </w:p>
        </w:tc>
        <w:tc>
          <w:tcPr>
            <w:tcW w:w="9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Completed M&amp;A Transactions: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 deals: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Value</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803</w:t>
            </w:r>
          </w:p>
        </w:tc>
        <w:tc>
          <w:tcPr>
            <w:tcW w:w="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738</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Number</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w w:val="93"/>
              </w:rPr>
              <w:t>8,599</w:t>
            </w:r>
          </w:p>
        </w:tc>
        <w:tc>
          <w:tcPr>
            <w:tcW w:w="600" w:type="dxa"/>
            <w:vAlign w:val="bottom"/>
          </w:tcPr>
          <w:p>
            <w:pPr>
              <w:spacing w:after="0"/>
              <w:rPr>
                <w:sz w:val="18"/>
                <w:szCs w:val="18"/>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w w:val="98"/>
              </w:rPr>
              <w:t>9,631</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Deals Greater than $500 million: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Value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632</w:t>
            </w:r>
          </w:p>
        </w:tc>
        <w:tc>
          <w:tcPr>
            <w:tcW w:w="60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556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Number</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243</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260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Announced M&amp;A Transactions: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All deals: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Value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880</w:t>
            </w:r>
          </w:p>
        </w:tc>
        <w:tc>
          <w:tcPr>
            <w:tcW w:w="60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733</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Number</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93"/>
              </w:rPr>
              <w:t>9,394</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98"/>
              </w:rPr>
              <w:t>9,830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Deals Greater than $500 million: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Value</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682</w:t>
            </w:r>
          </w:p>
        </w:tc>
        <w:tc>
          <w:tcPr>
            <w:tcW w:w="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544</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28"/>
        </w:trPr>
        <w:tc>
          <w:tcPr>
            <w:tcW w:w="4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Number</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268</w:t>
            </w:r>
          </w:p>
        </w:tc>
        <w:tc>
          <w:tcPr>
            <w:tcW w:w="600" w:type="dxa"/>
            <w:vAlign w:val="bottom"/>
          </w:tcPr>
          <w:p>
            <w:pPr>
              <w:spacing w:after="0"/>
              <w:rPr>
                <w:sz w:val="19"/>
                <w:szCs w:val="19"/>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245</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Source:Dealogic as of April 2, 2015.</w:t>
      </w:r>
    </w:p>
    <w:p>
      <w:pPr>
        <w:spacing w:after="0" w:line="17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Global restructuring activity during the 2015 period, as measured by the number of corporate defaults, decreased as compared to the 2014 period, and the aggregate value of debt defaults remained low, consistent with the last several years. The number of defaulting issuers increased to 16 in the 2015 period, according to Moody’s Investors Service, Inc., as compared to 8 in the 2014 period. The value of defaults also increased in the 2015 period as compared to the 2014 period, primarily due to one notable default of significant value in the U.S.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40" w:top="455" w:right="2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w:t>
      </w:r>
    </w:p>
    <w:p>
      <w:pPr>
        <w:spacing w:after="0" w:line="94"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percentage change in major equity market indices at March 31, 2015, as compared to such indices at December 31, 2014, and at March 31, 2014, is shown in the table below.</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Percentage Changes</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5"/>
        </w:trPr>
        <w:tc>
          <w:tcPr>
            <w:tcW w:w="6800" w:type="dxa"/>
            <w:vAlign w:val="bottom"/>
          </w:tcPr>
          <w:p>
            <w:pPr>
              <w:spacing w:after="0"/>
              <w:rPr>
                <w:sz w:val="14"/>
                <w:szCs w:val="14"/>
                <w:color w:val="auto"/>
              </w:rPr>
            </w:pPr>
          </w:p>
        </w:tc>
        <w:tc>
          <w:tcPr>
            <w:tcW w:w="1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 2015 vs.</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6800" w:type="dxa"/>
            <w:vAlign w:val="bottom"/>
          </w:tcPr>
          <w:p>
            <w:pPr>
              <w:spacing w:after="0"/>
              <w:rPr>
                <w:sz w:val="10"/>
                <w:szCs w:val="10"/>
                <w:color w:val="auto"/>
              </w:rPr>
            </w:pPr>
          </w:p>
        </w:tc>
        <w:tc>
          <w:tcPr>
            <w:tcW w:w="1940" w:type="dxa"/>
            <w:vAlign w:val="bottom"/>
            <w:gridSpan w:val="2"/>
          </w:tcPr>
          <w:p>
            <w:pPr>
              <w:jc w:val="center"/>
              <w:ind w:right="114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260" w:type="dxa"/>
            <w:vAlign w:val="bottom"/>
          </w:tcPr>
          <w:p>
            <w:pPr>
              <w:spacing w:after="0"/>
              <w:rPr>
                <w:sz w:val="10"/>
                <w:szCs w:val="10"/>
                <w:color w:val="auto"/>
              </w:rPr>
            </w:pPr>
          </w:p>
        </w:tc>
      </w:tr>
      <w:tr>
        <w:trPr>
          <w:trHeight w:val="165"/>
        </w:trPr>
        <w:tc>
          <w:tcPr>
            <w:tcW w:w="68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Stoxx</w:t>
            </w:r>
          </w:p>
        </w:tc>
        <w:tc>
          <w:tcPr>
            <w:tcW w:w="19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MSCI Emerging Market</w:t>
            </w:r>
          </w:p>
        </w:tc>
        <w:tc>
          <w:tcPr>
            <w:tcW w:w="19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MSCI World Index</w:t>
            </w:r>
          </w:p>
        </w:tc>
        <w:tc>
          <w:tcPr>
            <w:tcW w:w="19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28"/>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19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3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March 31, 2015 increased 1% versus AUM at December 31, 2014, primarily due to market appreciation and net inflows, partially offset by adverse foreign exchange movements. Average AUM in the 2015 period increased 7% as compared to average AUM in the 2014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4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3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w:t>
      </w:r>
    </w:p>
    <w:p>
      <w:pPr>
        <w:spacing w:after="0" w:line="120" w:lineRule="exact"/>
        <w:rPr>
          <w:sz w:val="20"/>
          <w:szCs w:val="20"/>
          <w:color w:val="auto"/>
        </w:rPr>
      </w:pPr>
    </w:p>
    <w:p>
      <w:pPr>
        <w:ind w:right="400" w:firstLine="456"/>
        <w:spacing w:after="0" w:line="255" w:lineRule="auto"/>
        <w:rPr>
          <w:sz w:val="20"/>
          <w:szCs w:val="20"/>
          <w:color w:val="auto"/>
        </w:rPr>
      </w:pPr>
      <w:r>
        <w:rPr>
          <w:rFonts w:ascii="Times New Roman" w:cs="Times New Roman" w:eastAsia="Times New Roman" w:hAnsi="Times New Roman"/>
          <w:sz w:val="18"/>
          <w:szCs w:val="18"/>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Although Corporate segment net revenue during the first quarter of 2015 represented (1)% of Lazard’s net revenue, total assets in the Corporate segment represented 53% of Lazard’s consolidated total assets as of March 31, 2015, which are attributable to investments in money market funds, debt and equity securities, interests in alternative investment, debt, equity and private equity funds, cash and assets associated with LFB.</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4" w:lineRule="exact"/>
        <w:rPr>
          <w:sz w:val="20"/>
          <w:szCs w:val="20"/>
          <w:color w:val="auto"/>
        </w:rPr>
      </w:pPr>
    </w:p>
    <w:p>
      <w:pPr>
        <w:jc w:val="both"/>
        <w:ind w:right="220" w:firstLine="456"/>
        <w:spacing w:after="0" w:line="285" w:lineRule="auto"/>
        <w:rPr>
          <w:sz w:val="20"/>
          <w:szCs w:val="20"/>
          <w:color w:val="auto"/>
        </w:rPr>
      </w:pPr>
      <w:r>
        <w:rPr>
          <w:rFonts w:ascii="Times New Roman" w:cs="Times New Roman" w:eastAsia="Times New Roman" w:hAnsi="Times New Roman"/>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LFI and other similar deferred compensation arrangements (see Note 12 of Notes to Condensed Consolidated Financial Statements),</w:t>
      </w:r>
    </w:p>
    <w:p>
      <w:pPr>
        <w:spacing w:after="0" w:line="3" w:lineRule="exact"/>
        <w:rPr>
          <w:sz w:val="20"/>
          <w:szCs w:val="20"/>
          <w:color w:val="auto"/>
        </w:rPr>
      </w:pPr>
    </w:p>
    <w:p>
      <w:pPr>
        <w:ind w:right="60" w:firstLine="8"/>
        <w:spacing w:after="0" w:line="255" w:lineRule="auto"/>
        <w:tabs>
          <w:tab w:leader="none" w:pos="3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38"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55" w:lineRule="exact"/>
        <w:rPr>
          <w:sz w:val="20"/>
          <w:szCs w:val="20"/>
          <w:color w:val="auto"/>
        </w:rPr>
      </w:pPr>
    </w:p>
    <w:p>
      <w:pPr>
        <w:ind w:left="900" w:right="12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deduct amortization expense recorded for accounting principles generally accepted in the United States of America (“U.S. GAAP”) purposes in each fiscal year associated with the vesting of deferred incentive compensation awards,</w:t>
      </w:r>
    </w:p>
    <w:p>
      <w:pPr>
        <w:spacing w:after="0" w:line="36" w:lineRule="exact"/>
        <w:rPr>
          <w:rFonts w:ascii="Times New Roman" w:cs="Times New Roman" w:eastAsia="Times New Roman" w:hAnsi="Times New Roman"/>
          <w:sz w:val="18"/>
          <w:szCs w:val="18"/>
          <w:color w:val="auto"/>
        </w:rPr>
      </w:pPr>
    </w:p>
    <w:p>
      <w:pPr>
        <w:jc w:val="both"/>
        <w:ind w:left="900" w:right="260" w:hanging="325"/>
        <w:spacing w:after="0" w:line="259"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add (i) the deferred incentive compensation awards granted applicable to the relevant year-end compensation process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deferred incentive compensation awards granted in 2015, 2014 and 2013 related to the 2014, 2013 and 2012 year-end compensation processes, respectively) and (ii) investments in people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“sign-on” bonuses) and other special deferred incentive compensation awards granted throughout the applicable year, with such amounts in (i) and (ii) reduced by an estimate of future forfeitures of such awards, and</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adjust for year-end foreign exchange fluctuations.</w:t>
      </w:r>
    </w:p>
    <w:p>
      <w:pPr>
        <w:spacing w:after="0" w:line="17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Compensation and benefits expense is the largest component of our operating expenses. Our goal is for annual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which compares to 55.8% for the year ended December 31, 2014. While we have implemented initiatives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4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2015, non-compensation expense also included the expenses related to the redemption of a substantial majority of the Company’s 6.85% senior notes due 2017 (the “2017 Notes”) (see Note 9 of Notes to Condensed Consolidated Financial Statements). For all periods, the amortization of intangible assets related to acquisitions pertains primarily to the acquisition of Edgewater.</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believe that “adjusted non-compensation expense,” a non-U.S. GAAP measure, provides a more meaningful basis for assessing our operating results.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calculations with respect to “adjusted non-compensation expense” see the table under “Consolidated Results of Operations” below.</w:t>
      </w: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455"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Noncontrolling interests primarily consist of amounts related to Edgewater’s management vehicles that the Company is deemed to control but not own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May 2014, the amount attributable to LAZ-MD Holdings LLC’s (“LAZ-MD Holdings”) ownership interest in the net income of Lazard Group.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11 of Notes to Condensed Consolidated Financial Statements for information regarding the Company’s noncontrolling interests. In May 2014, the remaining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Lazard Group common membership interests held by LAZ-MD Holdings were exchanged for shares of the Company’s Class A common stock.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exchange, Lazard Group became a wholly-owned indirect subsidiary of Lazard Ltd, and the sole issued and outstanding share of the Company’s Class B common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was automatically converted into one share of the Company’s Class A common stock pursuant to the provisions of the Company’s bye-laws, resulting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one outstanding class of common stock. See Note 1 of Notes to Condensed Consolidated Financial Statements.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9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Lazard’s condensed consolidated financial statements are presented in U.S. Dollars. Many of our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Foreign currency remeasurement gains and losses on transactions in non-functional currencies are included in the condensed consolidated statements of operations.</w:t>
      </w:r>
    </w:p>
    <w:p>
      <w:pPr>
        <w:spacing w:after="0" w:line="14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months ended March 31, 2015 was negatively impacted in comparison to the prior year period. However, a portion of our operating expenses also are denominated in currencies other than the U.S. dollar. Consequently, operating income for the three months ended March 31, 2015 was not significantly affected in comparison to the prior year period by the strengthening of the U.S. dollar.</w:t>
      </w:r>
    </w:p>
    <w:p>
      <w:pPr>
        <w:spacing w:after="0" w:line="139" w:lineRule="exact"/>
        <w:rPr>
          <w:sz w:val="20"/>
          <w:szCs w:val="20"/>
          <w:color w:val="auto"/>
        </w:rPr>
      </w:pPr>
    </w:p>
    <w:p>
      <w:pPr>
        <w:ind w:right="340" w:firstLine="456"/>
        <w:spacing w:after="0" w:line="339" w:lineRule="auto"/>
        <w:rPr>
          <w:sz w:val="20"/>
          <w:szCs w:val="20"/>
          <w:color w:val="auto"/>
        </w:rPr>
      </w:pPr>
      <w:r>
        <w:rPr>
          <w:rFonts w:ascii="Times New Roman" w:cs="Times New Roman" w:eastAsia="Times New Roman" w:hAnsi="Times New Roman"/>
          <w:sz w:val="16"/>
          <w:szCs w:val="16"/>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113"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-7620</wp:posOffset>
            </wp:positionV>
            <wp:extent cx="12007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7"/>
                <w:szCs w:val="7"/>
                <w:color w:val="auto"/>
              </w:rPr>
            </w:pPr>
          </w:p>
        </w:tc>
        <w:tc>
          <w:tcPr>
            <w:tcW w:w="4960" w:type="dxa"/>
            <w:vAlign w:val="bottom"/>
          </w:tcPr>
          <w:p>
            <w:pPr>
              <w:spacing w:after="0"/>
              <w:rPr>
                <w:sz w:val="7"/>
                <w:szCs w:val="7"/>
                <w:color w:val="auto"/>
              </w:rPr>
            </w:pPr>
          </w:p>
        </w:tc>
        <w:tc>
          <w:tcPr>
            <w:tcW w:w="4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4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577,749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533,400</w:t>
            </w:r>
          </w:p>
        </w:tc>
        <w:tc>
          <w:tcPr>
            <w:tcW w:w="0" w:type="dxa"/>
            <w:vAlign w:val="bottom"/>
          </w:tcPr>
          <w:p>
            <w:pPr>
              <w:spacing w:after="0"/>
              <w:rPr>
                <w:sz w:val="1"/>
                <w:szCs w:val="1"/>
                <w:color w:val="auto"/>
              </w:rPr>
            </w:pPr>
          </w:p>
        </w:tc>
      </w:tr>
      <w:tr>
        <w:trPr>
          <w:trHeight w:val="32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328,502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321,565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Non-compensation</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5"/>
              </w:rPr>
              <w:t>167,016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103,435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pursuant to tax receivable agreement</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6,535</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503,086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426,220</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tc>
        <w:tc>
          <w:tcPr>
            <w:tcW w:w="4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74,663</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107,180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12,017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21,751</w:t>
            </w: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4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Less – Net Income Attributable to Noncontrolling Interests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4,587</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Lazard Ltd</w:t>
            </w:r>
          </w:p>
        </w:tc>
        <w:tc>
          <w:tcPr>
            <w:tcW w:w="4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55,953</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as a % of net revenue</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340" w:type="dxa"/>
            <w:vAlign w:val="bottom"/>
            <w:vMerge w:val="restart"/>
          </w:tcPr>
          <w:p>
            <w:pPr>
              <w:jc w:val="right"/>
              <w:ind w:right="34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18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7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174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1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4"/>
              </w:rPr>
              <w:t>$ 577,749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$ 533,400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expense (a)</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16,077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15,716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Revenue related to noncontrolling interests (b)</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(8,734)</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(6,266)</w:t>
            </w: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Gains on investments pertaining to LFI (c)</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(4,136)</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(2,626)</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$ 580,956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$ 540,224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3" w:lineRule="exact"/>
        <w:rPr>
          <w:sz w:val="20"/>
          <w:szCs w:val="20"/>
          <w:color w:val="auto"/>
        </w:rPr>
      </w:pPr>
    </w:p>
    <w:p>
      <w:pPr>
        <w:ind w:left="460" w:right="240" w:hanging="452"/>
        <w:spacing w:after="0" w:line="257"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1"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related to the consolidation of noncontrolling interests is excluded from operating revenue because the Company has no economic interest in such amount.</w:t>
      </w:r>
    </w:p>
    <w:p>
      <w:pPr>
        <w:ind w:left="460" w:right="640" w:hanging="452"/>
        <w:spacing w:after="0" w:line="261"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1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r>
      <w:tr>
        <w:trPr>
          <w:trHeight w:val="165"/>
        </w:trPr>
        <w:tc>
          <w:tcPr>
            <w:tcW w:w="11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42"/>
        </w:trPr>
        <w:tc>
          <w:tcPr>
            <w:tcW w:w="11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0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200" w:type="dxa"/>
            <w:vAlign w:val="bottom"/>
          </w:tcPr>
          <w:p>
            <w:pPr>
              <w:spacing w:after="0"/>
              <w:rPr>
                <w:sz w:val="13"/>
                <w:szCs w:val="13"/>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Compensation and Benefits Expense:</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compensation and benefits expense</w:t>
            </w:r>
          </w:p>
        </w:tc>
        <w:tc>
          <w:tcPr>
            <w:tcW w:w="3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$328,502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$321,565</w:t>
            </w: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Noncontrolling interests (a)</w:t>
            </w:r>
          </w:p>
        </w:tc>
        <w:tc>
          <w:tcPr>
            <w:tcW w:w="32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(1,217)</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(1,148)</w:t>
            </w:r>
          </w:p>
        </w:tc>
      </w:tr>
      <w:tr>
        <w:trPr>
          <w:trHeight w:val="216"/>
        </w:trPr>
        <w:tc>
          <w:tcPr>
            <w:tcW w:w="7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Charges pertaining to LFI (b)</w:t>
            </w:r>
          </w:p>
        </w:tc>
        <w:tc>
          <w:tcPr>
            <w:tcW w:w="3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(4,136)</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(2,626)</w:t>
            </w:r>
          </w:p>
        </w:tc>
      </w:tr>
      <w:tr>
        <w:trPr>
          <w:trHeight w:val="22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20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323,149</w:t>
            </w:r>
          </w:p>
        </w:tc>
        <w:tc>
          <w:tcPr>
            <w:tcW w:w="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317,791</w:t>
            </w:r>
          </w:p>
        </w:tc>
        <w:tc>
          <w:tcPr>
            <w:tcW w:w="2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compensation and benefits expense, as a % of operating revenue</w:t>
            </w:r>
          </w:p>
        </w:tc>
        <w:tc>
          <w:tcPr>
            <w:tcW w:w="32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55.6%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58.8%</w:t>
            </w:r>
          </w:p>
        </w:tc>
      </w:tr>
      <w:tr>
        <w:trPr>
          <w:trHeight w:val="20"/>
        </w:trPr>
        <w:tc>
          <w:tcPr>
            <w:tcW w:w="11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Lazard has no economic interest in such amounts.</w:t>
      </w:r>
    </w:p>
    <w:p>
      <w:pPr>
        <w:spacing w:after="0" w:line="21" w:lineRule="exact"/>
        <w:rPr>
          <w:rFonts w:ascii="Times New Roman" w:cs="Times New Roman" w:eastAsia="Times New Roman" w:hAnsi="Times New Roman"/>
          <w:sz w:val="18"/>
          <w:szCs w:val="18"/>
          <w:color w:val="auto"/>
        </w:rPr>
      </w:pPr>
    </w:p>
    <w:p>
      <w:pPr>
        <w:ind w:left="460" w:right="200" w:hanging="452"/>
        <w:spacing w:after="0" w:line="261"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20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r>
      <w:tr>
        <w:trPr>
          <w:trHeight w:val="165"/>
        </w:trPr>
        <w:tc>
          <w:tcPr>
            <w:tcW w:w="116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42"/>
        </w:trPr>
        <w:tc>
          <w:tcPr>
            <w:tcW w:w="116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186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200" w:type="dxa"/>
            <w:vAlign w:val="bottom"/>
          </w:tcPr>
          <w:p>
            <w:pPr>
              <w:spacing w:after="0"/>
              <w:rPr>
                <w:sz w:val="13"/>
                <w:szCs w:val="13"/>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Non-Compensation Expense:</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non-compensation expense</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$167,016</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$103,435</w:t>
            </w: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Noncontrolling interests (a)</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(363)</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9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Charges pertaining to senior debt refinancing (b)</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(60,219)</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106,434</w:t>
            </w:r>
          </w:p>
        </w:tc>
        <w:tc>
          <w:tcPr>
            <w:tcW w:w="4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103,001</w:t>
            </w:r>
          </w:p>
        </w:tc>
        <w:tc>
          <w:tcPr>
            <w:tcW w:w="2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non-compensation expense, as a % of operating revenue</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116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the Company has no economic interest in such amounts.</w:t>
      </w:r>
    </w:p>
    <w:p>
      <w:pPr>
        <w:spacing w:after="0" w:line="21" w:lineRule="exact"/>
        <w:rPr>
          <w:rFonts w:ascii="Times New Roman" w:cs="Times New Roman" w:eastAsia="Times New Roman" w:hAnsi="Times New Roman"/>
          <w:sz w:val="18"/>
          <w:szCs w:val="18"/>
          <w:color w:val="auto"/>
        </w:rPr>
      </w:pPr>
    </w:p>
    <w:p>
      <w:pPr>
        <w:ind w:left="460" w:right="440" w:hanging="452"/>
        <w:spacing w:after="0" w:line="261"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pertaining to the redemption of a substantial majority of the Company’s 2017 Notes are excluded because of the non-recurring nature of such transaction. See “—Liquidity and Capital Resources—Financing Activities.”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10"/>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4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7"/>
          </w:tcPr>
          <w:p>
            <w:pPr>
              <w:jc w:val="center"/>
              <w:ind w:right="452"/>
              <w:spacing w:after="0" w:line="155" w:lineRule="exact"/>
              <w:rPr>
                <w:sz w:val="20"/>
                <w:szCs w:val="20"/>
                <w:color w:val="auto"/>
              </w:rPr>
            </w:pPr>
            <w:r>
              <w:rPr>
                <w:rFonts w:ascii="Times New Roman" w:cs="Times New Roman" w:eastAsia="Times New Roman" w:hAnsi="Times New Roman"/>
                <w:sz w:val="14"/>
                <w:szCs w:val="14"/>
                <w:b w:val="1"/>
                <w:bCs w:val="1"/>
                <w:color w:val="auto"/>
                <w:w w:val="98"/>
              </w:rPr>
              <w:t>($ in thousands)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Operations: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5"/>
          </w:tcPr>
          <w:p>
            <w:pPr>
              <w:jc w:val="right"/>
              <w:ind w:right="172"/>
              <w:spacing w:after="0"/>
              <w:rPr>
                <w:sz w:val="20"/>
                <w:szCs w:val="20"/>
                <w:color w:val="auto"/>
              </w:rPr>
            </w:pPr>
            <w:r>
              <w:rPr>
                <w:rFonts w:ascii="Times New Roman" w:cs="Times New Roman" w:eastAsia="Times New Roman" w:hAnsi="Times New Roman"/>
                <w:sz w:val="18"/>
                <w:szCs w:val="18"/>
                <w:color w:val="auto"/>
              </w:rPr>
              <w:t>$ 580,956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w w:val="99"/>
              </w:rPr>
              <w:t>$ 540,224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5"/>
          </w:tcPr>
          <w:p>
            <w:pPr>
              <w:jc w:val="right"/>
              <w:ind w:right="112"/>
              <w:spacing w:after="0"/>
              <w:rPr>
                <w:sz w:val="20"/>
                <w:szCs w:val="20"/>
                <w:color w:val="auto"/>
              </w:rPr>
            </w:pPr>
            <w:r>
              <w:rPr>
                <w:rFonts w:ascii="Times New Roman" w:cs="Times New Roman" w:eastAsia="Times New Roman" w:hAnsi="Times New Roman"/>
                <w:sz w:val="18"/>
                <w:szCs w:val="18"/>
                <w:color w:val="auto"/>
              </w:rPr>
              <w:t>(323,149)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(317,791)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(106,434)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3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$ 151,373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$ 119,432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 as a % of operating revenue</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Headcount information is set forth below:</w:t>
            </w:r>
          </w:p>
        </w:tc>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740" w:type="dxa"/>
            <w:vAlign w:val="bottom"/>
            <w:vMerge w:val="continue"/>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7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As Of</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7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60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5"/>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40" w:type="dxa"/>
            <w:vAlign w:val="bottom"/>
          </w:tcPr>
          <w:p>
            <w:pPr>
              <w:spacing w:after="0"/>
              <w:rPr>
                <w:sz w:val="10"/>
                <w:szCs w:val="10"/>
                <w:color w:val="auto"/>
              </w:rPr>
            </w:pPr>
          </w:p>
        </w:tc>
        <w:tc>
          <w:tcPr>
            <w:tcW w:w="600" w:type="dxa"/>
            <w:vAlign w:val="bottom"/>
            <w:gridSpan w:val="4"/>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0" w:type="dxa"/>
            <w:vAlign w:val="bottom"/>
          </w:tcPr>
          <w:p>
            <w:pPr>
              <w:spacing w:after="0"/>
              <w:rPr>
                <w:sz w:val="1"/>
                <w:szCs w:val="1"/>
                <w:color w:val="auto"/>
              </w:rPr>
            </w:pPr>
          </w:p>
        </w:tc>
      </w:tr>
      <w:tr>
        <w:trPr>
          <w:trHeight w:val="165"/>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Headcount:</w:t>
            </w:r>
          </w:p>
        </w:tc>
        <w:tc>
          <w:tcPr>
            <w:tcW w:w="396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4"/>
                <w:szCs w:val="14"/>
                <w:color w:val="auto"/>
              </w:rPr>
            </w:pPr>
          </w:p>
        </w:tc>
        <w:tc>
          <w:tcPr>
            <w:tcW w:w="1340" w:type="dxa"/>
            <w:vAlign w:val="bottom"/>
            <w:gridSpan w:val="5"/>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40" w:type="dxa"/>
            <w:vAlign w:val="bottom"/>
            <w:vMerge w:val="continue"/>
          </w:tcPr>
          <w:p>
            <w:pPr>
              <w:spacing w:after="0"/>
              <w:rPr>
                <w:sz w:val="15"/>
                <w:szCs w:val="15"/>
                <w:color w:val="auto"/>
              </w:rPr>
            </w:pPr>
          </w:p>
        </w:tc>
        <w:tc>
          <w:tcPr>
            <w:tcW w:w="34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Managing Directors:</w:t>
            </w:r>
          </w:p>
        </w:tc>
        <w:tc>
          <w:tcPr>
            <w:tcW w:w="3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Financial Advisory</w:t>
            </w:r>
          </w:p>
        </w:tc>
        <w:tc>
          <w:tcPr>
            <w:tcW w:w="3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c>
          <w:tcPr>
            <w:tcW w:w="144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Asset Management</w:t>
            </w:r>
          </w:p>
        </w:tc>
        <w:tc>
          <w:tcPr>
            <w:tcW w:w="3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18"/>
                <w:szCs w:val="18"/>
                <w:color w:val="auto"/>
              </w:rPr>
            </w:pPr>
          </w:p>
        </w:tc>
        <w:tc>
          <w:tcPr>
            <w:tcW w:w="14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Pr>
          <w:p>
            <w:pPr>
              <w:spacing w:after="0"/>
              <w:rPr>
                <w:sz w:val="18"/>
                <w:szCs w:val="18"/>
                <w:color w:val="auto"/>
              </w:rPr>
            </w:pPr>
          </w:p>
        </w:tc>
        <w:tc>
          <w:tcPr>
            <w:tcW w:w="9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3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144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Managing Directors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Employees:</w:t>
            </w:r>
          </w:p>
        </w:tc>
        <w:tc>
          <w:tcPr>
            <w:tcW w:w="3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Business segment professionals</w:t>
            </w:r>
          </w:p>
        </w:tc>
        <w:tc>
          <w:tcPr>
            <w:tcW w:w="3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60" w:type="dxa"/>
            <w:vAlign w:val="bottom"/>
            <w:shd w:val="clear" w:color="auto" w:fill="CCEEFF"/>
          </w:tcPr>
          <w:p>
            <w:pPr>
              <w:spacing w:after="0"/>
              <w:rPr>
                <w:sz w:val="18"/>
                <w:szCs w:val="18"/>
                <w:color w:val="auto"/>
              </w:rPr>
            </w:pPr>
          </w:p>
        </w:tc>
        <w:tc>
          <w:tcPr>
            <w:tcW w:w="144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1,139</w:t>
            </w:r>
          </w:p>
        </w:tc>
        <w:tc>
          <w:tcPr>
            <w:tcW w:w="2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 other professionals and support staff</w:t>
            </w:r>
          </w:p>
        </w:tc>
        <w:tc>
          <w:tcPr>
            <w:tcW w:w="3500" w:type="dxa"/>
            <w:vAlign w:val="bottom"/>
            <w:gridSpan w:val="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60" w:type="dxa"/>
            <w:vAlign w:val="bottom"/>
          </w:tcPr>
          <w:p>
            <w:pPr>
              <w:spacing w:after="0"/>
              <w:rPr>
                <w:sz w:val="18"/>
                <w:szCs w:val="18"/>
                <w:color w:val="auto"/>
              </w:rPr>
            </w:pPr>
          </w:p>
        </w:tc>
        <w:tc>
          <w:tcPr>
            <w:tcW w:w="900" w:type="dxa"/>
            <w:vAlign w:val="bottom"/>
            <w:gridSpan w:val="3"/>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1,148</w:t>
            </w:r>
          </w:p>
        </w:tc>
        <w:tc>
          <w:tcPr>
            <w:tcW w:w="280" w:type="dxa"/>
            <w:vAlign w:val="bottom"/>
          </w:tcPr>
          <w:p>
            <w:pPr>
              <w:spacing w:after="0"/>
              <w:rPr>
                <w:sz w:val="18"/>
                <w:szCs w:val="18"/>
                <w:color w:val="auto"/>
              </w:rPr>
            </w:pPr>
          </w:p>
        </w:tc>
        <w:tc>
          <w:tcPr>
            <w:tcW w:w="9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gridSpan w:val="2"/>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2,523</w:t>
            </w:r>
          </w:p>
        </w:tc>
        <w:tc>
          <w:tcPr>
            <w:tcW w:w="2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20" w:type="dxa"/>
            <w:vAlign w:val="bottom"/>
            <w:vMerge w:val="restart"/>
          </w:tcPr>
          <w:p>
            <w:pPr>
              <w:jc w:val="right"/>
              <w:ind w:right="2276"/>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90"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2015 versus March 31, 2014</w:t>
      </w:r>
    </w:p>
    <w:p>
      <w:pPr>
        <w:spacing w:after="0" w:line="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Company reported net income attributable to Lazard Ltd of $56 million, as compared to net income of $81 million in the 2014 period. The changes in the Company’s operating results during these periods are described below.</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Net revenue increased $44 million, or 8%, with operating revenue increasing $41 million, or 8%, as compared to the 2014 period. Fee revenue from investment banking and other advisory activities increased $29 million, or 11%, primarily due to increases in M&amp;A and Other Advisory fees. The increase in M&amp;A and Other Advisory fee revenue was primarily due to an increase in the number of completed transactions involving fees greater than $1 million as compared to the 2014 period. Asset management fees, including incentive fees, increased $9 million, or 4%, principally reflecting a $13 billion, or 7%, increase in average AUM as compared to the 2014 period. In the aggregate, interest income, other revenue and interest expense increased $7 million, or 87%, as compared to the 2014 period.</w:t>
      </w:r>
    </w:p>
    <w:p>
      <w:pPr>
        <w:spacing w:after="0" w:line="139"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Compensation and benefits expense increased $7 million, or 2%, as compared to the 2014 period, primarily driven by an increase in amortization of deferred compensation expense, partially offset by a decrease in discretionary compensation.</w:t>
      </w:r>
    </w:p>
    <w:p>
      <w:pPr>
        <w:spacing w:after="0" w:line="12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Adjusted compensation and benefits expense (which excludes certain items and which we believe allows for improved comparability between periods, as described above) was $323 million, an increase of $5 million, or 2%, as compared to $318 million in the 2014 period, primarily due to the factors described above. The ratio of adjusted compensation and benefits expense to operating revenue was 55.6% for the 2015 period, as compared to 58.8% for the 2014 period and 55.6% for full-year 2014.</w:t>
      </w:r>
    </w:p>
    <w:p>
      <w:pPr>
        <w:spacing w:after="0" w:line="136" w:lineRule="exact"/>
        <w:rPr>
          <w:sz w:val="20"/>
          <w:szCs w:val="20"/>
          <w:color w:val="auto"/>
        </w:rPr>
      </w:pPr>
    </w:p>
    <w:p>
      <w:pPr>
        <w:ind w:right="360" w:firstLine="456"/>
        <w:spacing w:after="0" w:line="256" w:lineRule="auto"/>
        <w:rPr>
          <w:sz w:val="20"/>
          <w:szCs w:val="20"/>
          <w:color w:val="auto"/>
        </w:rPr>
      </w:pPr>
      <w:r>
        <w:rPr>
          <w:rFonts w:ascii="Times New Roman" w:cs="Times New Roman" w:eastAsia="Times New Roman" w:hAnsi="Times New Roman"/>
          <w:sz w:val="18"/>
          <w:szCs w:val="18"/>
          <w:color w:val="auto"/>
        </w:rPr>
        <w:t>Non-compensation expense increased $64 million, or 61%, as compared to the 2014 period. In the 2015 period, non-compensation expense included a charge of $60 million related to the redemption of a substantial majority of the Company’s 2017 Notes. When excluding such charge, as well as non-compensation costs relating to noncontrolling interests, adjusted non-compensation expense increased $3 million, or 3%, as compared to the 2014 period, primarily reflecting increased business activity and investment in our businesses. The ratio of adjusted non-compensation expense to operating revenue was 18.3%, as compared to 19.1% in the 2014 period.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of intangible assets remained substantially unchanged in the 2015 period as compared to the 2014 period.</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Based on the expected utilization of certain deferred tax assets that are subject to the tax receivable agreement, the provision pursuant to the tax receivable agreement in the 2015 period was $7 million (see Note 14 of Notes to Condensed Consolidated Financial Statements for additional information).</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Operating income (which included the charge relating to the redemption of a substantial majority of the Company’s 2017 Notes), decreased $33 million as compared to the 2014 period, and, as a percentage of net revenue, was 12.9%, as compared to 20.1% in the 2014 period.</w:t>
      </w:r>
    </w:p>
    <w:p>
      <w:pPr>
        <w:spacing w:after="0" w:line="120" w:lineRule="exact"/>
        <w:rPr>
          <w:sz w:val="20"/>
          <w:szCs w:val="20"/>
          <w:color w:val="auto"/>
        </w:rPr>
      </w:pPr>
    </w:p>
    <w:p>
      <w:pPr>
        <w:jc w:val="both"/>
        <w:ind w:right="720" w:firstLine="456"/>
        <w:spacing w:after="0" w:line="339" w:lineRule="auto"/>
        <w:rPr>
          <w:sz w:val="20"/>
          <w:szCs w:val="20"/>
          <w:color w:val="auto"/>
        </w:rPr>
      </w:pPr>
      <w:r>
        <w:rPr>
          <w:rFonts w:ascii="Times New Roman" w:cs="Times New Roman" w:eastAsia="Times New Roman" w:hAnsi="Times New Roman"/>
          <w:sz w:val="16"/>
          <w:szCs w:val="16"/>
          <w:color w:val="auto"/>
        </w:rPr>
        <w:t>Earnings from operations, which excluded the charge related to the redemption of a substantial majority of the Company’s 2017 Notes, increased $32 million, or 27%, as compared to the 2014 period, and, as a percentage of operating revenue, was 26.1%, as compared to 22.1% in the 2014 period.</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80"/>
          </w:cols>
          <w:pgMar w:left="240" w:top="455" w:right="2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provision for income taxes reflects an effective tax rate of 16.1%, as compared to 20.3% for the 2014 period. The decrease in the effective tax rate primarily reflects the change in the geographic mix of earnings and the increased utilization of net operating loss carryforwards and other attributes (see Note 14 of Notes to Condensed Consolidated Financial Statements for additional information).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income attributable to noncontrolling interests increased $2 million as compared to the 2014 period.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the reported operating results attributable to the Financial Advisory segment: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4"/>
          </w:tcPr>
          <w:p>
            <w:pPr>
              <w:jc w:val="center"/>
              <w:ind w:right="14"/>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M&amp;A and Other Advisory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5"/>
              </w:rPr>
              <w:t>260,804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239,144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Capital Raising</w:t>
            </w: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17,569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Strategic Advisory</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5"/>
              </w:rPr>
              <w:t>278,373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245,360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23,146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5"/>
              </w:rPr>
              <w:t>301,519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275,496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w w:val="95"/>
              </w:rPr>
              <w:t>242,935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245,415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58,584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30,081</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as a % of net revenue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Other Advisory revenue, which includes Sovereign and Capital Structure Advisory revenue, increased 9% in 2015 as compared to 2014. In contrast, the industry statistics for global M&amp;A transactions described above reflect a 9% increase in the value, and an 11% decrease in the number, of all completed transactions in 2015 as compared to 2014. For M&amp;A deals with values greater than $500 million, the value of completed transactions in 2015 increased 14%, while the number of such deals decreased 7%, as compared to 2014.</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Lazard fee and transaction statistics are set forth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r>
      <w:tr>
        <w:trPr>
          <w:trHeight w:val="165"/>
        </w:trPr>
        <w:tc>
          <w:tcPr>
            <w:tcW w:w="9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2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Lazard Statistics: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Number of clients with fees greater than $1 million:</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Financial Advisory</w:t>
            </w:r>
          </w:p>
        </w:tc>
        <w:tc>
          <w:tcPr>
            <w:tcW w:w="1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M&amp;A and Other Advisory</w:t>
            </w: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total Financial Advisory net revenue from top 10 clients</w:t>
            </w:r>
          </w:p>
        </w:tc>
        <w:tc>
          <w:tcPr>
            <w:tcW w:w="1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42%</w:t>
            </w:r>
          </w:p>
        </w:tc>
      </w:tr>
      <w:tr>
        <w:trPr>
          <w:trHeight w:val="228"/>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Number of M&amp;A transactions completed with values greater than $500 million (a)</w:t>
            </w: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w:t>
        <w:tab/>
        <w:t>Source: Dealogic as of April 2, 2015.</w:t>
      </w:r>
    </w:p>
    <w:p>
      <w:pPr>
        <w:spacing w:after="0" w:line="171"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3"/>
                <w:szCs w:val="13"/>
                <w:color w:val="auto"/>
              </w:rPr>
            </w:pPr>
          </w:p>
        </w:tc>
        <w:tc>
          <w:tcPr>
            <w:tcW w:w="210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9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3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60" w:type="dxa"/>
            <w:vAlign w:val="bottom"/>
            <w:gridSpan w:val="2"/>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57%</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36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39</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9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Results of Operations</w:t>
      </w:r>
    </w:p>
    <w:p>
      <w:pPr>
        <w:spacing w:after="0" w:line="92" w:lineRule="exact"/>
        <w:rPr>
          <w:sz w:val="20"/>
          <w:szCs w:val="20"/>
          <w:color w:val="auto"/>
        </w:rPr>
      </w:pPr>
    </w:p>
    <w:p>
      <w:pPr>
        <w:ind w:right="2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2015 versus March 31, 2014</w:t>
      </w:r>
    </w:p>
    <w:p>
      <w:pPr>
        <w:spacing w:after="0" w:line="9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Financial Advisory net revenue increased $26 million, or 9%, as compared to the 2014 period. Total Strategic Advisory net revenue, representing fees from our M&amp;A and Other Advisory and Capital Raising businesses, increased $33 million, or 13%, and Restructuring revenue decreased $7 million, or 23%, as compared to the 2014 period.</w:t>
      </w:r>
    </w:p>
    <w:p>
      <w:pPr>
        <w:spacing w:after="0" w:line="13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M&amp;A and Other Advisory revenue increased $22 million, or 9%, while Capital Raising revenue increased by $11 million as compared to the 2014 period. The increase in M&amp;A and Other Advisory revenue was primarily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due to an increase in the number of completed transactions involving fees greater than $1 million as compared to the 2014 period. Our major clients, which in the aggregate represented a significant portion of our M&amp;A and Other Advisory revenue in the 2015 period, included Arbor Pharmaceuticals, GlaxoSmithKline, Klépierre, LabCorp, Paroc Group, Philips, Rockwood, Shire and Tekmira.</w:t>
      </w:r>
    </w:p>
    <w:p>
      <w:pPr>
        <w:spacing w:after="0" w:line="132"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The decrease in Restructuring revenue in the 2015 period was generally in line with the continued industry-wide low level of corporate restructuring activity. Our major clients, which in the aggregate represented a significant portion of our Restructuring revenue for the 2015 period, included RadioShack and Sorgenia.</w:t>
      </w:r>
    </w:p>
    <w:p>
      <w:pPr>
        <w:spacing w:after="0" w:line="13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Operating expenses decreased $2 million, or 1%, as compared to the 2014 period, primarily due to (i) a decrease in compensation and benefits expense primarily related to a decrease in discretionary compensation, partially offset by an increase in amortization of deferred compensation expense; partially offset by (ii) an increase in non-compensation expense reflecting increased business activity.</w:t>
      </w:r>
    </w:p>
    <w:p>
      <w:pPr>
        <w:spacing w:after="0" w:line="13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Financial Advisory operating income was $59 million, an increase of $29 million, as compared to operating income of $30 million in the 2014 period and, as a percentage of net revenue, was 19.4%, as compared to 10.9% in the 2014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Management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composition of AUM for the Asset Management segment: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9420" w:type="dxa"/>
            <w:vAlign w:val="bottom"/>
          </w:tcPr>
          <w:p>
            <w:pPr>
              <w:spacing w:after="0"/>
              <w:rPr>
                <w:sz w:val="10"/>
                <w:szCs w:val="10"/>
                <w:color w:val="auto"/>
              </w:rPr>
            </w:pPr>
          </w:p>
        </w:tc>
        <w:tc>
          <w:tcPr>
            <w:tcW w:w="6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100" w:type="dxa"/>
            <w:vAlign w:val="bottom"/>
          </w:tcPr>
          <w:p>
            <w:pPr>
              <w:spacing w:after="0"/>
              <w:rPr>
                <w:sz w:val="10"/>
                <w:szCs w:val="10"/>
                <w:color w:val="auto"/>
              </w:rPr>
            </w:pPr>
          </w:p>
        </w:tc>
      </w:tr>
      <w:tr>
        <w:trPr>
          <w:trHeight w:val="165"/>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4"/>
                <w:szCs w:val="14"/>
                <w:color w:val="auto"/>
              </w:rPr>
            </w:pPr>
          </w:p>
        </w:tc>
      </w:tr>
      <w:tr>
        <w:trPr>
          <w:trHeight w:val="156"/>
        </w:trPr>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millions)</w:t>
            </w:r>
          </w:p>
        </w:tc>
        <w:tc>
          <w:tcPr>
            <w:tcW w:w="100" w:type="dxa"/>
            <w:vAlign w:val="bottom"/>
          </w:tcPr>
          <w:p>
            <w:pPr>
              <w:spacing w:after="0"/>
              <w:rPr>
                <w:sz w:val="13"/>
                <w:szCs w:val="13"/>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AUM by Asset Class: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Emerging Markets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46,916</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48,459</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33,982</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31,684</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50,341</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46,787</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162,852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160,912</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Income: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Emerging Markets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tcPr>
          <w:p>
            <w:pPr>
              <w:spacing w:after="0"/>
              <w:rPr>
                <w:sz w:val="19"/>
                <w:szCs w:val="19"/>
                <w:color w:val="auto"/>
              </w:rPr>
            </w:pPr>
          </w:p>
        </w:tc>
      </w:tr>
      <w:tr>
        <w:trPr>
          <w:trHeight w:val="217"/>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AUM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199,181</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197,103</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Total AUM at March 31, 2015 was $199 billion, an increase of $2 billion, or 1%, as compared to total AUM of $197 billion at December 31, 2014, primarily due to market appreciation and net inflows, partially offset by adverse foreign exchange movements. Average AUM for the three months ended March 31, 2015 was 7% higher than that for the 2014 period.</w:t>
      </w:r>
    </w:p>
    <w:p>
      <w:pPr>
        <w:spacing w:after="0" w:line="132"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As of March 31, 2015, approximately 90% of our AUM was managed on behalf of institutional clients, including corporations, labor unions, public pension funds, insurance companies and banks, and through</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sub-advisory relationships, mutual fund sponsors, broker-dealers and registered advisors, and approximately 10% of our AUM was managed on behalf of individual client relationships, which are principally with family offices and individuals, and was unchanged from the corresponding percentages at December 31, 2014.</w:t>
      </w:r>
    </w:p>
    <w:p>
      <w:pPr>
        <w:spacing w:after="0" w:line="1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As of March 31, 2015 and December 31, 2014, AUM with foreign currency exposure represented approximately 73% of our total AUM for each respective period. AUM with foreign currency exposure generally declines in value with the strengthening of the U.S. Dollar and increases in value as the U.S. Dollar weakens, with all other factors held constant.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changes in AUM by asset class for the three months ended March 31, 2015 and 2014: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9"/>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 2015</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358"/>
              <w:spacing w:after="0" w:line="125"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7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AUM</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120" w:type="dxa"/>
            <w:vAlign w:val="bottom"/>
          </w:tcPr>
          <w:p>
            <w:pPr>
              <w:spacing w:after="0"/>
              <w:rPr>
                <w:sz w:val="12"/>
                <w:szCs w:val="12"/>
                <w:color w:val="auto"/>
              </w:rPr>
            </w:pPr>
          </w:p>
        </w:tc>
        <w:tc>
          <w:tcPr>
            <w:tcW w:w="1060" w:type="dxa"/>
            <w:vAlign w:val="bottom"/>
            <w:gridSpan w:val="2"/>
          </w:tcPr>
          <w:p>
            <w:pPr>
              <w:jc w:val="center"/>
              <w:ind w:right="378"/>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Exchange</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AUM</w:t>
            </w:r>
          </w:p>
        </w:tc>
      </w:tr>
      <w:tr>
        <w:trPr>
          <w:trHeight w:val="149"/>
        </w:trPr>
        <w:tc>
          <w:tcPr>
            <w:tcW w:w="47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180" w:type="dxa"/>
            <w:vAlign w:val="bottom"/>
            <w:gridSpan w:val="3"/>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w w:val="94"/>
              </w:rPr>
              <w:t>Appreciation/</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Ending</w:t>
            </w:r>
          </w:p>
        </w:tc>
      </w:tr>
      <w:tr>
        <w:trPr>
          <w:trHeight w:val="165"/>
        </w:trPr>
        <w:tc>
          <w:tcPr>
            <w:tcW w:w="47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3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Inflows</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Outflows</w:t>
            </w:r>
          </w:p>
        </w:tc>
        <w:tc>
          <w:tcPr>
            <w:tcW w:w="12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1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180" w:type="dxa"/>
            <w:vAlign w:val="bottom"/>
            <w:gridSpan w:val="3"/>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4"/>
              </w:rPr>
              <w:t>(Depreciation)</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Balance</w:t>
            </w:r>
          </w:p>
        </w:tc>
      </w:tr>
      <w:tr>
        <w:trPr>
          <w:trHeight w:val="142"/>
        </w:trPr>
        <w:tc>
          <w:tcPr>
            <w:tcW w:w="4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$160,912</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$6,150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 (6,930)</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(780)</w:t>
            </w:r>
          </w:p>
        </w:tc>
        <w:tc>
          <w:tcPr>
            <w:tcW w:w="40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(5,815)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$162,852</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31,110</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3,403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(1,231)</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8"/>
                <w:szCs w:val="18"/>
                <w:color w:val="auto"/>
              </w:rPr>
            </w:pPr>
          </w:p>
        </w:tc>
        <w:tc>
          <w:tcPr>
            <w:tcW w:w="10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(2,077)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31,722</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(434)</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shd w:val="clear" w:color="auto" w:fill="CCEEFF"/>
          </w:tcPr>
          <w:p>
            <w:pPr>
              <w:spacing w:after="0"/>
              <w:rPr>
                <w:sz w:val="18"/>
                <w:szCs w:val="18"/>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197,103</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9,636</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(8,595)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199,181</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Inflows in the Equity and Fixed Income asset classes were primarily attributable to the Emerging Markets and Multi-Regional platforms. Outflows in the Equity asset class were primarily attributable to the Emerging Markets and Global equity platforms, and outflows in the Fixed Income asset class were primarily attributable to the Multi-Regional and Emerging Markets platforms.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w w:val="96"/>
              </w:rPr>
              <w:t>Three Months Ended March 31, 2014</w:t>
            </w: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3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520"/>
              <w:spacing w:after="0" w:line="12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AUM</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10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Exchange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AUM Ending</w:t>
            </w:r>
          </w:p>
        </w:tc>
      </w:tr>
      <w:tr>
        <w:trPr>
          <w:trHeight w:val="165"/>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Inflows</w:t>
            </w:r>
          </w:p>
        </w:tc>
        <w:tc>
          <w:tcPr>
            <w:tcW w:w="2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1"/>
              </w:rPr>
              <w:t>Outflows</w:t>
            </w:r>
          </w:p>
        </w:tc>
        <w:tc>
          <w:tcPr>
            <w:tcW w:w="1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Net Flows</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2"/>
              </w:rPr>
              <w:t>Balance</w:t>
            </w:r>
          </w:p>
        </w:tc>
      </w:tr>
      <w:tr>
        <w:trPr>
          <w:trHeight w:val="142"/>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 in millions)</w:t>
            </w: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154,062</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155,259</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1,685</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28,378</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shd w:val="clear" w:color="auto" w:fill="CCEEFF"/>
          </w:tcPr>
          <w:p>
            <w:pPr>
              <w:spacing w:after="0"/>
              <w:rPr>
                <w:sz w:val="18"/>
                <w:szCs w:val="18"/>
                <w:color w:val="auto"/>
              </w:rPr>
            </w:pP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186,924</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189,453</w:t>
            </w:r>
          </w:p>
        </w:tc>
        <w:tc>
          <w:tcPr>
            <w:tcW w:w="10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As of April 17, 2015, AUM was $205.2 billion, a $6.0 billion increase since March 31, 2015. The increase in AUM was due to market appreciation of $4.3 billion, foreign exchange appreciation of $1.0 billion and net inflows of $0.7 billion.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Average AUM for the three month periods ended March 31, 2015 and 2014 for each significant asset class is set forth below. Average AUM generally represents the average of the monthly ending AUM balances for the period.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gridSpan w:val="4"/>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AUM by Asset Class: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$ 161,440</w:t>
            </w:r>
          </w:p>
        </w:tc>
        <w:tc>
          <w:tcPr>
            <w:tcW w:w="3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$ 152,412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Fixed Income</w:t>
            </w: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32,180</w:t>
            </w:r>
          </w:p>
        </w:tc>
        <w:tc>
          <w:tcPr>
            <w:tcW w:w="3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Alternative Investments</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3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Private Equity</w:t>
            </w: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3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Management</w:t>
            </w:r>
          </w:p>
        </w:tc>
        <w:tc>
          <w:tcPr>
            <w:tcW w:w="800" w:type="dxa"/>
            <w:vAlign w:val="bottom"/>
            <w:gridSpan w:val="2"/>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Average AUM</w:t>
            </w: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$ 198,406</w:t>
            </w:r>
          </w:p>
        </w:tc>
        <w:tc>
          <w:tcPr>
            <w:tcW w:w="3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$ 185,602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Asset Management segment:</w:t>
            </w: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7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12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4"/>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Management Fees</w:t>
            </w:r>
          </w:p>
        </w:tc>
        <w:tc>
          <w:tcPr>
            <w:tcW w:w="152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$252,087</w:t>
            </w: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1"/>
              </w:rPr>
              <w:t>$239,523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Incentive Fees</w:t>
            </w:r>
          </w:p>
        </w:tc>
        <w:tc>
          <w:tcPr>
            <w:tcW w:w="1520" w:type="dxa"/>
            <w:vAlign w:val="bottom"/>
            <w:gridSpan w:val="4"/>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6,283</w:t>
            </w:r>
          </w:p>
        </w:tc>
        <w:tc>
          <w:tcPr>
            <w:tcW w:w="3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Income</w:t>
            </w:r>
          </w:p>
        </w:tc>
        <w:tc>
          <w:tcPr>
            <w:tcW w:w="560" w:type="dxa"/>
            <w:vAlign w:val="bottom"/>
          </w:tcPr>
          <w:p>
            <w:pPr>
              <w:spacing w:after="0"/>
              <w:rPr>
                <w:sz w:val="18"/>
                <w:szCs w:val="18"/>
                <w:color w:val="auto"/>
              </w:rPr>
            </w:pPr>
          </w:p>
        </w:tc>
        <w:tc>
          <w:tcPr>
            <w:tcW w:w="960" w:type="dxa"/>
            <w:vAlign w:val="bottom"/>
            <w:gridSpan w:val="3"/>
          </w:tcPr>
          <w:p>
            <w:pPr>
              <w:jc w:val="right"/>
              <w:ind w:right="212"/>
              <w:spacing w:after="0"/>
              <w:rPr>
                <w:sz w:val="20"/>
                <w:szCs w:val="20"/>
                <w:color w:val="auto"/>
              </w:rPr>
            </w:pPr>
            <w:r>
              <w:rPr>
                <w:rFonts w:ascii="Times New Roman" w:cs="Times New Roman" w:eastAsia="Times New Roman" w:hAnsi="Times New Roman"/>
                <w:sz w:val="18"/>
                <w:szCs w:val="18"/>
                <w:color w:val="auto"/>
              </w:rPr>
              <w:t>21,437</w:t>
            </w: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Revenue</w:t>
            </w:r>
          </w:p>
        </w:tc>
        <w:tc>
          <w:tcPr>
            <w:tcW w:w="5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279,807</w:t>
            </w:r>
          </w:p>
        </w:tc>
        <w:tc>
          <w:tcPr>
            <w:tcW w:w="3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tcPr>
          <w:p>
            <w:pPr>
              <w:spacing w:after="0"/>
              <w:rPr>
                <w:sz w:val="18"/>
                <w:szCs w:val="18"/>
                <w:color w:val="auto"/>
              </w:rPr>
            </w:pPr>
          </w:p>
        </w:tc>
        <w:tc>
          <w:tcPr>
            <w:tcW w:w="960" w:type="dxa"/>
            <w:vAlign w:val="bottom"/>
            <w:gridSpan w:val="3"/>
          </w:tcPr>
          <w:p>
            <w:pPr>
              <w:jc w:val="right"/>
              <w:ind w:right="212"/>
              <w:spacing w:after="0"/>
              <w:rPr>
                <w:sz w:val="20"/>
                <w:szCs w:val="20"/>
                <w:color w:val="auto"/>
              </w:rPr>
            </w:pPr>
            <w:r>
              <w:rPr>
                <w:rFonts w:ascii="Times New Roman" w:cs="Times New Roman" w:eastAsia="Times New Roman" w:hAnsi="Times New Roman"/>
                <w:sz w:val="18"/>
                <w:szCs w:val="18"/>
                <w:color w:val="auto"/>
              </w:rPr>
              <w:t>181,792</w:t>
            </w: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$ 98,015</w:t>
            </w:r>
          </w:p>
        </w:tc>
        <w:tc>
          <w:tcPr>
            <w:tcW w:w="3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$ 92,803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as a % of net revenue</w:t>
            </w: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3"/>
                <w:szCs w:val="13"/>
                <w:color w:val="auto"/>
              </w:rPr>
            </w:pPr>
          </w:p>
        </w:tc>
        <w:tc>
          <w:tcPr>
            <w:tcW w:w="22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9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9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gridSpan w:val="2"/>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62%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50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500" w:type="dxa"/>
            <w:vAlign w:val="bottom"/>
            <w:gridSpan w:val="2"/>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40" w:type="dxa"/>
            <w:vAlign w:val="bottom"/>
            <w:vMerge w:val="continue"/>
          </w:tcPr>
          <w:p>
            <w:pPr>
              <w:spacing w:after="0"/>
              <w:rPr>
                <w:sz w:val="19"/>
                <w:szCs w:val="19"/>
                <w:color w:val="auto"/>
              </w:rPr>
            </w:pPr>
          </w:p>
        </w:tc>
        <w:tc>
          <w:tcPr>
            <w:tcW w:w="150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Results of Operations</w:t>
      </w:r>
    </w:p>
    <w:p>
      <w:pPr>
        <w:spacing w:after="0" w:line="92" w:lineRule="exact"/>
        <w:rPr>
          <w:sz w:val="20"/>
          <w:szCs w:val="20"/>
          <w:color w:val="auto"/>
        </w:rPr>
      </w:pPr>
    </w:p>
    <w:p>
      <w:pPr>
        <w:jc w:val="both"/>
        <w:ind w:right="2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2015 versus March 31, 2014</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Asset Management net revenue increased $11 million, or 4%, as compared to the 2014 period. Management fees increased $13 million, or 5%, as compared to the 2014 period, reflecting a $13 billion, or 7%, increase in average AUM. Incentive fees decreased $4 million, or 39%, as compared to the 2014 period, primarily due to fees related to traditional investment products. Other revenue increased $2 million, or 15%, as compared to the 2014 period, primarily due to higher investment income attributable to noncontrolling interests.</w:t>
      </w:r>
    </w:p>
    <w:p>
      <w:pPr>
        <w:spacing w:after="0" w:line="136"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Operating expenses increased $6 million, or 3%, as compared to the 2014 period, primarily due to increases in (i) compensation and benefits expense related to an increase in discretionary compensation and (ii) non-compensation expense related to increased AUM.</w:t>
      </w:r>
    </w:p>
    <w:p>
      <w:pPr>
        <w:spacing w:after="0" w:line="12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Asset Management operating income was $98 million, an increase of $5 million, or 6%, as compared to operating income of $93 million in the 2014 period and, as a percentage of net revenue, was 35.0%, as compared to 34.6% in the 2014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Corporate segment: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w:t>
            </w: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(16,120)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(15,952)</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Interest (Expense)</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(15,365)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(14,971)</w:t>
            </w: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3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 (Expense)</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(10,660)</w:t>
            </w: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(a)</w:t>
            </w:r>
          </w:p>
        </w:tc>
        <w:tc>
          <w:tcPr>
            <w:tcW w:w="3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(81,936)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(15,704)</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 the 2015 period, $60,219 relating to the redemption of a substantial majority of the Company’s 2017 Notes.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Corporate Results of Operations</w:t>
      </w:r>
    </w:p>
    <w:p>
      <w:pPr>
        <w:spacing w:after="0" w:line="92" w:lineRule="exact"/>
        <w:rPr>
          <w:sz w:val="20"/>
          <w:szCs w:val="20"/>
          <w:color w:val="auto"/>
        </w:rPr>
      </w:pPr>
    </w:p>
    <w:p>
      <w:pPr>
        <w:jc w:val="both"/>
        <w:ind w:right="300" w:firstLine="456"/>
        <w:spacing w:after="0" w:line="342" w:lineRule="auto"/>
        <w:rPr>
          <w:sz w:val="20"/>
          <w:szCs w:val="20"/>
          <w:color w:val="auto"/>
        </w:rPr>
      </w:pPr>
      <w:r>
        <w:rPr>
          <w:rFonts w:ascii="Times New Roman" w:cs="Times New Roman" w:eastAsia="Times New Roman" w:hAnsi="Times New Roman"/>
          <w:sz w:val="16"/>
          <w:szCs w:val="16"/>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2015 versus March 31, 2014</w:t>
      </w:r>
    </w:p>
    <w:p>
      <w:pPr>
        <w:spacing w:after="0" w:line="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Net interest expense increased by $0.2 million, or 1%, as compared to the 2014 period, including $2.7 million pertaining to the excess interest expense due to the delay between the issuance of the 2025 Notes and the settlement of the redemption of the 2017 Notes.</w:t>
      </w:r>
    </w:p>
    <w:p>
      <w:pPr>
        <w:spacing w:after="0" w:line="120"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Other revenue increased $7 million as compared to the 2014 period, primarily due to higher investment gains recorded in connection with LFI and other investments.</w:t>
      </w:r>
    </w:p>
    <w:p>
      <w:pPr>
        <w:spacing w:after="0" w:line="12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Operating expenses increased $73 million as compared to the 2014 period, including, in the 2015 period, a charge of $60 million related to the redemption of a substantial majority of the Company’s 2017 Notes. Excluding the impact of such charge, operating expenses increased $13 million compared to the 2014 period. The increase was primarily related to the provision pursuant to the tax receivable agreement, increased compensation and benefits expense related to deferred compensation plans and discretionary compensation and increased professional fees.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also were affected in the 2015 period by the redemption of $450 million of the 2017 Notes and the issuance of $400 million of 3.75% senior notes maturing in 2025 (“2025 Notes”).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3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Company makes cash payments for, or in respect of, a significant portion of its incentive compensation during the first three months of each calendar year with respect to the prior year’s results. In addition, during the 2014 period, the Company made cash payments, including severance payments, associated with cost saving initiatives. The Company also paid a special dividend in February 2015.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gridSpan w:val="10"/>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4"/>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62.6</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operating activities (b)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(124.7)</w:t>
            </w:r>
          </w:p>
        </w:tc>
        <w:tc>
          <w:tcPr>
            <w:tcW w:w="0" w:type="dxa"/>
            <w:vAlign w:val="bottom"/>
          </w:tcPr>
          <w:p>
            <w:pPr>
              <w:spacing w:after="0"/>
              <w:rPr>
                <w:sz w:val="1"/>
                <w:szCs w:val="1"/>
                <w:color w:val="auto"/>
              </w:rPr>
            </w:pPr>
          </w:p>
        </w:tc>
      </w:tr>
      <w:tr>
        <w:trPr>
          <w:trHeight w:val="230"/>
        </w:trPr>
        <w:tc>
          <w:tcPr>
            <w:tcW w:w="9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Financing activities (c)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(227.8)</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(460.3)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(174.9)</w:t>
            </w:r>
          </w:p>
        </w:tc>
        <w:tc>
          <w:tcPr>
            <w:tcW w:w="0" w:type="dxa"/>
            <w:vAlign w:val="bottom"/>
          </w:tcPr>
          <w:p>
            <w:pPr>
              <w:spacing w:after="0"/>
              <w:rPr>
                <w:sz w:val="1"/>
                <w:szCs w:val="1"/>
                <w:color w:val="auto"/>
              </w:rPr>
            </w:pPr>
          </w:p>
        </w:tc>
      </w:tr>
      <w:tr>
        <w:trPr>
          <w:trHeight w:val="217"/>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1,066.6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606.3</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Consists of the following: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9260" w:type="dxa"/>
            <w:vAlign w:val="bottom"/>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 of property</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Amortization of deferred expenses and stock units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106.4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175.5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changes in operating assets and liabilities.</w:t>
      </w:r>
    </w:p>
    <w:p>
      <w:pPr>
        <w:spacing w:after="0" w:line="21" w:lineRule="exact"/>
        <w:rPr>
          <w:rFonts w:ascii="Times New Roman" w:cs="Times New Roman" w:eastAsia="Times New Roman" w:hAnsi="Times New Roman"/>
          <w:sz w:val="18"/>
          <w:szCs w:val="18"/>
          <w:color w:val="auto"/>
        </w:rPr>
      </w:pPr>
    </w:p>
    <w:p>
      <w:pPr>
        <w:ind w:left="460" w:right="20" w:hanging="452"/>
        <w:spacing w:after="0" w:line="255"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purchases of shares of Class A common stock, tax withholdings related to the settlement of vested restricted stock units (“RSUs”) and vested performance-based restricted stock units (“PRSUs”), Class A common stock dividends and distributions to noncontrolling interest holders, and activity relating to borrowings, including, in 2015, the redemption of a majority of the Company’s 2017 Notes and issuance of the 2025 Notes.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liquidity and capital resources are derived from operating activities, financing activities and equity offerings.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460" w:firstLine="456"/>
        <w:spacing w:after="0" w:line="339" w:lineRule="auto"/>
        <w:rPr>
          <w:sz w:val="20"/>
          <w:szCs w:val="20"/>
          <w:color w:val="auto"/>
        </w:rPr>
      </w:pPr>
      <w:r>
        <w:rPr>
          <w:rFonts w:ascii="Times New Roman" w:cs="Times New Roman" w:eastAsia="Times New Roman" w:hAnsi="Times New Roman"/>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74"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3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Lazard’s condensed consolidated financial statements are presented in U.S. Dollars. Many of Lazard’s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 requirements. At March 31, 2015, Lazard had approximately $606 million of cash, with such amount including approximately $350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maintain lines of credit in excess of anticipated liquidity requirements. As of March 31, 2015, Lazard had approximately $245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$38 million (at March 31, 2015 exchange rates) and Edgewater of $55 million. In addition, LFB has access to the Eurosystem Covered Bond Purchase Program of the Banque de France.</w:t>
      </w:r>
    </w:p>
    <w:p>
      <w:pPr>
        <w:spacing w:after="0" w:line="13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60"/>
          </w:cols>
          <w:pgMar w:left="240" w:top="455" w:right="2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right="140" w:firstLine="456"/>
        <w:spacing w:after="0" w:line="339" w:lineRule="auto"/>
        <w:rPr>
          <w:sz w:val="20"/>
          <w:szCs w:val="20"/>
          <w:color w:val="auto"/>
        </w:rPr>
      </w:pPr>
      <w:r>
        <w:rPr>
          <w:rFonts w:ascii="Times New Roman" w:cs="Times New Roman" w:eastAsia="Times New Roman" w:hAnsi="Times New Roman"/>
          <w:sz w:val="16"/>
          <w:szCs w:val="16"/>
          <w:color w:val="auto"/>
        </w:rPr>
        <w:t>The table below sets forth our corporate indebtedness as of March 31, 2015 and December 31, 2014. The agreements with respect to this indebtedness are discussed in more detail in our condensed consolidated financial statements and related notes included elsewhere in this Form 10-Q and in our Form 10-K.</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4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1"/>
              </w:rPr>
              <w:t>Maturity</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5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6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72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7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4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7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millions)</w:t>
            </w:r>
          </w:p>
        </w:tc>
        <w:tc>
          <w:tcPr>
            <w:tcW w:w="58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jc w:val="right"/>
              <w:ind w:right="5652"/>
              <w:spacing w:after="0"/>
              <w:rPr>
                <w:sz w:val="20"/>
                <w:szCs w:val="20"/>
                <w:color w:val="auto"/>
              </w:rPr>
            </w:pPr>
            <w:r>
              <w:rPr>
                <w:rFonts w:ascii="Times New Roman" w:cs="Times New Roman" w:eastAsia="Times New Roman" w:hAnsi="Times New Roman"/>
                <w:sz w:val="18"/>
                <w:szCs w:val="18"/>
                <w:color w:val="auto"/>
                <w:w w:val="93"/>
              </w:rPr>
              <w:t>Senior Debt: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jc w:val="right"/>
              <w:ind w:right="5652"/>
              <w:spacing w:after="0"/>
              <w:rPr>
                <w:sz w:val="20"/>
                <w:szCs w:val="20"/>
                <w:color w:val="auto"/>
              </w:rPr>
            </w:pPr>
            <w:r>
              <w:rPr>
                <w:rFonts w:ascii="Times New Roman" w:cs="Times New Roman" w:eastAsia="Times New Roman" w:hAnsi="Times New Roman"/>
                <w:sz w:val="18"/>
                <w:szCs w:val="18"/>
                <w:color w:val="auto"/>
              </w:rPr>
              <w:t>6.85%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7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9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jc w:val="right"/>
              <w:ind w:right="5652"/>
              <w:spacing w:after="0"/>
              <w:rPr>
                <w:sz w:val="20"/>
                <w:szCs w:val="20"/>
                <w:color w:val="auto"/>
              </w:rPr>
            </w:pPr>
            <w:r>
              <w:rPr>
                <w:rFonts w:ascii="Times New Roman" w:cs="Times New Roman" w:eastAsia="Times New Roman" w:hAnsi="Times New Roman"/>
                <w:sz w:val="18"/>
                <w:szCs w:val="18"/>
                <w:color w:val="auto"/>
              </w:rPr>
              <w:t>4.25%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jc w:val="right"/>
              <w:ind w:right="5652"/>
              <w:spacing w:after="0"/>
              <w:rPr>
                <w:sz w:val="20"/>
                <w:szCs w:val="20"/>
                <w:color w:val="auto"/>
              </w:rPr>
            </w:pPr>
            <w:r>
              <w:rPr>
                <w:rFonts w:ascii="Times New Roman" w:cs="Times New Roman" w:eastAsia="Times New Roman" w:hAnsi="Times New Roman"/>
                <w:sz w:val="18"/>
                <w:szCs w:val="18"/>
                <w:color w:val="auto"/>
              </w:rPr>
              <w:t>3.75%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jc w:val="right"/>
              <w:ind w:right="5292"/>
              <w:spacing w:after="0"/>
              <w:rPr>
                <w:sz w:val="20"/>
                <w:szCs w:val="20"/>
                <w:color w:val="auto"/>
              </w:rPr>
            </w:pPr>
            <w:r>
              <w:rPr>
                <w:rFonts w:ascii="Times New Roman" w:cs="Times New Roman" w:eastAsia="Times New Roman" w:hAnsi="Times New Roman"/>
                <w:sz w:val="18"/>
                <w:szCs w:val="18"/>
                <w:color w:val="auto"/>
                <w:w w:val="94"/>
              </w:rPr>
              <w:t>Total Senior Debt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9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540" w:firstLine="456"/>
        <w:spacing w:after="0" w:line="310" w:lineRule="auto"/>
        <w:rPr>
          <w:sz w:val="20"/>
          <w:szCs w:val="20"/>
          <w:color w:val="auto"/>
        </w:rPr>
      </w:pPr>
      <w:r>
        <w:rPr>
          <w:rFonts w:ascii="Times New Roman" w:cs="Times New Roman" w:eastAsia="Times New Roman" w:hAnsi="Times New Roman"/>
          <w:sz w:val="16"/>
          <w:szCs w:val="16"/>
          <w:color w:val="auto"/>
        </w:rPr>
        <w:t>During February 2015, Lazard Group completed an offering of $400 million aggregate principal amount of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97"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74" w:lineRule="exact"/>
        <w:rPr>
          <w:sz w:val="20"/>
          <w:szCs w:val="20"/>
          <w:color w:val="auto"/>
        </w:rPr>
      </w:pPr>
    </w:p>
    <w:p>
      <w:pPr>
        <w:ind w:right="160" w:firstLine="456"/>
        <w:spacing w:after="0" w:line="293" w:lineRule="auto"/>
        <w:rPr>
          <w:sz w:val="20"/>
          <w:szCs w:val="20"/>
          <w:color w:val="auto"/>
        </w:rPr>
      </w:pPr>
      <w:r>
        <w:rPr>
          <w:rFonts w:ascii="Times New Roman" w:cs="Times New Roman" w:eastAsia="Times New Roman" w:hAnsi="Times New Roman"/>
          <w:sz w:val="16"/>
          <w:szCs w:val="16"/>
          <w:color w:val="auto"/>
        </w:rPr>
        <w:t>As long as the lenders’ commitments remain in effect, any loan pursuant to the Credit Facility remains outstanding and unpaid or any other amount is due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March 31, 2015, Lazard Group was in compliance with such ratios, with its Consolidated Leverage Ratio being 1.16 to 1.00 and its Consolidated Interest Coverage Ratio being 16.40 to 1.00. In any event, no amounts were outstanding under the Credit Facility as of March 31, 2015.</w:t>
      </w:r>
    </w:p>
    <w:p>
      <w:pPr>
        <w:spacing w:after="0" w:line="11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March 31, 2015,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9 of Notes to Condensed Consolidated Financial Statements for additional information regarding senior debt.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2015, total stockholders’ equity was $537 million, as compared to $770 million at December 31, 2014, including $473 million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$707 million attributable to Lazard Ltd on the respective dates. The net activity in stockholders’ equity during the three month period ended March 31, 2015 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reflected in the table below (in millions of dollars):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Equity—January 1, 2015</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$ 770</w:t>
            </w:r>
          </w:p>
        </w:tc>
        <w:tc>
          <w:tcPr>
            <w:tcW w:w="0" w:type="dxa"/>
            <w:vAlign w:val="bottom"/>
          </w:tcPr>
          <w:p>
            <w:pPr>
              <w:spacing w:after="0"/>
              <w:rPr>
                <w:sz w:val="1"/>
                <w:szCs w:val="1"/>
                <w:color w:val="auto"/>
              </w:rPr>
            </w:pPr>
          </w:p>
        </w:tc>
      </w:tr>
      <w:tr>
        <w:trPr>
          <w:trHeight w:val="283"/>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due to:</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share-based incentive compensation</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Class A common stock</w:t>
            </w:r>
          </w:p>
        </w:tc>
        <w:tc>
          <w:tcPr>
            <w:tcW w:w="2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Settlement of share-based incentive compensation, net of related tax benefit of $10 (a)</w:t>
            </w:r>
          </w:p>
        </w:tc>
        <w:tc>
          <w:tcPr>
            <w:tcW w:w="2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Class A common stock dividends</w:t>
            </w:r>
          </w:p>
        </w:tc>
        <w:tc>
          <w:tcPr>
            <w:tcW w:w="2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Distributions to noncontrolling interests, net</w:t>
            </w:r>
          </w:p>
        </w:tc>
        <w:tc>
          <w:tcPr>
            <w:tcW w:w="2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Other—net</w:t>
            </w:r>
          </w:p>
        </w:tc>
        <w:tc>
          <w:tcPr>
            <w:tcW w:w="17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Equity—March 31, 2015</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w:t>
        <w:tab/>
        <w:t>The tax withholding portion of share-based compensation is settled in cash, not shares.</w:t>
      </w:r>
    </w:p>
    <w:p>
      <w:pPr>
        <w:spacing w:after="0" w:line="17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rate at which the Company purchases shares in connection with this annual objective may vary from quarter to quarter due to a variety of factors. Purchases with respect to such program are set forth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w:t>
            </w:r>
          </w:p>
        </w:tc>
      </w:tr>
      <w:tr>
        <w:trPr>
          <w:trHeight w:val="165"/>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w:t>
            </w:r>
          </w:p>
        </w:tc>
      </w:tr>
      <w:tr>
        <w:trPr>
          <w:trHeight w:val="129"/>
        </w:trPr>
        <w:tc>
          <w:tcPr>
            <w:tcW w:w="20" w:type="dxa"/>
            <w:vAlign w:val="bottom"/>
          </w:tcPr>
          <w:p>
            <w:pPr>
              <w:spacing w:after="0"/>
              <w:rPr>
                <w:sz w:val="11"/>
                <w:szCs w:val="11"/>
                <w:color w:val="auto"/>
              </w:rPr>
            </w:pPr>
          </w:p>
        </w:tc>
        <w:tc>
          <w:tcPr>
            <w:tcW w:w="200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8800" w:type="dxa"/>
            <w:vAlign w:val="bottom"/>
            <w:gridSpan w:val="3"/>
          </w:tcPr>
          <w:p>
            <w:pPr>
              <w:ind w:left="7680"/>
              <w:spacing w:after="0"/>
              <w:rPr>
                <w:sz w:val="20"/>
                <w:szCs w:val="20"/>
                <w:color w:val="auto"/>
              </w:rPr>
            </w:pPr>
            <w:r>
              <w:rPr>
                <w:rFonts w:ascii="Times New Roman" w:cs="Times New Roman" w:eastAsia="Times New Roman" w:hAnsi="Times New Roman"/>
                <w:sz w:val="18"/>
                <w:szCs w:val="18"/>
                <w:color w:val="auto"/>
              </w:rPr>
              <w:t>2,392,674</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8800" w:type="dxa"/>
            <w:vAlign w:val="bottom"/>
            <w:gridSpan w:val="3"/>
            <w:shd w:val="clear" w:color="auto" w:fill="CCEEFF"/>
          </w:tcPr>
          <w:p>
            <w:pPr>
              <w:ind w:left="7680"/>
              <w:spacing w:after="0"/>
              <w:rPr>
                <w:sz w:val="20"/>
                <w:szCs w:val="20"/>
                <w:color w:val="auto"/>
              </w:rPr>
            </w:pPr>
            <w:r>
              <w:rPr>
                <w:rFonts w:ascii="Times New Roman" w:cs="Times New Roman" w:eastAsia="Times New Roman" w:hAnsi="Times New Roman"/>
                <w:sz w:val="18"/>
                <w:szCs w:val="18"/>
                <w:color w:val="auto"/>
              </w:rPr>
              <w:t>1,677,464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As of March 31, 2015, a total of $196 million of share repurchase authorization remained available under the Company’s share repurchase program, $46 million of which will expire on December 31, 2015 and $150 million of which will expire on December 31, 2016.</w:t>
      </w:r>
    </w:p>
    <w:p>
      <w:pPr>
        <w:spacing w:after="0" w:line="120"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During the three months ended March 31, 2015, the Company had in place trading plans under Rule 10b5-1 of the Securities Exchange Act of 1934, pursuant to which it effected stock repurchases in the open market.</w:t>
      </w:r>
    </w:p>
    <w:p>
      <w:pPr>
        <w:spacing w:after="0" w:line="12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20"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See Notes 11 and 12 of Notes to Condensed Consolidated Financial Statements for additional information regarding Lazard’s stockholders’ equity and incentive plans, respectively.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Capital</w:t>
      </w:r>
    </w:p>
    <w:p>
      <w:pPr>
        <w:spacing w:after="0" w:line="92"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Lazard’s contractual obligations as of March 31, 2015: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Contractual Obligations Payment Due by Period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jc w:val="center"/>
              <w:ind w:right="60"/>
              <w:spacing w:after="0" w:line="125" w:lineRule="exact"/>
              <w:rPr>
                <w:sz w:val="20"/>
                <w:szCs w:val="20"/>
                <w:color w:val="auto"/>
              </w:rPr>
            </w:pPr>
            <w:r>
              <w:rPr>
                <w:rFonts w:ascii="Times New Roman" w:cs="Times New Roman" w:eastAsia="Times New Roman" w:hAnsi="Times New Roman"/>
                <w:sz w:val="14"/>
                <w:szCs w:val="14"/>
                <w:b w:val="1"/>
                <w:bCs w:val="1"/>
                <w:color w:val="auto"/>
                <w:w w:val="97"/>
              </w:rPr>
              <w:t>Less than 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38"/>
              <w:spacing w:after="0" w:line="125" w:lineRule="exact"/>
              <w:rPr>
                <w:sz w:val="20"/>
                <w:szCs w:val="20"/>
                <w:color w:val="auto"/>
              </w:rPr>
            </w:pPr>
            <w:r>
              <w:rPr>
                <w:rFonts w:ascii="Times New Roman" w:cs="Times New Roman" w:eastAsia="Times New Roman" w:hAnsi="Times New Roman"/>
                <w:sz w:val="14"/>
                <w:szCs w:val="14"/>
                <w:b w:val="1"/>
                <w:bCs w:val="1"/>
                <w:color w:val="auto"/>
                <w:w w:val="94"/>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1-3 Years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0"/>
              </w:rPr>
              <w:t>3-5 Years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87"/>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Debt (including interest) (a)</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1,292,609</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43,612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180,955</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(exclusive of $71,246 of committed sublease income)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83,277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143,652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 (including interest)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Capital Funding Commitments (b)</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2,245,391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146,764</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333,553</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197,393</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1,567,681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of Notes to Condensed Consolidated Financial Statements.</w:t>
      </w:r>
    </w:p>
    <w:p>
      <w:pPr>
        <w:spacing w:after="0" w:line="21" w:lineRule="exact"/>
        <w:rPr>
          <w:rFonts w:ascii="Times New Roman" w:cs="Times New Roman" w:eastAsia="Times New Roman" w:hAnsi="Times New Roman"/>
          <w:sz w:val="18"/>
          <w:szCs w:val="18"/>
          <w:color w:val="auto"/>
        </w:rPr>
      </w:pPr>
    </w:p>
    <w:p>
      <w:pPr>
        <w:jc w:val="both"/>
        <w:ind w:left="460" w:right="60" w:hanging="452"/>
        <w:spacing w:after="0" w:line="250"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$6,588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1" w:lineRule="exact"/>
        <w:rPr>
          <w:rFonts w:ascii="Times New Roman" w:cs="Times New Roman" w:eastAsia="Times New Roman" w:hAnsi="Times New Roman"/>
          <w:sz w:val="18"/>
          <w:szCs w:val="18"/>
          <w:color w:val="auto"/>
        </w:rPr>
      </w:pPr>
    </w:p>
    <w:p>
      <w:pPr>
        <w:ind w:left="460" w:right="40" w:hanging="452"/>
        <w:spacing w:after="0" w:line="254"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excludes contingent obligations, as well as any possible payments for uncertain tax positions and payments pursuant to the Company’s tax receivable agreement, given the inability to estimate the possible amounts and timing of any such payments. See Notes 10, 12, 13 and 14 of Notes to Condensed Consolidated Financial Statements regarding information in connection with commitments, incentive plans, employee benefit plans and income taxes,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4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Lazard generates substantially all of its net revenue from providing Financial Advisory and Asset Management services to clients. Lazard recognizes revenue when the following criteria are met:</w:t>
      </w:r>
    </w:p>
    <w:p>
      <w:pPr>
        <w:spacing w:after="0" w:line="39" w:lineRule="exact"/>
        <w:rPr>
          <w:sz w:val="20"/>
          <w:szCs w:val="20"/>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persuasive evidence of an arrangement with a client;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agreed-upon services have been provided;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are fixed or determinable;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 probable.</w:t>
      </w:r>
    </w:p>
    <w:p>
      <w:pPr>
        <w:spacing w:after="0" w:line="171"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0"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Compensation Liabilities</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39"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2014, on a consolidated basis, we recorded gross deferred tax assets of approximately $1.18 billion.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455" w:right="2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3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historical profitability of each tax paying entity is an important factor in determining whether to record a valuation allowance and when to release any such allowance. Several of our tax-paying entities at which we have recorded significant valuation allowances were profitable on a cumulative basis for the three year period ended March 31, 2015, but substantially all of the profitability of these entities during that period was achieved during 2014 (and these entities experienced losses in 2012).</w:t>
      </w:r>
    </w:p>
    <w:p>
      <w:pPr>
        <w:spacing w:after="0" w:line="136"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In assessing our valuation allowance, we have considered all available information, including the historical volatility of operating results of the relevant tax-paying entities, and the fact that the recent results of operations of the entities reflect only one year of significant profitability in the three year period ended March 31, 2015. Based upon this analysis, we do not believe that our principal tax paying entities have attained a sustained level of profitability yet, and, therefore, we continue to maintain a valuation allowance on substantially all of our deferred tax assets as of March 31, 2015.</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frequency, magnitude and duration of any past losses and current operating results;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statutory carryforward periods;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experience with tax attributes expiring unused;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near-term and medium-term financial outlook.</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32"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As mentioned previously, we continued to maintain a valuation allowance on substantially all of our deferred tax assets as of March 31, 2015. If the relevant tax-paying entities continue to be more than marginally profitable during 2015, and if there is no other significant negative evidence, we expect that a significant portion of our valuation allowance would likely be released in 2015. However, many factors could cause our view to change, including, for example, changes in our assessment of potential future profitability or changes in tax laws and regulations that currently apply to us and to our subsidiaries, in which case our valuation allowance could be released subsequent to 2015 (if at all). If a significant valuation allowance reduction were to occur, we would likely have a significant income tax benefit in the period of such reduction.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Included in our deferred tax assets as of December 31, 2014 are approximately $544 million related to certain basis step-ups and approximately</w:t>
      </w:r>
    </w:p>
    <w:p>
      <w:pPr>
        <w:spacing w:after="0" w:line="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$255 million of net operating losses generated by the amortization of such step-up assets, all of which are subject to the tax receivable agreement, dated as of May 10, 2005 (the “tax receivable agreement”), between Lazard and LMDC Holdings LLC (“LMDC Holdings”). Under the tax receivable agreement, Lazard Group will retain 15% of any actual cash tax savings relating to the use of such assets and will pay 85% of such savings to the owners of LMDC Holdings, who are primarily the people who were managing directors of Lazard prior to our separation and recapitalization transactions in 2005 (including our executive officers). As a result, in the event of a reduction of our valuation allowance, we also would recognize a liability relating to the portion expected to be payable under the tax receivable agreement. The creation of this liability could potentially offset a significant amount (but not all) of the income tax benefit we would otherwise recognize upon a reduction of the valuation allowance.</w:t>
      </w:r>
    </w:p>
    <w:p>
      <w:pPr>
        <w:spacing w:after="0" w:line="14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If any significant valuation allowance reduction were to occur, for subsequent annual periods, our effective tax rate, with all other factors being held constant, would increase and could be significantly higher than our effective tax rate in the period immediately preceding the reduction in the valuation allowance. In such a situation, with all other factors being held constant, an increase in our effective tax rate as a result of a reduction in the valuation allowance would not impact the amount of cash income taxes we would pay to taxing authorities. However, as described above, payments under the tax receivable agreement may be required in subsequent periods.</w:t>
      </w:r>
    </w:p>
    <w:p>
      <w:pPr>
        <w:spacing w:after="0" w:line="13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Company records tax positions taken or expected to be taken in a tax return based upon the Company’s estimates regarding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39"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Item 1A, “Risk Factors” and Note 14 of Notes to Condensed Consolidated Financial Statements for additional information related to income taxes.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94"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20"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36"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Data relating to investments is set forth below:</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March 31</w:t>
            </w:r>
          </w:p>
        </w:tc>
        <w:tc>
          <w:tcPr>
            <w:tcW w:w="158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auto"/>
            </w:tcBorders>
            <w:gridSpan w:val="3"/>
          </w:tcPr>
          <w:p>
            <w:pPr>
              <w:ind w:left="600"/>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Seed investments by asset class: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Equities (a)</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$108,078</w:t>
            </w: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121,611</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Fixed income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21,936</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26,728</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seed investments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155,038</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174,713</w:t>
            </w:r>
          </w:p>
        </w:tc>
        <w:tc>
          <w:tcPr>
            <w:tcW w:w="100" w:type="dxa"/>
            <w:vAlign w:val="bottom"/>
            <w:shd w:val="clear" w:color="auto" w:fill="CCEEFF"/>
          </w:tcPr>
          <w:p>
            <w:pPr>
              <w:spacing w:after="0"/>
              <w:rPr>
                <w:sz w:val="18"/>
                <w:szCs w:val="18"/>
                <w:color w:val="auto"/>
              </w:rPr>
            </w:pPr>
          </w:p>
        </w:tc>
      </w:tr>
      <w:tr>
        <w:trPr>
          <w:trHeight w:val="222"/>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 owned:</w:t>
            </w: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Private equity (b)</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108,049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Interest-bearing deposits (c)</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54,248</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84,575</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Fixed income and other</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22,075</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25,629</w:t>
            </w:r>
          </w:p>
        </w:tc>
        <w:tc>
          <w:tcPr>
            <w:tcW w:w="100" w:type="dxa"/>
            <w:vAlign w:val="bottom"/>
            <w:shd w:val="clear" w:color="auto" w:fill="CCEEFF"/>
          </w:tcPr>
          <w:p>
            <w:pPr>
              <w:spacing w:after="0"/>
              <w:rPr>
                <w:sz w:val="19"/>
                <w:szCs w:val="19"/>
                <w:color w:val="auto"/>
              </w:rPr>
            </w:pP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investments owned</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178,355</w:t>
            </w:r>
          </w:p>
        </w:tc>
        <w:tc>
          <w:tcPr>
            <w:tcW w:w="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218,253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333,393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392,966</w:t>
            </w:r>
          </w:p>
        </w:tc>
        <w:tc>
          <w:tcPr>
            <w:tcW w:w="100" w:type="dxa"/>
            <w:vAlign w:val="bottom"/>
            <w:shd w:val="clear" w:color="auto" w:fill="CCEEFF"/>
          </w:tcPr>
          <w:p>
            <w:pPr>
              <w:spacing w:after="0"/>
              <w:rPr>
                <w:sz w:val="18"/>
                <w:szCs w:val="18"/>
                <w:color w:val="auto"/>
              </w:rPr>
            </w:pPr>
          </w:p>
        </w:tc>
      </w:tr>
      <w:tr>
        <w:trPr>
          <w:trHeight w:val="222"/>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w:t>
            </w: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method (d)</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Private equity consolidated, not owned (e)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LFI (f)</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213,189</w:t>
            </w:r>
          </w:p>
        </w:tc>
        <w:tc>
          <w:tcPr>
            <w:tcW w:w="100" w:type="dxa"/>
            <w:vAlign w:val="bottom"/>
            <w:shd w:val="clear" w:color="auto" w:fill="CCEEFF"/>
          </w:tcPr>
          <w:p>
            <w:pPr>
              <w:spacing w:after="0"/>
              <w:rPr>
                <w:sz w:val="18"/>
                <w:szCs w:val="18"/>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486,746</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620,352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1" w:lineRule="exact"/>
        <w:rPr>
          <w:sz w:val="20"/>
          <w:szCs w:val="20"/>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2015 and December 31, 2014, seed investments in directly owned equity securities were invested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48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w w:val="93"/>
              </w:rPr>
              <w:t>March 31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80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9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r>
      <w:tr>
        <w:trPr>
          <w:trHeight w:val="196"/>
        </w:trPr>
        <w:tc>
          <w:tcPr>
            <w:tcW w:w="8020" w:type="dxa"/>
            <w:vAlign w:val="bottom"/>
            <w:shd w:val="clear" w:color="auto" w:fill="CCEEFF"/>
          </w:tcPr>
          <w:p>
            <w:pPr>
              <w:ind w:left="1040"/>
              <w:spacing w:after="0" w:line="196" w:lineRule="exact"/>
              <w:rPr>
                <w:sz w:val="20"/>
                <w:szCs w:val="20"/>
                <w:color w:val="auto"/>
              </w:rPr>
            </w:pPr>
            <w:r>
              <w:rPr>
                <w:rFonts w:ascii="Times New Roman" w:cs="Times New Roman" w:eastAsia="Times New Roman" w:hAnsi="Times New Roman"/>
                <w:sz w:val="18"/>
                <w:szCs w:val="18"/>
                <w:color w:val="auto"/>
              </w:rPr>
              <w:t>Percentage invested in:</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0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Financials</w:t>
            </w: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0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Consumer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r>
      <w:tr>
        <w:trPr>
          <w:trHeight w:val="216"/>
        </w:trPr>
        <w:tc>
          <w:tcPr>
            <w:tcW w:w="80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Industrial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r>
      <w:tr>
        <w:trPr>
          <w:trHeight w:val="216"/>
        </w:trPr>
        <w:tc>
          <w:tcPr>
            <w:tcW w:w="80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Technology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r>
      <w:tr>
        <w:trPr>
          <w:trHeight w:val="216"/>
        </w:trPr>
        <w:tc>
          <w:tcPr>
            <w:tcW w:w="80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Energy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r>
      <w:tr>
        <w:trPr>
          <w:trHeight w:val="216"/>
        </w:trPr>
        <w:tc>
          <w:tcPr>
            <w:tcW w:w="80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r>
      <w:tr>
        <w:trPr>
          <w:trHeight w:val="223"/>
        </w:trPr>
        <w:tc>
          <w:tcPr>
            <w:tcW w:w="80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8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ind w:left="460" w:right="400" w:hanging="452"/>
        <w:spacing w:after="0" w:line="334" w:lineRule="auto"/>
        <w:tabs>
          <w:tab w:leader="none" w:pos="4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 equity investments include investments related to certain legacy businesses and co-investments in private equity funds managed by our Asset Management business. Co-investments owned were $28 million and $25 million as of March 31, 2015 and December 31, 2014, respectively.</w:t>
      </w:r>
    </w:p>
    <w:p>
      <w:pPr>
        <w:ind w:left="460" w:hanging="452"/>
        <w:spacing w:after="0" w:line="258"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to medium term interest rates generally turned negative in Europe during 2014 and remain very low in many other countries and regions throughout the world. In the normal course of asset and liability management activities, both from a corporate treasury and LFB perspective,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5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investments accounted for under the equity method of accounting.</w:t>
      </w:r>
    </w:p>
    <w:p>
      <w:pPr>
        <w:spacing w:after="0" w:line="90" w:lineRule="exact"/>
        <w:rPr>
          <w:rFonts w:ascii="Times New Roman" w:cs="Times New Roman" w:eastAsia="Times New Roman" w:hAnsi="Times New Roman"/>
          <w:sz w:val="18"/>
          <w:szCs w:val="18"/>
          <w:color w:val="auto"/>
        </w:rPr>
      </w:pPr>
    </w:p>
    <w:p>
      <w:pPr>
        <w:ind w:left="460" w:right="60" w:hanging="452"/>
        <w:spacing w:after="0" w:line="262"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2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20"/>
          </w:cols>
          <w:pgMar w:left="240" w:top="455" w:right="3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00" w:hanging="452"/>
        <w:spacing w:after="0" w:line="258"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36"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At March 31, 2015 and December 31, 2014, total investments with a fair value of $426 million and $528 million, respectively, included $109 million and $116 million, respectively, or 26% and 22%, respectively, of investments that were classified as Level 3 investments. A majority of our Level 3 investments at both dates are priced based on a NAV. During the three months ended March 31, 2015 and 2014, gains of approximately $8 million and $6 million, respectively, were recognized in “revenue-other” on the condensed consolidated statement of operations pertaining to Level 3 investments. See Notes 4 and 5 of Notes to Condensed Consolidated Financial Statements for additional information regarding investments measured at fair value, including the levels of fair value within which such measurements of fair value fall.</w:t>
      </w:r>
    </w:p>
    <w:p>
      <w:pPr>
        <w:spacing w:after="0" w:line="139"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As of March 31, 2015 and December 31, 2014, the Company held seed investments of approximately $155 million and $175 million, respectively. Seed investments held in entities in which the Company maintained a controlling interest were $44 million in six entities as of March 31, 2015, as compared to $54 million in eight entities as of December 31, 2014.</w:t>
      </w:r>
    </w:p>
    <w:p>
      <w:pPr>
        <w:spacing w:after="0" w:line="132" w:lineRule="exact"/>
        <w:rPr>
          <w:sz w:val="20"/>
          <w:szCs w:val="20"/>
          <w:color w:val="auto"/>
        </w:rPr>
      </w:pPr>
    </w:p>
    <w:p>
      <w:pPr>
        <w:ind w:right="260" w:firstLine="456"/>
        <w:spacing w:after="0" w:line="310" w:lineRule="auto"/>
        <w:rPr>
          <w:sz w:val="20"/>
          <w:szCs w:val="20"/>
          <w:color w:val="auto"/>
        </w:rPr>
      </w:pPr>
      <w:r>
        <w:rPr>
          <w:rFonts w:ascii="Times New Roman" w:cs="Times New Roman" w:eastAsia="Times New Roman" w:hAnsi="Times New Roman"/>
          <w:sz w:val="16"/>
          <w:szCs w:val="16"/>
          <w:color w:val="auto"/>
        </w:rPr>
        <w:t>As of March 31, 2015 and December 31, 2014, the Company did not consolidate or deconsolidate any seed investment entities. As such, 100% of the recorded balance of seed investments as of March 31, 2015 and December 31, 2014 represented the Company’s economic interest in the seed investments. See “—Consolidation of Variable Interest Entities” below for more information on the Company’s policy regarding the consolidation of seed investment entities.</w:t>
      </w:r>
    </w:p>
    <w:p>
      <w:pPr>
        <w:spacing w:after="0" w:line="97"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 in our Form 10-K.</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Assets Under Management</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2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3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Variable Interest Entities</w:t>
      </w:r>
    </w:p>
    <w:p>
      <w:pPr>
        <w:spacing w:after="0" w:line="94"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1" w:lineRule="exact"/>
        <w:rPr>
          <w:sz w:val="20"/>
          <w:szCs w:val="20"/>
          <w:color w:val="auto"/>
        </w:rPr>
      </w:pPr>
    </w:p>
    <w:p>
      <w:pPr>
        <w:ind w:left="900" w:right="140" w:hanging="325"/>
        <w:spacing w:after="0" w:line="258"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55" w:lineRule="exact"/>
        <w:rPr>
          <w:rFonts w:ascii="Times New Roman" w:cs="Times New Roman" w:eastAsia="Times New Roman" w:hAnsi="Times New Roman"/>
          <w:sz w:val="18"/>
          <w:szCs w:val="18"/>
          <w:color w:val="auto"/>
        </w:rPr>
      </w:pPr>
    </w:p>
    <w:p>
      <w:pPr>
        <w:ind w:left="900" w:hanging="325"/>
        <w:spacing w:after="0" w:line="26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32"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3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39" w:lineRule="exact"/>
        <w:rPr>
          <w:sz w:val="20"/>
          <w:szCs w:val="20"/>
          <w:color w:val="auto"/>
        </w:rPr>
      </w:pPr>
    </w:p>
    <w:p>
      <w:pPr>
        <w:jc w:val="both"/>
        <w:ind w:right="260" w:firstLine="456"/>
        <w:spacing w:after="0" w:line="258" w:lineRule="auto"/>
        <w:rPr>
          <w:sz w:val="20"/>
          <w:szCs w:val="20"/>
          <w:color w:val="auto"/>
        </w:rPr>
      </w:pPr>
      <w:r>
        <w:rPr>
          <w:rFonts w:ascii="Times New Roman" w:cs="Times New Roman" w:eastAsia="Times New Roman" w:hAnsi="Times New Roman"/>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and (ii) investments in funds owned entirely by the noncontrolling interest holders of certain acquired entities.</w:t>
      </w:r>
    </w:p>
    <w:p>
      <w:pPr>
        <w:spacing w:after="0" w:line="1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firstLine="456"/>
        <w:spacing w:after="0" w:line="296" w:lineRule="auto"/>
        <w:rPr>
          <w:sz w:val="20"/>
          <w:szCs w:val="20"/>
          <w:color w:val="auto"/>
        </w:rPr>
      </w:pPr>
      <w:r>
        <w:rPr>
          <w:rFonts w:ascii="Times New Roman" w:cs="Times New Roman" w:eastAsia="Times New Roman" w:hAnsi="Times New Roman"/>
          <w:sz w:val="16"/>
          <w:szCs w:val="16"/>
          <w:color w:val="auto"/>
        </w:rPr>
        <w:t>Equity Market Price Risk—At March 31, 2015 and December 31, 2014, the Company’s exposure to equity market price risk in its investment portfolio, which primarily relates to investments in equity securities, equity funds and hedge funds, was approximately $121 million and $131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$1.5 million and $2.0 million in the carrying value of such investments as of March 31, 2015 and December 31, 2014, respectively, including the effect of the hedging transactions.</w:t>
      </w:r>
    </w:p>
    <w:p>
      <w:pPr>
        <w:spacing w:after="0" w:line="108"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Interest Rate/Credit Spread Risk—At both March 31, 2015 and December 31, 2014, the Company’s exposure to interest rate and credit spread risk in its investment portfolio related to investments in debt securities or funds which invest primarily in debt securities was $54 million.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$1.0 million in the carrying value of such investments as of both March 31, 2015 and December 31, 2014, including the effect of the hedging transactions.</w:t>
      </w:r>
    </w:p>
    <w:p>
      <w:pPr>
        <w:spacing w:after="0" w:line="139"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Foreign Exchange Rate Risk—At March 31, 2015 and December 31, 2014, the Company’s exposure to foreign exchange rate risk in its investment portfolio, which primarily relates to investments in foreign currency denominated equity and debt securities, was $61 million and $68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$0.5 million and $0.6 million in the carrying value of such investments as of March 31, 2015 and December 31, 2014, respectively, including the effect of the hedging transactions.</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Private Equity—The Company invests in private equity primarily as a part of its co-investment activities and in connection with certain legacy businesses. At March 31, 2015 and December 31, 2014, the Company’s exposure to changes in fair value of such investments was approximately $102 million and $108 million, respectively. The Company estimates that a hypothetical 10% adverse change in fair value would result in a decrease of approximately $10.2 million and $10.8 million in the carrying value of such investments as of March 31, 2015 and December 31, 2014, respectively.</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Receivables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March 31, 2015, total receivables amounted to $594 million, net of an allowance for doubtful accounts of $18 million. As of that date, Financial Advisory and Asset Management fees, and customer receivables comprised 77% and 23% of total receivables, respectively. At December 31, 2014, total receivables amounted to $558 million, net of an allowance for doubtful accounts of $24 million. As of that date, Financial Advisory and Asset Management fees, and customer receivables comprised 87% and 13% of total receivables, respectively. At March 31, 2015 and December 31, 2014, the Company had receivables past due or deemed uncollectible of approximately $19 million and $25 million, respectively. See also “Critical Accounting Policies and Estimates—Revenue Recognition” above and Note 3 of Notes to Condensed Consolidated Financial Statements for additional information regarding receivables.</w:t>
      </w:r>
    </w:p>
    <w:p>
      <w:pPr>
        <w:spacing w:after="0" w:line="14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LFB engages in lending activities, including commitments to extend credit. At March 31, 2015 and December 31, 2014, customer receivables included $34 million and $35 million of LFB loans, respectively. Such loans are closely monitored for counterparty creditworthiness to help minimize exposure. In addition, as of March 31, 2015, LFB’s commitments to lend, which are fully collateralized and generally contain requirements for the counterparty to maintain a minimum collateral level, were not significant.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Credit Concentrations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reduce the exposure to concentrations of credit, the Company monitors exposures to individual counterparties.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Derivatives</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Lazard enters into interest rate swaps and forward foreign currency exchange contracts to hedge exposures to interest rates and currency exchange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$4 million and $2 million at March 31, 2015 and December 31, 2014, respectively, and derivative liabilities, excluding the derivative liability arising from the Company’s obligation pertaining to LFI and other similar deferred compensation arrangements, amounted to $2 million and $0.8 million at such respective dates.</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$226 million and $207 million at March 31, 2015 and December 31, 2014,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Cash and Cash Equivalents and Corporate Indebtedness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A significant portion of the Company’s indebtedness has fixed interest rates, while its cash and cash equivalents generally have market interest rates. Based on account balances as of March 31, 2015, Lazard estimates that its annual operating income relating to cash and cash equivalents would increase by approximately $6 million in the event interest rates were to increase by 1% and decrease by approximately $6 million if rates were to decrease by 1%.</w:t>
      </w:r>
    </w:p>
    <w:p>
      <w:pPr>
        <w:spacing w:after="0" w:line="13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As of March 31, 2015, the Company’s cash and cash equivalents totaled approximately $606 million. Substantially all of the Company’s cash and cash equivalents were invested in highly liquid institutional money market funds (a significant majority of which were invested solely in U.S. Government or agency money market funds), in short-term interest bearing and non-interest bearing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included under the caption “Management’s Discussion and Analysis of Financial Condition and Results of Operations—Risk Management.”</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40"/>
          </w:cols>
          <w:pgMar w:left="240" w:top="455" w:right="31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41"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5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material changes from the risk factors previously disclosed in the Company’s Annual Report on Form 10-K.</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regarding Lazard’s purchases of its Class A common stock on a monthly basis during the first quarter of 2015.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repurchases are recorded on a trade date basis.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 Number</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Shares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Purchased as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Part of Publicly</w:t>
            </w:r>
          </w:p>
        </w:tc>
        <w:tc>
          <w:tcPr>
            <w:tcW w:w="42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Announced</w:t>
            </w:r>
          </w:p>
        </w:tc>
        <w:tc>
          <w:tcPr>
            <w:tcW w:w="42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Yet Be Purchased</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0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Plans or</w:t>
            </w:r>
          </w:p>
        </w:tc>
        <w:tc>
          <w:tcPr>
            <w:tcW w:w="42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 the Plans or</w:t>
            </w:r>
          </w:p>
        </w:tc>
        <w:tc>
          <w:tcPr>
            <w:tcW w:w="0" w:type="dxa"/>
            <w:vAlign w:val="bottom"/>
          </w:tcPr>
          <w:p>
            <w:pPr>
              <w:spacing w:after="0"/>
              <w:rPr>
                <w:sz w:val="1"/>
                <w:szCs w:val="1"/>
                <w:color w:val="auto"/>
              </w:rPr>
            </w:pPr>
          </w:p>
        </w:tc>
      </w:tr>
      <w:tr>
        <w:trPr>
          <w:trHeight w:val="152"/>
        </w:trPr>
        <w:tc>
          <w:tcPr>
            <w:tcW w:w="3780" w:type="dxa"/>
            <w:vAlign w:val="bottom"/>
            <w:gridSpan w:val="3"/>
            <w:vMerge w:val="continue"/>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gridSpan w:val="2"/>
          </w:tcPr>
          <w:p>
            <w:pPr>
              <w:jc w:val="center"/>
              <w:ind w:right="400"/>
              <w:spacing w:after="0" w:line="152" w:lineRule="exact"/>
              <w:rPr>
                <w:sz w:val="20"/>
                <w:szCs w:val="20"/>
                <w:color w:val="auto"/>
              </w:rPr>
            </w:pPr>
            <w:r>
              <w:rPr>
                <w:rFonts w:ascii="Times New Roman" w:cs="Times New Roman" w:eastAsia="Times New Roman" w:hAnsi="Times New Roman"/>
                <w:sz w:val="14"/>
                <w:szCs w:val="14"/>
                <w:b w:val="1"/>
                <w:bCs w:val="1"/>
                <w:color w:val="auto"/>
                <w:w w:val="95"/>
              </w:rPr>
              <w:t>Purchased</w:t>
            </w:r>
          </w:p>
        </w:tc>
        <w:tc>
          <w:tcPr>
            <w:tcW w:w="92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4"/>
                <w:szCs w:val="14"/>
                <w:b w:val="1"/>
                <w:bCs w:val="1"/>
                <w:color w:val="auto"/>
              </w:rPr>
              <w:t>Share</w:t>
            </w:r>
          </w:p>
        </w:tc>
        <w:tc>
          <w:tcPr>
            <w:tcW w:w="9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4"/>
              </w:rPr>
              <w:t>Programs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January 1 – January 31, 2015</w:t>
            </w:r>
          </w:p>
        </w:tc>
        <w:tc>
          <w:tcPr>
            <w:tcW w:w="20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3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711,496</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47.76</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711,496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244.9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20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2"/>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February 1 – February 28, 2015</w:t>
            </w:r>
          </w:p>
        </w:tc>
        <w:tc>
          <w:tcPr>
            <w:tcW w:w="2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32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594,007</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50.56</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594,007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214.9 million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3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873,011</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50.74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1 – March 31, 2015</w:t>
            </w:r>
          </w:p>
        </w:tc>
        <w:tc>
          <w:tcPr>
            <w:tcW w:w="2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3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371,961</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50.93</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371,961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32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1,133,174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50.82</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2"/>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32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1,677,464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49.46</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1,677,464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196.0 million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3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2,006,185</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50.79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8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73</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180" w:hanging="452"/>
        <w:spacing w:after="0" w:line="275"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2015 and for the years ended December 31, 2014, 2013, and 2012, the Board of Directors of Lazard authorized the repurchase of Class A common stock and Lazard Group common membership interests as set forth in the table below.</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2920" w:type="dxa"/>
            <w:vAlign w:val="bottom"/>
            <w:vMerge w:val="restart"/>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6"/>
              </w:rPr>
              <w:t>Repurchase</w:t>
            </w: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gridSpan w:val="3"/>
          </w:tcPr>
          <w:p>
            <w:pPr>
              <w:jc w:val="center"/>
              <w:ind w:right="6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Authorization</w:t>
            </w:r>
          </w:p>
        </w:tc>
        <w:tc>
          <w:tcPr>
            <w:tcW w:w="1780" w:type="dxa"/>
            <w:vAlign w:val="bottom"/>
            <w:gridSpan w:val="2"/>
          </w:tcPr>
          <w:p>
            <w:pPr>
              <w:ind w:left="520"/>
              <w:spacing w:after="0" w:line="152"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October 2012</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97"/>
              </w:rPr>
              <w:t>December 31, 2014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2013</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December 31, 2015</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2014</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December 31, 2015</w:t>
            </w:r>
          </w:p>
        </w:tc>
        <w:tc>
          <w:tcPr>
            <w:tcW w:w="0" w:type="dxa"/>
            <w:vAlign w:val="bottom"/>
          </w:tcPr>
          <w:p>
            <w:pPr>
              <w:spacing w:after="0"/>
              <w:rPr>
                <w:sz w:val="1"/>
                <w:szCs w:val="1"/>
                <w:color w:val="auto"/>
              </w:rPr>
            </w:pPr>
          </w:p>
        </w:tc>
      </w:tr>
      <w:tr>
        <w:trPr>
          <w:trHeight w:val="22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2015</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20" w:type="dxa"/>
            <w:vAlign w:val="bottom"/>
          </w:tcPr>
          <w:p>
            <w:pPr>
              <w:spacing w:after="0"/>
              <w:rPr>
                <w:sz w:val="19"/>
                <w:szCs w:val="19"/>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December 31, 2016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The share repurchase program is used primarily to offset a portion of the shares to be issued under the 2005 Plan and the 2008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2" w:lineRule="exact"/>
        <w:rPr>
          <w:sz w:val="20"/>
          <w:szCs w:val="20"/>
          <w:color w:val="auto"/>
        </w:rPr>
      </w:pPr>
    </w:p>
    <w:p>
      <w:pPr>
        <w:ind w:left="460" w:hanging="452"/>
        <w:spacing w:after="0" w:line="295" w:lineRule="auto"/>
        <w:tabs>
          <w:tab w:leader="none" w:pos="4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2005 Plan and the 2008 Plan, upon the vesting of RSUs, PRSUs and delivery of restricted Class A common stock, shares of Class A common stock may be withheld by the Company to meet the minimum statutory tax withholding requirements. During the three month period ended March 31, 2015, the Company satisfied such obligations in lieu of issuing (i) 1,917,693 shares of Class A common stock upon the vesting of 6,937,570 RSUs (including certain PRSUs) and (ii) 88,492 shares of Class A common stock upon the vesting of 438,743 shares of restricted Class A common stock.</w:t>
      </w:r>
    </w:p>
    <w:p>
      <w:pPr>
        <w:spacing w:after="0" w:line="2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1056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419"/>
        </w:trPr>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06"/>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3.1</w:t>
            </w: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Certificate of Incorporation and Memorandum of Association of the Registrant (incorporated by reference to Exhibit 3.1 to the Registrant’s</w:t>
            </w:r>
          </w:p>
        </w:tc>
      </w:tr>
      <w:tr>
        <w:trPr>
          <w:trHeight w:val="228"/>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Registration Statement (File No. 333-121407) on Form S-1/A filed on March 21,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3.2</w:t>
            </w: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Certificate of Incorporation in Change of Name of the Registrant (incorporated by reference to Exhibit 3.2 to the Registrant’s Registration</w:t>
            </w:r>
          </w:p>
        </w:tc>
      </w:tr>
      <w:tr>
        <w:trPr>
          <w:trHeight w:val="228"/>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Statement (File No. 333-121407) on Form S-1/A filed on March 21,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3.3</w:t>
            </w: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Amended and Restated Bye-Laws of Lazard Ltd (incorporated by reference to Exhibit 3.3 to the Registrant’s Quarterly Report (File No. 001-</w:t>
            </w:r>
          </w:p>
        </w:tc>
      </w:tr>
      <w:tr>
        <w:trPr>
          <w:trHeight w:val="228"/>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32492) on Form 10-Q filed on June 16,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3.4</w:t>
            </w: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First Amendment to Amended and Restated Bye-Laws of Lazard Ltd (incorporated by reference to Exhibit 3.4 to the Registrant’s Quarterly</w:t>
            </w:r>
          </w:p>
        </w:tc>
      </w:tr>
      <w:tr>
        <w:trPr>
          <w:trHeight w:val="228"/>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Report (File No. 001-32492) on Form 10-Q filed on May 9, 2008).</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3.5</w:t>
            </w: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Second Amendment to the Amended and Restated Bye-Laws of Lazard Ltd (incorporated by reference to Exhibit 3.5 to the Registrant’s</w:t>
            </w:r>
          </w:p>
        </w:tc>
      </w:tr>
      <w:tr>
        <w:trPr>
          <w:trHeight w:val="228"/>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Quarterly Report (File No. 001-32492) on Form 10-Q filed on April 30, 2010).</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4.1</w:t>
            </w: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Form of Specimen Certificate for Class A common stock (incorporated by reference to Exhibit 4.1 to the Registrant’s Registration Statement</w:t>
            </w:r>
          </w:p>
        </w:tc>
      </w:tr>
      <w:tr>
        <w:trPr>
          <w:trHeight w:val="228"/>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(File No. 333-121407) on Form S-1/A filed on April 11,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4.2</w:t>
            </w: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Indenture, dated as of May 10, 2005, by and between Lazard Group LLC and The Bank of New York, as Trustee (incorporated by reference to</w:t>
            </w:r>
          </w:p>
        </w:tc>
      </w:tr>
      <w:tr>
        <w:trPr>
          <w:trHeight w:val="228"/>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Exhibit 4.1 to Lazard Group LLC’s Registration Statement (File No. 333-126751) on Form S-4 filed on July 21,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4.3</w:t>
            </w: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First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(incorporated by reference to Exhibit 4.2 to Lazard Group LLC’s Registration Statement (File No. 333-126751) on Form S-4 filed on July 21,</w:t>
            </w:r>
          </w:p>
        </w:tc>
      </w:tr>
      <w:tr>
        <w:trPr>
          <w:trHeight w:val="228"/>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2005).</w:t>
            </w:r>
          </w:p>
        </w:tc>
      </w:tr>
      <w:tr>
        <w:trPr>
          <w:trHeight w:val="325"/>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4.4</w:t>
            </w: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Fourth Supplemental Indenture, dated as of June 21, 2007, between Lazard Group LLC and The Bank of New York, as trustee (incorporated by</w:t>
            </w:r>
          </w:p>
        </w:tc>
      </w:tr>
      <w:tr>
        <w:trPr>
          <w:trHeight w:val="228"/>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reference to Exhibit 4.1 to the Registrant’s Current Report on Form 8-K (File No. 001-32492) filed on June 22, 2007).</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4.5</w:t>
            </w: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Fifth Supplemental Indenture, dated as of November 14, 2013, between Lazard Group LLC and The Bank of New York Mellon, as trustee</w:t>
            </w:r>
          </w:p>
        </w:tc>
      </w:tr>
      <w:tr>
        <w:trPr>
          <w:trHeight w:val="228"/>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(incorporated by reference to Exhibit 4.1 to the Registrant’s Current Report on Form 8-K (File No. 001-32492) filed on November 14, 2013).</w:t>
            </w:r>
          </w:p>
        </w:tc>
      </w:tr>
      <w:tr>
        <w:trPr>
          <w:trHeight w:val="324"/>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4.6</w:t>
            </w: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of Senior Note (included in Exhibits 4.3, 4.4 and 4.5).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5"/>
              </w:rPr>
              <w:t>10.1</w:t>
            </w: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Operating Agreement of Lazard Group LLC, dated as of May 10, 2005 (incorporated by reference to Exhibit 10.2 to the Registrant’s Quarterly</w:t>
            </w:r>
          </w:p>
        </w:tc>
      </w:tr>
      <w:tr>
        <w:trPr>
          <w:trHeight w:val="228"/>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Report (File No. 001-32492) on Form 10-Q filed on June 16,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5"/>
              </w:rPr>
              <w:t>10.2</w:t>
            </w: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Amendment No. 1 to the Operating Agreement of Lazard Group LLC, dated as of December 19, 2005 (incorporated by reference to Exhibit</w:t>
            </w:r>
          </w:p>
        </w:tc>
      </w:tr>
      <w:tr>
        <w:trPr>
          <w:trHeight w:val="228"/>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3.01 to Lazard Group LLC’s Current Report on Form 8-K (File No. 333-126751) filed on December 19,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5"/>
              </w:rPr>
              <w:t>10.3</w:t>
            </w: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 No. 2, dated as of May 9, 2008, to the Operating Agreement of Lazard Group LLC, dated as of May 10, 2005 (incorporated by</w:t>
            </w:r>
          </w:p>
        </w:tc>
      </w:tr>
      <w:tr>
        <w:trPr>
          <w:trHeight w:val="228"/>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reference to Exhibit 10.3 to the Registrant’s Current Report on Form 8-K (File No. 001-32492) filed on May 8, 2008).</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5"/>
              </w:rPr>
              <w:t>10.4</w:t>
            </w: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Amendment No. 3, dated as of April 27, 2010, to the Operating Agreement of Lazard Group LLC, dated as of May 10, 2005 (incorporated by</w:t>
            </w:r>
          </w:p>
        </w:tc>
      </w:tr>
      <w:tr>
        <w:trPr>
          <w:trHeight w:val="228"/>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reference to Exhibit 10.6 to the Registrant’s Quarterly Report (File No. 001-32492) on Form 10-Q filed on April 30, 2010).</w:t>
            </w:r>
          </w:p>
        </w:tc>
      </w:tr>
      <w:tr>
        <w:trPr>
          <w:trHeight w:val="365"/>
        </w:trPr>
        <w:tc>
          <w:tcPr>
            <w:tcW w:w="780" w:type="dxa"/>
            <w:vAlign w:val="bottom"/>
          </w:tcPr>
          <w:p>
            <w:pPr>
              <w:spacing w:after="0"/>
              <w:rPr>
                <w:sz w:val="24"/>
                <w:szCs w:val="24"/>
                <w:color w:val="auto"/>
              </w:rPr>
            </w:pPr>
          </w:p>
        </w:tc>
        <w:tc>
          <w:tcPr>
            <w:tcW w:w="1056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75</w:t>
            </w:r>
          </w:p>
        </w:tc>
      </w:tr>
    </w:tbl>
    <w:p>
      <w:pPr>
        <w:sectPr>
          <w:pgSz w:w="11900" w:h="16838" w:orient="portrait"/>
          <w:cols w:equalWidth="0" w:num="1">
            <w:col w:w="11340"/>
          </w:cols>
          <w:pgMar w:left="240" w:top="455" w:right="31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 Receivable Agreement, dated as of May 10, 2005, by and among Ltd Sub A, Ltd Sub B and LFCM Holdings LLC (incorporated by</w:t>
            </w:r>
          </w:p>
        </w:tc>
      </w:tr>
      <w:tr>
        <w:trPr>
          <w:trHeight w:val="228"/>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reference to Exhibit 10.3 to the Registrant’s Quarterly Report (File No. 001-32492) on Form 10-Q filed on June 16,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Amended and Restated Operating Agreement of Lazard Strategic Coordination Company LLC, dated as of January 1, 2002 (incorporated by</w:t>
            </w:r>
          </w:p>
        </w:tc>
      </w:tr>
      <w:tr>
        <w:trPr>
          <w:trHeight w:val="228"/>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reference to Exhibit 10.16 to the Registrant’s Registration Statement (File No. 333-121407) on Form S-1/A filed on February 11,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Lease, dated as of January 27, 1994, by and between Rockefeller Center Properties and Lazard Frères &amp; Co. LLC (incorporated by reference to</w:t>
            </w:r>
          </w:p>
        </w:tc>
      </w:tr>
      <w:tr>
        <w:trPr>
          <w:trHeight w:val="228"/>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Exhibit 10.19 to the Registrant’s Registration Statement (File No. 333-121407) on Form S-1/A filed on February 11,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dated as of January 27, 1994, by and among Rockefeller Center Properties and Lazard Frères &amp; Co. LLC (incorporated by reference to Exhibit</w:t>
            </w:r>
          </w:p>
        </w:tc>
      </w:tr>
      <w:tr>
        <w:trPr>
          <w:trHeight w:val="228"/>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10.16 to the Registrant’s Quarterly Report (File No. 001-32492) on Form 10-Q filed on April 29, 2011).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Burford (Stratton) Limited, Lazard &amp; Co., Limited and Lazard LLC (incorporated by reference to Exhibit 10.21 to the Registrant’s Registration</w:t>
            </w:r>
          </w:p>
        </w:tc>
      </w:tr>
      <w:tr>
        <w:trPr>
          <w:trHeight w:val="228"/>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Statement (File No. 333-121407) on Form S-1/A filed on February 11,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Lazard Ltd 2005 Equity Incentive Plan (incorporated by reference to Exhibit 10.21 to the Registrant’s Registration Statement (File No. 333-</w:t>
            </w:r>
          </w:p>
        </w:tc>
      </w:tr>
      <w:tr>
        <w:trPr>
          <w:trHeight w:val="228"/>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121407) on Form S-1/A filed on May 2,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Lazard Ltd 2008 Incentive Compensation Plan (incorporated by reference to Annex B to the Registrant’s Definitive Proxy Statement on</w:t>
            </w:r>
          </w:p>
        </w:tc>
      </w:tr>
      <w:tr>
        <w:trPr>
          <w:trHeight w:val="228"/>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Schedule 14A (File No. 001-32492) filed on March 24,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2005 Bonus Plan (incorporated by reference to Exhibit 10.23 to the Registrant’s Registration Statement (File No. 333-121407) on Form S-1/A</w:t>
            </w:r>
          </w:p>
        </w:tc>
      </w:tr>
      <w:tr>
        <w:trPr>
          <w:trHeight w:val="228"/>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filed on March 21,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Schedule I for, Scott D. Hoffman (incorporated by reference to Exhibit 10.26 to the Registrant’s Quarterly Report (File No. 001-32492) on</w:t>
            </w:r>
          </w:p>
        </w:tc>
      </w:tr>
      <w:tr>
        <w:trPr>
          <w:trHeight w:val="228"/>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10-Q filed on June 16,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May 4, 2005, for Scott D. Hoffman (incorporated by reference to Exhibit 10.2 to the Registrant’s Current Report on Form 8-K (File No. 001-</w:t>
            </w:r>
          </w:p>
        </w:tc>
      </w:tr>
      <w:tr>
        <w:trPr>
          <w:trHeight w:val="228"/>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32492) filed on May 9,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Amendment, dated as of February 23, 2011, to the Agreement Relating to Retention and Noncompetition and Other Covenants, dated as of May</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4, 2005 and amended as of May 7, 2008, for Scott D. Hoffman (incorporated by reference to Exhibit 10.25 to the Registrant’s Quarterly Report</w:t>
            </w:r>
          </w:p>
        </w:tc>
      </w:tr>
      <w:tr>
        <w:trPr>
          <w:trHeight w:val="228"/>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(File No. 001-32492) on Form 10-Q filed on April 29, 2011).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Agreement Relating to Retention and Noncompetition and Other Covenants (incorporated by reference to Exhibit 10.27 to the</w:t>
            </w:r>
          </w:p>
        </w:tc>
      </w:tr>
      <w:tr>
        <w:trPr>
          <w:trHeight w:val="228"/>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Registrant’s Registration Statement (File No. 333-121407) on Form S-1/A filed on April 11,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and Alexander F. Stern (incorporated by reference to Exhibit 10.28 to the Registrant’s Annual Report (File No. 001-32492) on Form 10-K filed</w:t>
            </w:r>
          </w:p>
        </w:tc>
      </w:tr>
      <w:tr>
        <w:trPr>
          <w:trHeight w:val="228"/>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on March 2, 2009).</w:t>
            </w:r>
          </w:p>
        </w:tc>
      </w:tr>
      <w:tr>
        <w:trPr>
          <w:trHeight w:val="365"/>
        </w:trPr>
        <w:tc>
          <w:tcPr>
            <w:tcW w:w="880" w:type="dxa"/>
            <w:vAlign w:val="bottom"/>
          </w:tcPr>
          <w:p>
            <w:pPr>
              <w:spacing w:after="0"/>
              <w:rPr>
                <w:sz w:val="24"/>
                <w:szCs w:val="24"/>
                <w:color w:val="auto"/>
              </w:rPr>
            </w:pPr>
          </w:p>
        </w:tc>
        <w:tc>
          <w:tcPr>
            <w:tcW w:w="1052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76</w:t>
            </w:r>
          </w:p>
        </w:tc>
      </w:tr>
    </w:tbl>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October 4, 2004, with Alexander F. Stern (incorporated by reference to Exhibit 10.2 to the Registrant’s Current Report on Form 8-K</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(File No. 001-32492) filed on March 23, 2010).</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and Kenneth M. Jacobs (incorporated by reference to Exhibit 10.29 to the Registrant’s Annual Report on Form 10-K (File No. 001-32492) filed</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 March 1, 2010).</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18, 2005, with Kenneth M. Jacobs (incorporated by reference to Exhibit 10.1 to the Registrant’s Current Report on Form 8-K</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(File No. 001-32492) field on March 23, 2010).</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Matthieu Bucaille (incorporated by reference to Exhibit 10.31 to the Registrant’s Quarterly Report (File No. 001-32492) on Form 10-Q</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filed on April 29, 2011).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October 4, 2004, between Lazard Group LLC and Matthieu Bucaille (incorporated by reference to Exhibit 10.32 to the Registrant’s Quarterly</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Report (File No. 001-32492) on Form 10-Q filed on April 29, 2011).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Description of Non-Executive Director Compensation (incorporated by reference to Exhibit 10.33 to the Registrant’s Quarterly Report (File No.</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001-32492) on Form 10-Q for the quarter ended June 30,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Form of Award Letter for Annual Grant of Deferred Stock Units to Non-Executive Directors (incorporated by reference to Exhibit 99.1 to the</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Registrant’s Current Report on Form 8-K (File No. 001-32492) filed on September 8,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Form of Agreement evidencing a grant of Restricted Stock Units to Executive Officers under the Lazard Equity Incentive Plan (incorporated by</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10.1 to the Registrant’s Current Report on Form 8-K (File No. 001-32492) filed on January 26,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Agreement evidencing a grant of Restricted Stock Units to Executive Officers under the 2008 Incentive Compensation Plan</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10.41 to the Registrant’s Annual Report (File No. 001-32492) on Form 10-K filed on March 2,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Agreement evidencing a grant of Deferred Cash Award to Executive Officers under the 2008 Incentive Compensation Plan</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10.42 to the Registrant’s Annual Report (File No. 001-32492) on Form 10-K filed on March 2,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Directors’ Fee Deferral Unit Plan (incorporated by reference to Exhibit 10.39 to the Registrant’s Quarterly Report (File No. 001-32492) on</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10-Q filed on May 11,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First Amended Form of Agreement evidencing a grant of Restricted Stock Units to Executive Officers under the Lazard 2005 Equity Incentive</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Plan (incorporated by reference to Exhibit 10.43 to the Registrant’s Annual Report (File No. 001-32492) on Form 10-K filed on March 1,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Senior Revolving Credit Agreement, dated as of September 25, 2012, among Lazard Group LLC, the Banks from time to time parties thereto,</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Citibank, N.A., as Administrative Agent (incorporated by reference to Exhibit 10.47 to the Registrant’s Quarterly Report (File No.</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001-32492) on Form 10-Q filed on November 1, 2012).</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77</w:t>
            </w:r>
          </w:p>
        </w:tc>
      </w:tr>
    </w:tbl>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6"/>
              </w:rPr>
              <w:t>10.31*</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Form of Agreement evidencing a grant of Restricted Stock under the 2008 Incentive Compensation Plan (incorporated by reference to Exhibit</w:t>
            </w:r>
          </w:p>
        </w:tc>
      </w:tr>
      <w:tr>
        <w:trPr>
          <w:trHeight w:val="228"/>
        </w:trPr>
        <w:tc>
          <w:tcPr>
            <w:tcW w:w="88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10.55 to the Registrant’s Quarterly Report (File No. 001-32492) on Form 10-Q filed on April 30, 2010).</w:t>
            </w:r>
          </w:p>
        </w:tc>
      </w:tr>
      <w:tr>
        <w:trPr>
          <w:trHeight w:val="312"/>
        </w:trPr>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6"/>
              </w:rPr>
              <w:t>10.32*</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Agreement evidencing a grant of Lazard Fund Interests under the 2008 Incentive Compensation Plan (incorporated by reference to</w:t>
            </w:r>
          </w:p>
        </w:tc>
      </w:tr>
      <w:tr>
        <w:trPr>
          <w:trHeight w:val="228"/>
        </w:trPr>
        <w:tc>
          <w:tcPr>
            <w:tcW w:w="88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Exhibit 10.55 to the Registrant’s Quarterly Report (File No. 001-32492) on Form 10-Q filed on April 29, 2011).</w:t>
            </w:r>
          </w:p>
        </w:tc>
      </w:tr>
      <w:tr>
        <w:trPr>
          <w:trHeight w:val="312"/>
        </w:trPr>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6"/>
              </w:rPr>
              <w:t>10.33*</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Form of Agreement evidencing a grant of Restricted Stock Units and Restricted Stock to Executive Officers who are or may become eligible for</w:t>
            </w:r>
          </w:p>
        </w:tc>
      </w:tr>
      <w:tr>
        <w:trPr>
          <w:trHeight w:val="216"/>
        </w:trPr>
        <w:tc>
          <w:tcPr>
            <w:tcW w:w="88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retirement under the 2008 Incentive Compensation Plan (incorporated by reference to Exhibit 10.53 to the Registrant’s Quarterly Report (File</w:t>
            </w:r>
          </w:p>
        </w:tc>
      </w:tr>
      <w:tr>
        <w:trPr>
          <w:trHeight w:val="228"/>
        </w:trPr>
        <w:tc>
          <w:tcPr>
            <w:tcW w:w="88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001-32492) on Form 10-Q filed on May 2, 2012).</w:t>
            </w:r>
          </w:p>
        </w:tc>
      </w:tr>
      <w:tr>
        <w:trPr>
          <w:trHeight w:val="312"/>
        </w:trPr>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6"/>
              </w:rPr>
              <w:t>10.34*</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First Amendment, dated as of August 2,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March 15, 2005, between Lazard Group LLC and Ashish Bhutani (incorporated by reference to Exhibit 10.56 to the Registrant’s Quarterly</w:t>
            </w:r>
          </w:p>
        </w:tc>
      </w:tr>
      <w:tr>
        <w:trPr>
          <w:trHeight w:val="228"/>
        </w:trPr>
        <w:tc>
          <w:tcPr>
            <w:tcW w:w="88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Report (File No. 001-32492) on Form 10-Q filed on August 4, 2011).</w:t>
            </w:r>
          </w:p>
        </w:tc>
      </w:tr>
      <w:tr>
        <w:trPr>
          <w:trHeight w:val="312"/>
        </w:trPr>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6"/>
              </w:rPr>
              <w:t>10.35*</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Second Amendment, dated as of October 24, 2012,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March 18, 2005 and amended on March 23, 2010, among the Registrant, Lazard Group LLC and Kenneth M. Jacobs (incorporated by</w:t>
            </w:r>
          </w:p>
        </w:tc>
      </w:tr>
      <w:tr>
        <w:trPr>
          <w:trHeight w:val="216"/>
        </w:trPr>
        <w:tc>
          <w:tcPr>
            <w:tcW w:w="88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reference to Exhibit 10.52 to the Registrant’s Quarterly Report (File No. 001-32492) on Form 10-Q</w:t>
            </w:r>
          </w:p>
        </w:tc>
      </w:tr>
      <w:tr>
        <w:trPr>
          <w:trHeight w:val="228"/>
        </w:trPr>
        <w:tc>
          <w:tcPr>
            <w:tcW w:w="88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filed on November 1, 2012).</w:t>
            </w:r>
          </w:p>
        </w:tc>
      </w:tr>
      <w:tr>
        <w:trPr>
          <w:trHeight w:val="325"/>
        </w:trPr>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6"/>
              </w:rPr>
              <w:t>10.36*</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March 15, 2005 and amended on August 2, 2011, among the Registrant, Lazard Group LLC and Ashish Bhutani (incorporated by reference to</w:t>
            </w:r>
          </w:p>
        </w:tc>
      </w:tr>
      <w:tr>
        <w:trPr>
          <w:trHeight w:val="228"/>
        </w:trPr>
        <w:tc>
          <w:tcPr>
            <w:tcW w:w="88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Exhibit 10.50 to the Registrant’s Quarterly Report (File No. 001-32492) on Form 10-Q filed on April 30, 2013).</w:t>
            </w:r>
          </w:p>
        </w:tc>
      </w:tr>
      <w:tr>
        <w:trPr>
          <w:trHeight w:val="312"/>
        </w:trPr>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6"/>
              </w:rPr>
              <w:t>10.37*</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October 4, 2004 and amended on April 1, 2011, among the Registrant, Lazard Group LLC and Matthieu Bucaille (incorporated by reference to</w:t>
            </w:r>
          </w:p>
        </w:tc>
      </w:tr>
      <w:tr>
        <w:trPr>
          <w:trHeight w:val="228"/>
        </w:trPr>
        <w:tc>
          <w:tcPr>
            <w:tcW w:w="88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Exhibit 10.51 to the Registrant’s Quarterly Report (File No. 001-32492) on Form 10-Q filed on April 30, 2013).</w:t>
            </w:r>
          </w:p>
        </w:tc>
      </w:tr>
      <w:tr>
        <w:trPr>
          <w:trHeight w:val="312"/>
        </w:trPr>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6"/>
              </w:rPr>
              <w:t>10.38*</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May 4, 2005 and amended on May 7, 2008 and February 23, 2011, among the Registrant, Lazard Group LLC and Scott D. Hoffman</w:t>
            </w:r>
          </w:p>
        </w:tc>
      </w:tr>
      <w:tr>
        <w:trPr>
          <w:trHeight w:val="228"/>
        </w:trPr>
        <w:tc>
          <w:tcPr>
            <w:tcW w:w="88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(incorporated by reference to Exhibit 10.52 to the Registrant’s Quarterly Report (File No. 001-32492) on Form 10-Q filed on April 30, 2013).</w:t>
            </w:r>
          </w:p>
        </w:tc>
      </w:tr>
      <w:tr>
        <w:trPr>
          <w:trHeight w:val="312"/>
        </w:trPr>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6"/>
              </w:rPr>
              <w:t>10.39*</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October 4, 2004 and amended on March 23, 2010, among the Registrant, Lazard Group LLC and Alexander F. Stern (incorporated by reference</w:t>
            </w:r>
          </w:p>
        </w:tc>
      </w:tr>
      <w:tr>
        <w:trPr>
          <w:trHeight w:val="228"/>
        </w:trPr>
        <w:tc>
          <w:tcPr>
            <w:tcW w:w="88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 Exhibit 10.53 to the Registrant’s Quarterly Report (File No. 001-32492) on Form 10-Q filed on April 30, 2013).</w:t>
            </w:r>
          </w:p>
        </w:tc>
      </w:tr>
      <w:tr>
        <w:trPr>
          <w:trHeight w:val="312"/>
        </w:trPr>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6"/>
              </w:rPr>
              <w:t>10.40*</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Agreement evidencing a grant of Performance-Based Stock Units under the 2008 Incentive Compensation Plan (incorporated by</w:t>
            </w:r>
          </w:p>
        </w:tc>
      </w:tr>
      <w:tr>
        <w:trPr>
          <w:trHeight w:val="228"/>
        </w:trPr>
        <w:tc>
          <w:tcPr>
            <w:tcW w:w="88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reference to Exhibit 10.54 to the Registrant’s Quarterly Report (File No. 001-32492) on Form 10-Q filed on April 30, 2013).</w:t>
            </w:r>
          </w:p>
        </w:tc>
      </w:tr>
      <w:tr>
        <w:trPr>
          <w:trHeight w:val="312"/>
        </w:trPr>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6"/>
              </w:rPr>
              <w:t>10.41*</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Agreement evidencing a grant of Lazard Fund Interests to Named Executive Officers under the 2008 Incentive Compensation Plan</w:t>
            </w:r>
          </w:p>
        </w:tc>
      </w:tr>
      <w:tr>
        <w:trPr>
          <w:trHeight w:val="228"/>
        </w:trPr>
        <w:tc>
          <w:tcPr>
            <w:tcW w:w="88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(incorporated by reference to Exhibit 10.55 to the Registrant’s Quarterly Report (File No. 001-32492) on Form 10-Q filed on April 30, 2013).</w:t>
            </w:r>
          </w:p>
        </w:tc>
      </w:tr>
      <w:tr>
        <w:trPr>
          <w:trHeight w:val="312"/>
        </w:trPr>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6"/>
              </w:rPr>
              <w:t>10.42*</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Agreement evidencing a grant of Restricted Stock Units to Named Executive Officers under the 2008 Incentive Compensation Plan</w:t>
            </w:r>
          </w:p>
        </w:tc>
      </w:tr>
      <w:tr>
        <w:trPr>
          <w:trHeight w:val="228"/>
        </w:trPr>
        <w:tc>
          <w:tcPr>
            <w:tcW w:w="88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(incorporated by reference to Exhibit 10.56 to the Registrant’s Quarterly Report (File No. 001-32492) on Form 10-Q filed on April 30, 2013).</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78</w:t>
            </w:r>
          </w:p>
        </w:tc>
      </w:tr>
    </w:tbl>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6"/>
              </w:rPr>
              <w:t>10.43*</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Agreement evidencing a February 20, 2014 grant of Performance-Based Stock Units under the 2008 Incentive Compensation Plan</w:t>
            </w:r>
          </w:p>
        </w:tc>
      </w:tr>
      <w:tr>
        <w:trPr>
          <w:trHeight w:val="228"/>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by reference to Exhibit 10.55 to the Registrant’s Quarterly Report (File No. 001-32492) on Form 10-Q filed May 6, 2014).</w:t>
            </w:r>
          </w:p>
        </w:tc>
      </w:tr>
      <w:tr>
        <w:trPr>
          <w:trHeight w:val="325"/>
        </w:trPr>
        <w:tc>
          <w:tcPr>
            <w:tcW w:w="9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6"/>
              </w:rPr>
              <w:t>10.44*</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Agreement between the Company and Kenneth M. Jacobs, dated as of February 20, 2014, evidencing a grant of Performance-Based Stock Units</w:t>
            </w:r>
          </w:p>
        </w:tc>
      </w:tr>
      <w:tr>
        <w:trPr>
          <w:trHeight w:val="216"/>
        </w:trPr>
        <w:tc>
          <w:tcPr>
            <w:tcW w:w="96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 the 2008 Incentive Compensation Plan (incorporated by reference to Exhibit 10.56 to the Registrant’s Quarterly Report (File No.</w:t>
            </w:r>
          </w:p>
        </w:tc>
      </w:tr>
      <w:tr>
        <w:trPr>
          <w:trHeight w:val="228"/>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001-32492) on Form 10-Q filed on May 6, 2014).</w:t>
            </w:r>
          </w:p>
        </w:tc>
      </w:tr>
      <w:tr>
        <w:trPr>
          <w:trHeight w:val="324"/>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12.1</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324"/>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31.1</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13a-14(a) Certification of Kenneth M. Jacobs.</w:t>
            </w:r>
          </w:p>
        </w:tc>
      </w:tr>
      <w:tr>
        <w:trPr>
          <w:trHeight w:val="324"/>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31.2</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13a-14(a) Certification of Matthieu Bucaille.</w:t>
            </w:r>
          </w:p>
        </w:tc>
      </w:tr>
      <w:tr>
        <w:trPr>
          <w:trHeight w:val="324"/>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32.1</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1350 Certification for Kenneth M. Jacobs.</w:t>
            </w:r>
          </w:p>
        </w:tc>
      </w:tr>
      <w:tr>
        <w:trPr>
          <w:trHeight w:val="324"/>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32.2</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2015</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LAZARD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Matthieu Bucaille</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Matthieu Bucaille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Dominick Ragone</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Dominick Ragone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2" w:name="page83"/>
    <w:bookmarkEnd w:id="82"/>
    <w:p>
      <w:pPr>
        <w:ind w:left="10520"/>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OF RATIO OF EARNINGS TO FIXED CHARGES (a)</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ratio of earnings to fixed charges for Lazard Ltd and its subsidiaries on a consolidated basis.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00" w:type="dxa"/>
            <w:vAlign w:val="bottom"/>
            <w:gridSpan w:val="8"/>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gridSpan w:val="2"/>
            <w:vMerge w:val="restart"/>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gridSpan w:val="8"/>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6"/>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(dollars in thousands)</w:t>
            </w: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74,663</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519,465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95"/>
              </w:rPr>
              <w:t>216,807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123,885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235,499</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243,650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Add—Fixed charges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86,066</w:t>
            </w:r>
          </w:p>
        </w:tc>
        <w:tc>
          <w:tcPr>
            <w:tcW w:w="80" w:type="dxa"/>
            <w:vAlign w:val="bottom"/>
          </w:tcPr>
          <w:p>
            <w:pPr>
              <w:spacing w:after="0"/>
              <w:rPr>
                <w:sz w:val="19"/>
                <w:szCs w:val="19"/>
                <w:color w:val="auto"/>
              </w:rPr>
            </w:pPr>
          </w:p>
        </w:tc>
        <w:tc>
          <w:tcPr>
            <w:tcW w:w="9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w w:val="95"/>
              </w:rPr>
              <w:t>103,668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106,470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110,919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117,119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Operating income (loss) before</w:t>
            </w: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fixed charges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w:t>
            </w:r>
          </w:p>
        </w:tc>
        <w:tc>
          <w:tcPr>
            <w:tcW w:w="3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605,531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90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95"/>
              </w:rPr>
              <w:t>320,475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230,355</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346,418</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360,769</w:t>
            </w: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(b)</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62,570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79,381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90,126</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(c)</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24,287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19,410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90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95"/>
              </w:rPr>
              <w:t>103,668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106,470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110,919</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117,119</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6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24"/>
                <w:szCs w:val="24"/>
                <w:color w:val="auto"/>
              </w:rPr>
            </w:pPr>
          </w:p>
        </w:tc>
        <w:tc>
          <w:tcPr>
            <w:tcW w:w="9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3.09(e)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2.16(f)</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(dollars in thousands):</w:t>
      </w:r>
    </w:p>
    <w:p>
      <w:pPr>
        <w:spacing w:after="0" w:line="21"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the ratio of earnings to fixed charges:</w:t>
      </w:r>
    </w:p>
    <w:p>
      <w:pPr>
        <w:spacing w:after="0" w:line="7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for the periods presented represent income before income taxes and fixed charges,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charges represent the interest expense and the portion of rental expense which represents an appropriate interest factor.</w:t>
      </w:r>
    </w:p>
    <w:p>
      <w:pPr>
        <w:spacing w:after="0" w:line="90"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fixed charges consist of the interest factor in rentals.</w:t>
      </w:r>
    </w:p>
    <w:p>
      <w:pPr>
        <w:spacing w:after="0" w:line="90" w:lineRule="exact"/>
        <w:rPr>
          <w:rFonts w:ascii="Times New Roman" w:cs="Times New Roman" w:eastAsia="Times New Roman" w:hAnsi="Times New Roman"/>
          <w:sz w:val="18"/>
          <w:szCs w:val="18"/>
          <w:color w:val="auto"/>
        </w:rPr>
      </w:pPr>
    </w:p>
    <w:p>
      <w:pPr>
        <w:ind w:left="460" w:right="440" w:hanging="452"/>
        <w:spacing w:after="0" w:line="310" w:lineRule="auto"/>
        <w:tabs>
          <w:tab w:leader="none" w:pos="4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for the three month period ended March 31, 2015 is presented after giving effect to a charge of (i) $60,219 associated with the redemption of $450 million of the 2017 Notes and (ii) $2,655 excess interest expense due to the delay between the issuance of the 2025 Notes and the settlement of the redemption of the 2017 Notes. Excluding the impact of such items, the ratio of earnings to fixed charges would have been 8.01.</w:t>
      </w:r>
    </w:p>
    <w:p>
      <w:pPr>
        <w:spacing w:after="0" w:line="16" w:lineRule="exact"/>
        <w:rPr>
          <w:rFonts w:ascii="Times New Roman" w:cs="Times New Roman" w:eastAsia="Times New Roman" w:hAnsi="Times New Roman"/>
          <w:sz w:val="16"/>
          <w:szCs w:val="16"/>
          <w:color w:val="auto"/>
        </w:rPr>
      </w:pPr>
    </w:p>
    <w:p>
      <w:pPr>
        <w:ind w:left="460" w:right="20" w:hanging="452"/>
        <w:spacing w:after="0" w:line="289" w:lineRule="auto"/>
        <w:tabs>
          <w:tab w:leader="none" w:pos="4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w:t>
      </w:r>
    </w:p>
    <w:p>
      <w:pPr>
        <w:spacing w:after="0" w:line="1" w:lineRule="exact"/>
        <w:rPr>
          <w:rFonts w:ascii="Times New Roman" w:cs="Times New Roman" w:eastAsia="Times New Roman" w:hAnsi="Times New Roman"/>
          <w:sz w:val="16"/>
          <w:szCs w:val="16"/>
          <w:color w:val="auto"/>
        </w:rPr>
      </w:pPr>
    </w:p>
    <w:p>
      <w:pPr>
        <w:ind w:left="460" w:right="6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(iii) $12,203 relating to private equity incentive compensation. Excluding the impact of such charge, the ratio of earnings to fixed charges would have been 4.35.</w:t>
      </w:r>
    </w:p>
    <w:p>
      <w:pPr>
        <w:spacing w:after="0" w:line="50" w:lineRule="exact"/>
        <w:rPr>
          <w:rFonts w:ascii="Times New Roman" w:cs="Times New Roman" w:eastAsia="Times New Roman" w:hAnsi="Times New Roman"/>
          <w:sz w:val="16"/>
          <w:szCs w:val="16"/>
          <w:color w:val="auto"/>
        </w:rPr>
      </w:pPr>
    </w:p>
    <w:p>
      <w:pPr>
        <w:ind w:left="460" w:right="160" w:hanging="452"/>
        <w:spacing w:after="0" w:line="301" w:lineRule="auto"/>
        <w:tabs>
          <w:tab w:leader="none" w:pos="4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3.36.</w:t>
      </w:r>
    </w:p>
    <w:p>
      <w:pPr>
        <w:spacing w:after="0" w:line="22" w:lineRule="exact"/>
        <w:rPr>
          <w:rFonts w:ascii="Times New Roman" w:cs="Times New Roman" w:eastAsia="Times New Roman" w:hAnsi="Times New Roman"/>
          <w:sz w:val="16"/>
          <w:szCs w:val="16"/>
          <w:color w:val="auto"/>
        </w:rPr>
      </w:pPr>
    </w:p>
    <w:p>
      <w:pPr>
        <w:jc w:val="both"/>
        <w:ind w:left="460" w:right="220" w:hanging="452"/>
        <w:spacing w:after="0" w:line="310" w:lineRule="auto"/>
        <w:tabs>
          <w:tab w:leader="none" w:pos="4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Excluding the impact of such items, the ratio of earnings to fixed charges would have been 3.96.</w:t>
      </w:r>
    </w:p>
    <w:p>
      <w:pPr>
        <w:sectPr>
          <w:pgSz w:w="11900" w:h="16838" w:orient="portrait"/>
          <w:cols w:equalWidth="0" w:num="1">
            <w:col w:w="11420"/>
          </w:cols>
          <w:pgMar w:left="240" w:top="123"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2015 of Lazard Ltd (the “Registrant”);</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3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1" w:lineRule="exact"/>
        <w:rPr>
          <w:rFonts w:ascii="Times New Roman" w:cs="Times New Roman" w:eastAsia="Times New Roman" w:hAnsi="Times New Roman"/>
          <w:sz w:val="18"/>
          <w:szCs w:val="18"/>
          <w:color w:val="auto"/>
        </w:rPr>
      </w:pPr>
    </w:p>
    <w:p>
      <w:pPr>
        <w:ind w:left="4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460" w:right="760" w:firstLine="443"/>
        <w:spacing w:after="0" w:line="275" w:lineRule="auto"/>
        <w:tabs>
          <w:tab w:leader="none" w:pos="113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jc w:val="both"/>
        <w:ind w:left="460" w:right="160" w:firstLine="443"/>
        <w:spacing w:after="0" w:line="262" w:lineRule="auto"/>
        <w:tabs>
          <w:tab w:leader="none" w:pos="114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400" w:firstLine="464"/>
        <w:spacing w:after="0" w:line="275" w:lineRule="auto"/>
        <w:tabs>
          <w:tab w:leader="none" w:pos="6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3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460" w:right="120" w:firstLine="443"/>
        <w:spacing w:after="0" w:line="275" w:lineRule="auto"/>
        <w:tabs>
          <w:tab w:leader="none" w:pos="114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2015</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123"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2015 of Lazard Ltd (the “Registrant”);</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3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1" w:lineRule="exact"/>
        <w:rPr>
          <w:rFonts w:ascii="Times New Roman" w:cs="Times New Roman" w:eastAsia="Times New Roman" w:hAnsi="Times New Roman"/>
          <w:sz w:val="18"/>
          <w:szCs w:val="18"/>
          <w:color w:val="auto"/>
        </w:rPr>
      </w:pPr>
    </w:p>
    <w:p>
      <w:pPr>
        <w:ind w:left="4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460" w:right="760" w:firstLine="443"/>
        <w:spacing w:after="0" w:line="275" w:lineRule="auto"/>
        <w:tabs>
          <w:tab w:leader="none" w:pos="113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jc w:val="both"/>
        <w:ind w:left="460" w:right="160" w:firstLine="443"/>
        <w:spacing w:after="0" w:line="262" w:lineRule="auto"/>
        <w:tabs>
          <w:tab w:leader="none" w:pos="114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400" w:firstLine="464"/>
        <w:spacing w:after="0" w:line="275" w:lineRule="auto"/>
        <w:tabs>
          <w:tab w:leader="none" w:pos="63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3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460" w:right="120" w:firstLine="443"/>
        <w:spacing w:after="0" w:line="275" w:lineRule="auto"/>
        <w:tabs>
          <w:tab w:leader="none" w:pos="114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2015</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Matthieu Bucaille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3"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9" w:lineRule="exact"/>
        <w:rPr>
          <w:sz w:val="20"/>
          <w:szCs w:val="20"/>
          <w:color w:val="auto"/>
        </w:rPr>
      </w:pPr>
    </w:p>
    <w:p>
      <w:pPr>
        <w:jc w:val="both"/>
        <w:ind w:right="20" w:firstLine="456"/>
        <w:spacing w:after="0" w:line="310" w:lineRule="auto"/>
        <w:rPr>
          <w:sz w:val="20"/>
          <w:szCs w:val="20"/>
          <w:color w:val="auto"/>
        </w:rPr>
      </w:pPr>
      <w:r>
        <w:rPr>
          <w:rFonts w:ascii="Times New Roman" w:cs="Times New Roman" w:eastAsia="Times New Roman" w:hAnsi="Times New Roman"/>
          <w:sz w:val="16"/>
          <w:szCs w:val="16"/>
          <w:color w:val="auto"/>
        </w:rPr>
        <w:t>Pursuant to 18 U.S.C. § 1350, the undersigned officer of Lazard Ltd (the “Registrant”) hereby certifies that the Registrant’s Quarterly Report on Form 10-Q for the quarter ended March 31,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7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3"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9" w:lineRule="exact"/>
        <w:rPr>
          <w:sz w:val="20"/>
          <w:szCs w:val="20"/>
          <w:color w:val="auto"/>
        </w:rPr>
      </w:pPr>
    </w:p>
    <w:p>
      <w:pPr>
        <w:jc w:val="both"/>
        <w:ind w:right="20" w:firstLine="456"/>
        <w:spacing w:after="0" w:line="310" w:lineRule="auto"/>
        <w:rPr>
          <w:sz w:val="20"/>
          <w:szCs w:val="20"/>
          <w:color w:val="auto"/>
        </w:rPr>
      </w:pPr>
      <w:r>
        <w:rPr>
          <w:rFonts w:ascii="Times New Roman" w:cs="Times New Roman" w:eastAsia="Times New Roman" w:hAnsi="Times New Roman"/>
          <w:sz w:val="16"/>
          <w:szCs w:val="16"/>
          <w:color w:val="auto"/>
        </w:rPr>
        <w:t>Pursuant to 18 U.S.C. § 1350, the undersigned officer of Lazard Ltd (the “Registrant”) hereby certifies that the Registrant’s Quarterly Report on Form 10-Q for the quarter ended March 31,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Matthieu Bucaille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2"/>
    </w:lvl>
  </w:abstractNum>
  <w:abstractNum w:abstractNumId="6">
    <w:nsid w:val="22221A70"/>
    <w:multiLevelType w:val="hybridMultilevel"/>
    <w:lvl w:ilvl="0">
      <w:lvlJc w:val="left"/>
      <w:lvlText w:val="%1."/>
      <w:numFmt w:val="decimal"/>
      <w:start w:val="3"/>
    </w:lvl>
  </w:abstractNum>
  <w:abstractNum w:abstractNumId="7">
    <w:nsid w:val="4516DDE9"/>
    <w:multiLevelType w:val="hybridMultilevel"/>
    <w:lvl w:ilvl="0">
      <w:lvlJc w:val="left"/>
      <w:lvlText w:val="%1."/>
      <w:numFmt w:val="decimal"/>
      <w:start w:val="4"/>
    </w:lvl>
  </w:abstractNum>
  <w:abstractNum w:abstractNumId="8">
    <w:nsid w:val="3006C83E"/>
    <w:multiLevelType w:val="hybridMultilevel"/>
    <w:lvl w:ilvl="0">
      <w:lvlJc w:val="left"/>
      <w:lvlText w:val="(%1)"/>
      <w:numFmt w:val="lowerLetter"/>
      <w:start w:val="1"/>
    </w:lvl>
  </w:abstractNum>
  <w:abstractNum w:abstractNumId="9">
    <w:nsid w:val="614FD4A1"/>
    <w:multiLevelType w:val="hybridMultilevel"/>
    <w:lvl w:ilvl="0">
      <w:lvlJc w:val="left"/>
      <w:lvlText w:val="%1."/>
      <w:numFmt w:val="decimal"/>
      <w:start w:val="5"/>
    </w:lvl>
  </w:abstractNum>
  <w:abstractNum w:abstractNumId="10">
    <w:nsid w:val="419AC241"/>
    <w:multiLevelType w:val="hybridMultilevel"/>
    <w:lvl w:ilvl="0">
      <w:lvlJc w:val="left"/>
      <w:lvlText w:val="(%1)"/>
      <w:numFmt w:val="lowerLetter"/>
      <w:start w:val="1"/>
    </w:lvl>
  </w:abstractNum>
  <w:abstractNum w:abstractNumId="11">
    <w:nsid w:val="5577F8E1"/>
    <w:multiLevelType w:val="hybridMultilevel"/>
    <w:lvl w:ilvl="0">
      <w:lvlJc w:val="left"/>
      <w:lvlText w:val="(%1)"/>
      <w:numFmt w:val="lowerLetter"/>
      <w:start w:val="1"/>
    </w:lvl>
  </w:abstractNum>
  <w:abstractNum w:abstractNumId="12">
    <w:nsid w:val="440BADFC"/>
    <w:multiLevelType w:val="hybridMultilevel"/>
    <w:lvl w:ilvl="0">
      <w:lvlJc w:val="left"/>
      <w:lvlText w:val="(%1)"/>
      <w:numFmt w:val="lowerLetter"/>
      <w:start w:val="1"/>
    </w:lvl>
  </w:abstractNum>
  <w:abstractNum w:abstractNumId="13">
    <w:nsid w:val="5072367"/>
    <w:multiLevelType w:val="hybridMultilevel"/>
    <w:lvl w:ilvl="0">
      <w:lvlJc w:val="left"/>
      <w:lvlText w:val="%1."/>
      <w:numFmt w:val="decimal"/>
      <w:start w:val="6"/>
    </w:lvl>
  </w:abstractNum>
  <w:abstractNum w:abstractNumId="14">
    <w:nsid w:val="3804823E"/>
    <w:multiLevelType w:val="hybridMultilevel"/>
    <w:lvl w:ilvl="0">
      <w:lvlJc w:val="left"/>
      <w:lvlText w:val="(%1)"/>
      <w:numFmt w:val="lowerLetter"/>
      <w:start w:val="1"/>
    </w:lvl>
  </w:abstractNum>
  <w:abstractNum w:abstractNumId="15">
    <w:nsid w:val="77465F01"/>
    <w:multiLevelType w:val="hybridMultilevel"/>
    <w:lvl w:ilvl="0">
      <w:lvlJc w:val="left"/>
      <w:lvlText w:val="%1."/>
      <w:numFmt w:val="decimal"/>
      <w:start w:val="7"/>
    </w:lvl>
  </w:abstractNum>
  <w:abstractNum w:abstractNumId="16">
    <w:nsid w:val="7724C67E"/>
    <w:multiLevelType w:val="hybridMultilevel"/>
    <w:lvl w:ilvl="0">
      <w:lvlJc w:val="left"/>
      <w:lvlText w:val="%1."/>
      <w:numFmt w:val="decimal"/>
      <w:start w:val="8"/>
    </w:lvl>
  </w:abstractNum>
  <w:abstractNum w:abstractNumId="17">
    <w:nsid w:val="5C482A97"/>
    <w:multiLevelType w:val="hybridMultilevel"/>
    <w:lvl w:ilvl="0">
      <w:lvlJc w:val="left"/>
      <w:lvlText w:val="%1"/>
      <w:numFmt w:val="decimal"/>
      <w:start w:val="1"/>
    </w:lvl>
    <w:lvl w:ilvl="1">
      <w:lvlJc w:val="left"/>
      <w:lvlText w:val="(%2)"/>
      <w:numFmt w:val="lowerLetter"/>
      <w:start w:val="1"/>
    </w:lvl>
  </w:abstractNum>
  <w:abstractNum w:abstractNumId="18">
    <w:nsid w:val="2463B9EA"/>
    <w:multiLevelType w:val="hybridMultilevel"/>
    <w:lvl w:ilvl="0">
      <w:lvlJc w:val="left"/>
      <w:lvlText w:val="%1."/>
      <w:numFmt w:val="decimal"/>
      <w:start w:val="9"/>
    </w:lvl>
    <w:lvl w:ilvl="1">
      <w:lvlJc w:val="left"/>
      <w:lvlText w:val="%2"/>
      <w:numFmt w:val="lowerLetter"/>
      <w:start w:val="1"/>
    </w:lvl>
  </w:abstractNum>
  <w:abstractNum w:abstractNumId="19">
    <w:nsid w:val="5E884ADC"/>
    <w:multiLevelType w:val="hybridMultilevel"/>
    <w:lvl w:ilvl="0">
      <w:lvlJc w:val="left"/>
      <w:lvlText w:val="(%1)"/>
      <w:numFmt w:val="lowerLetter"/>
      <w:start w:val="1"/>
    </w:lvl>
  </w:abstractNum>
  <w:abstractNum w:abstractNumId="20">
    <w:nsid w:val="51EAD36B"/>
    <w:multiLevelType w:val="hybridMultilevel"/>
    <w:lvl w:ilvl="0">
      <w:lvlJc w:val="left"/>
      <w:lvlText w:val="%1."/>
      <w:numFmt w:val="decimal"/>
      <w:start w:val="10"/>
    </w:lvl>
  </w:abstractNum>
  <w:abstractNum w:abstractNumId="21">
    <w:nsid w:val="2D517796"/>
    <w:multiLevelType w:val="hybridMultilevel"/>
    <w:lvl w:ilvl="0">
      <w:lvlJc w:val="left"/>
      <w:lvlText w:val="%1."/>
      <w:numFmt w:val="decimal"/>
      <w:start w:val="11"/>
    </w:lvl>
  </w:abstractNum>
  <w:abstractNum w:abstractNumId="22">
    <w:nsid w:val="580BD78F"/>
    <w:multiLevelType w:val="hybridMultilevel"/>
    <w:lvl w:ilvl="0">
      <w:lvlJc w:val="left"/>
      <w:lvlText w:val="(%1)"/>
      <w:numFmt w:val="lowerLetter"/>
      <w:start w:val="1"/>
    </w:lvl>
  </w:abstractNum>
  <w:abstractNum w:abstractNumId="23">
    <w:nsid w:val="153EA438"/>
    <w:multiLevelType w:val="hybridMultilevel"/>
    <w:lvl w:ilvl="0">
      <w:lvlJc w:val="left"/>
      <w:lvlText w:val="%1."/>
      <w:numFmt w:val="decimal"/>
      <w:start w:val="12"/>
    </w:lvl>
  </w:abstractNum>
  <w:abstractNum w:abstractNumId="24">
    <w:nsid w:val="3855585C"/>
    <w:multiLevelType w:val="hybridMultilevel"/>
    <w:lvl w:ilvl="0">
      <w:lvlJc w:val="left"/>
      <w:lvlText w:val="%1."/>
      <w:numFmt w:val="decimal"/>
      <w:start w:val="13"/>
    </w:lvl>
  </w:abstractNum>
  <w:abstractNum w:abstractNumId="25">
    <w:nsid w:val="70A64E2A"/>
    <w:multiLevelType w:val="hybridMultilevel"/>
    <w:lvl w:ilvl="0">
      <w:lvlJc w:val="left"/>
      <w:lvlText w:val="%1."/>
      <w:numFmt w:val="decimal"/>
      <w:start w:val="14"/>
    </w:lvl>
  </w:abstractNum>
  <w:abstractNum w:abstractNumId="26">
    <w:nsid w:val="6A2342EC"/>
    <w:multiLevelType w:val="hybridMultilevel"/>
    <w:lvl w:ilvl="0">
      <w:lvlJc w:val="left"/>
      <w:lvlText w:val="%1."/>
      <w:numFmt w:val="decimal"/>
      <w:start w:val="15"/>
    </w:lvl>
  </w:abstractNum>
  <w:abstractNum w:abstractNumId="27">
    <w:nsid w:val="2A487CB0"/>
    <w:multiLevelType w:val="hybridMultilevel"/>
    <w:lvl w:ilvl="0">
      <w:lvlJc w:val="left"/>
      <w:lvlText w:val="%1."/>
      <w:numFmt w:val="decimal"/>
      <w:start w:val="16"/>
    </w:lvl>
  </w:abstractNum>
  <w:abstractNum w:abstractNumId="28">
    <w:nsid w:val="1D4ED43B"/>
    <w:multiLevelType w:val="hybridMultilevel"/>
    <w:lvl w:ilvl="0">
      <w:lvlJc w:val="left"/>
      <w:lvlText w:val="(%1)"/>
      <w:numFmt w:val="lowerLetter"/>
      <w:start w:val="1"/>
    </w:lvl>
  </w:abstractNum>
  <w:abstractNum w:abstractNumId="29">
    <w:nsid w:val="725A06FB"/>
    <w:multiLevelType w:val="hybridMultilevel"/>
    <w:lvl w:ilvl="0">
      <w:lvlJc w:val="left"/>
      <w:lvlText w:val="%1."/>
      <w:numFmt w:val="decimal"/>
      <w:start w:val="17"/>
    </w:lvl>
  </w:abstractNum>
  <w:abstractNum w:abstractNumId="30">
    <w:nsid w:val="2CD89A32"/>
    <w:multiLevelType w:val="hybridMultilevel"/>
    <w:lvl w:ilvl="0">
      <w:lvlJc w:val="left"/>
      <w:lvlText w:val="%1."/>
      <w:numFmt w:val="decimal"/>
      <w:start w:val="18"/>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1)"/>
      <w:numFmt w:val="lowerRoman"/>
      <w:start w:val="3"/>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lowerRoman"/>
      <w:start w:val="3"/>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lowerLetter"/>
      <w:start w:val="1"/>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2"/>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lowerLetter"/>
      <w:start w:val="2"/>
    </w:lvl>
  </w:abstractNum>
  <w:abstractNum w:abstractNumId="51">
    <w:nsid w:val="23F9C13C"/>
    <w:multiLevelType w:val="hybridMultilevel"/>
    <w:lvl w:ilvl="0">
      <w:lvlJc w:val="left"/>
      <w:lvlText w:val="(%1)"/>
      <w:numFmt w:val="lowerLetter"/>
      <w:start w:val="6"/>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2"/>
    </w:lvl>
  </w:abstractNum>
  <w:abstractNum w:abstractNumId="55">
    <w:nsid w:val="1CF10FD8"/>
    <w:multiLevelType w:val="hybridMultilevel"/>
    <w:lvl w:ilvl="0">
      <w:lvlJc w:val="left"/>
      <w:lvlText w:val="(%1)"/>
      <w:numFmt w:val="lowerLetter"/>
      <w:start w:val="1"/>
    </w:lvl>
    <w:lvl w:ilvl="1">
      <w:lvlJc w:val="left"/>
      <w:lvlText w:val="•"/>
      <w:numFmt w:val="bullet"/>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2019-12-29T17:09:28Z</dcterms:created>
  <dcterms:modified xsi:type="dcterms:W3CDTF">2019-12-29T17:09:28Z</dcterms:modified>
</cp:coreProperties>
</file>