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191135</wp:posOffset>
            </wp:positionV>
            <wp:extent cx="72555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318" w:lineRule="exact"/>
        <w:rPr>
          <w:sz w:val="24"/>
          <w:szCs w:val="24"/>
          <w:color w:val="auto"/>
        </w:rPr>
      </w:pPr>
    </w:p>
    <w:p>
      <w:pPr>
        <w:jc w:val="center"/>
        <w:ind w:right="-259"/>
        <w:spacing w:after="0"/>
        <w:rPr>
          <w:sz w:val="20"/>
          <w:szCs w:val="20"/>
          <w:color w:val="auto"/>
        </w:rPr>
      </w:pPr>
      <w:r>
        <w:rPr>
          <w:rFonts w:ascii="Arial" w:cs="Arial" w:eastAsia="Arial" w:hAnsi="Arial"/>
          <w:sz w:val="30"/>
          <w:szCs w:val="30"/>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-217805</wp:posOffset>
            </wp:positionV>
            <wp:extent cx="72555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11" w:lineRule="exact"/>
        <w:rPr>
          <w:sz w:val="24"/>
          <w:szCs w:val="24"/>
          <w:color w:val="auto"/>
        </w:rPr>
      </w:pPr>
    </w:p>
    <w:p>
      <w:pPr>
        <w:jc w:val="center"/>
        <w:ind w:right="-259"/>
        <w:spacing w:after="0"/>
        <w:rPr>
          <w:sz w:val="20"/>
          <w:szCs w:val="20"/>
          <w:color w:val="auto"/>
        </w:rPr>
      </w:pPr>
      <w:r>
        <w:rPr>
          <w:rFonts w:ascii="Arial" w:cs="Arial" w:eastAsia="Arial" w:hAnsi="Arial"/>
          <w:sz w:val="30"/>
          <w:szCs w:val="30"/>
          <w:b w:val="1"/>
          <w:bCs w:val="1"/>
          <w:color w:val="auto"/>
        </w:rPr>
        <w:t>SECURITIES AND EXCHANGE COMMISSION</w:t>
      </w:r>
    </w:p>
    <w:p>
      <w:pPr>
        <w:spacing w:after="0" w:line="7"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104775</wp:posOffset>
            </wp:positionV>
            <wp:extent cx="15182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8285" cy="8255"/>
                    </a:xfrm>
                    <a:prstGeom prst="rect">
                      <a:avLst/>
                    </a:prstGeom>
                    <a:noFill/>
                  </pic:spPr>
                </pic:pic>
              </a:graphicData>
            </a:graphic>
          </wp:anchor>
        </w:drawing>
      </w:r>
    </w:p>
    <w:p>
      <w:pPr>
        <w:spacing w:after="0" w:line="169" w:lineRule="exact"/>
        <w:rPr>
          <w:sz w:val="24"/>
          <w:szCs w:val="24"/>
          <w:color w:val="auto"/>
        </w:rPr>
      </w:pPr>
    </w:p>
    <w:p>
      <w:pPr>
        <w:jc w:val="center"/>
        <w:ind w:right="-259"/>
        <w:spacing w:after="0"/>
        <w:rPr>
          <w:sz w:val="20"/>
          <w:szCs w:val="20"/>
          <w:color w:val="auto"/>
        </w:rPr>
      </w:pPr>
      <w:r>
        <w:rPr>
          <w:rFonts w:ascii="Arial" w:cs="Arial" w:eastAsia="Arial" w:hAnsi="Arial"/>
          <w:sz w:val="30"/>
          <w:szCs w:val="3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111125</wp:posOffset>
            </wp:positionV>
            <wp:extent cx="15182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8285" cy="825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69" w:lineRule="exact"/>
        <w:rPr>
          <w:sz w:val="24"/>
          <w:szCs w:val="24"/>
          <w:color w:val="auto"/>
        </w:rPr>
      </w:pPr>
    </w:p>
    <w:p>
      <w:pPr>
        <w:ind w:left="580" w:hanging="579"/>
        <w:spacing w:after="0"/>
        <w:tabs>
          <w:tab w:leader="none" w:pos="58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74" w:lineRule="exact"/>
        <w:rPr>
          <w:sz w:val="24"/>
          <w:szCs w:val="24"/>
          <w:color w:val="auto"/>
        </w:rPr>
      </w:pPr>
    </w:p>
    <w:p>
      <w:pPr>
        <w:ind w:left="580"/>
        <w:spacing w:after="0"/>
        <w:rPr>
          <w:sz w:val="20"/>
          <w:szCs w:val="20"/>
          <w:color w:val="auto"/>
        </w:rPr>
      </w:pPr>
      <w:r>
        <w:rPr>
          <w:rFonts w:ascii="Arial" w:cs="Arial" w:eastAsia="Arial" w:hAnsi="Arial"/>
          <w:sz w:val="16"/>
          <w:szCs w:val="16"/>
          <w:b w:val="1"/>
          <w:bCs w:val="1"/>
          <w:color w:val="auto"/>
        </w:rPr>
        <w:t>For the quarterly period ended June 30, 2015</w:t>
      </w:r>
    </w:p>
    <w:p>
      <w:pPr>
        <w:spacing w:after="0" w:line="69"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OR</w:t>
      </w:r>
    </w:p>
    <w:p>
      <w:pPr>
        <w:spacing w:after="0" w:line="69" w:lineRule="exact"/>
        <w:rPr>
          <w:sz w:val="24"/>
          <w:szCs w:val="24"/>
          <w:color w:val="auto"/>
        </w:rPr>
      </w:pPr>
    </w:p>
    <w:p>
      <w:pPr>
        <w:ind w:left="580" w:hanging="579"/>
        <w:spacing w:after="0"/>
        <w:tabs>
          <w:tab w:leader="none" w:pos="58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67" w:lineRule="exact"/>
        <w:rPr>
          <w:sz w:val="24"/>
          <w:szCs w:val="24"/>
          <w:color w:val="auto"/>
        </w:rPr>
      </w:pPr>
    </w:p>
    <w:tbl>
      <w:tblPr>
        <w:tblLayout w:type="fixed"/>
        <w:tblInd w:w="580" w:type="dxa"/>
        <w:tblCellMar>
          <w:top w:w="0" w:type="dxa"/>
          <w:left w:w="0" w:type="dxa"/>
          <w:bottom w:w="0" w:type="dxa"/>
          <w:right w:w="0" w:type="dxa"/>
        </w:tblCellMar>
      </w:tblPr>
      <w:tr>
        <w:trPr>
          <w:trHeight w:val="184"/>
        </w:trPr>
        <w:tc>
          <w:tcPr>
            <w:tcW w:w="2160" w:type="dxa"/>
            <w:vAlign w:val="bottom"/>
          </w:tcPr>
          <w:p>
            <w:pPr>
              <w:spacing w:after="0"/>
              <w:rPr>
                <w:sz w:val="20"/>
                <w:szCs w:val="20"/>
                <w:color w:val="auto"/>
              </w:rPr>
            </w:pPr>
            <w:r>
              <w:rPr>
                <w:rFonts w:ascii="Arial" w:cs="Arial" w:eastAsia="Arial" w:hAnsi="Arial"/>
                <w:sz w:val="16"/>
                <w:szCs w:val="16"/>
                <w:b w:val="1"/>
                <w:bCs w:val="1"/>
                <w:color w:val="auto"/>
                <w:w w:val="95"/>
              </w:rPr>
              <w:t>For the transition period from</w:t>
            </w:r>
          </w:p>
        </w:tc>
        <w:tc>
          <w:tcPr>
            <w:tcW w:w="980" w:type="dxa"/>
            <w:vAlign w:val="bottom"/>
            <w:tcBorders>
              <w:bottom w:val="single" w:sz="8" w:color="auto"/>
            </w:tcBorders>
          </w:tcPr>
          <w:p>
            <w:pPr>
              <w:spacing w:after="0"/>
              <w:rPr>
                <w:sz w:val="16"/>
                <w:szCs w:val="16"/>
                <w:color w:val="auto"/>
              </w:rPr>
            </w:pPr>
          </w:p>
        </w:tc>
        <w:tc>
          <w:tcPr>
            <w:tcW w:w="220" w:type="dxa"/>
            <w:vAlign w:val="bottom"/>
          </w:tcPr>
          <w:p>
            <w:pPr>
              <w:ind w:left="40"/>
              <w:spacing w:after="0"/>
              <w:rPr>
                <w:sz w:val="20"/>
                <w:szCs w:val="20"/>
                <w:color w:val="auto"/>
              </w:rPr>
            </w:pPr>
            <w:r>
              <w:rPr>
                <w:rFonts w:ascii="Arial" w:cs="Arial" w:eastAsia="Arial" w:hAnsi="Arial"/>
                <w:sz w:val="16"/>
                <w:szCs w:val="16"/>
                <w:b w:val="1"/>
                <w:bCs w:val="1"/>
                <w:color w:val="auto"/>
              </w:rPr>
              <w:t>to</w:t>
            </w:r>
          </w:p>
        </w:tc>
        <w:tc>
          <w:tcPr>
            <w:tcW w:w="1000" w:type="dxa"/>
            <w:vAlign w:val="bottom"/>
            <w:tcBorders>
              <w:bottom w:val="single" w:sz="8" w:color="auto"/>
            </w:tcBorders>
          </w:tcPr>
          <w:p>
            <w:pPr>
              <w:spacing w:after="0"/>
              <w:rPr>
                <w:sz w:val="16"/>
                <w:szCs w:val="16"/>
                <w:color w:val="auto"/>
              </w:rPr>
            </w:pPr>
          </w:p>
        </w:tc>
        <w:tc>
          <w:tcPr>
            <w:tcW w:w="1720" w:type="dxa"/>
            <w:vAlign w:val="bottom"/>
          </w:tcPr>
          <w:p>
            <w:pPr>
              <w:spacing w:after="0"/>
              <w:rPr>
                <w:sz w:val="16"/>
                <w:szCs w:val="16"/>
                <w:color w:val="auto"/>
              </w:rPr>
            </w:pPr>
          </w:p>
        </w:tc>
      </w:tr>
      <w:tr>
        <w:trPr>
          <w:trHeight w:val="258"/>
        </w:trPr>
        <w:tc>
          <w:tcPr>
            <w:tcW w:w="2160" w:type="dxa"/>
            <w:vAlign w:val="bottom"/>
          </w:tcPr>
          <w:p>
            <w:pPr>
              <w:spacing w:after="0"/>
              <w:rPr>
                <w:sz w:val="22"/>
                <w:szCs w:val="22"/>
                <w:color w:val="auto"/>
              </w:rPr>
            </w:pPr>
          </w:p>
        </w:tc>
        <w:tc>
          <w:tcPr>
            <w:tcW w:w="3920" w:type="dxa"/>
            <w:vAlign w:val="bottom"/>
            <w:gridSpan w:val="4"/>
          </w:tcPr>
          <w:p>
            <w:pPr>
              <w:jc w:val="right"/>
              <w:ind w:right="580"/>
              <w:spacing w:after="0"/>
              <w:rPr>
                <w:sz w:val="20"/>
                <w:szCs w:val="20"/>
                <w:color w:val="auto"/>
              </w:rPr>
            </w:pPr>
            <w:r>
              <w:rPr>
                <w:rFonts w:ascii="Arial" w:cs="Arial" w:eastAsia="Arial" w:hAnsi="Arial"/>
                <w:sz w:val="16"/>
                <w:szCs w:val="16"/>
                <w:b w:val="1"/>
                <w:bCs w:val="1"/>
                <w:color w:val="auto"/>
              </w:rPr>
              <w:t>001-32492</w:t>
            </w:r>
          </w:p>
        </w:tc>
      </w:tr>
      <w:tr>
        <w:trPr>
          <w:trHeight w:val="213"/>
        </w:trPr>
        <w:tc>
          <w:tcPr>
            <w:tcW w:w="2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2"/>
          </w:tcPr>
          <w:p>
            <w:pPr>
              <w:jc w:val="center"/>
              <w:ind w:left="738"/>
              <w:spacing w:after="0"/>
              <w:rPr>
                <w:sz w:val="20"/>
                <w:szCs w:val="20"/>
                <w:color w:val="auto"/>
              </w:rPr>
            </w:pPr>
            <w:r>
              <w:rPr>
                <w:rFonts w:ascii="Arial" w:cs="Arial" w:eastAsia="Arial" w:hAnsi="Arial"/>
                <w:sz w:val="16"/>
                <w:szCs w:val="16"/>
                <w:b w:val="1"/>
                <w:bCs w:val="1"/>
                <w:color w:val="auto"/>
                <w:w w:val="93"/>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90170</wp:posOffset>
            </wp:positionV>
            <wp:extent cx="15182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8285" cy="8255"/>
                    </a:xfrm>
                    <a:prstGeom prst="rect">
                      <a:avLst/>
                    </a:prstGeom>
                    <a:noFill/>
                  </pic:spPr>
                </pic:pic>
              </a:graphicData>
            </a:graphic>
          </wp:anchor>
        </w:drawing>
      </w:r>
    </w:p>
    <w:p>
      <w:pPr>
        <w:spacing w:after="0" w:line="145"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LAZARD LTD</w:t>
      </w:r>
    </w:p>
    <w:p>
      <w:pPr>
        <w:spacing w:after="0" w:line="49" w:lineRule="exact"/>
        <w:rPr>
          <w:sz w:val="24"/>
          <w:szCs w:val="24"/>
          <w:color w:val="auto"/>
        </w:rPr>
      </w:pPr>
    </w:p>
    <w:p>
      <w:pPr>
        <w:jc w:val="center"/>
        <w:ind w:right="-259"/>
        <w:spacing w:after="0"/>
        <w:rPr>
          <w:sz w:val="20"/>
          <w:szCs w:val="20"/>
          <w:color w:val="auto"/>
        </w:rPr>
      </w:pPr>
      <w:r>
        <w:rPr>
          <w:rFonts w:ascii="Arial" w:cs="Arial" w:eastAsia="Arial" w:hAnsi="Arial"/>
          <w:sz w:val="13"/>
          <w:szCs w:val="13"/>
          <w:b w:val="1"/>
          <w:bCs w:val="1"/>
          <w:color w:val="auto"/>
        </w:rPr>
        <w:t>(Exact name of registrant as specified in its charter)</w:t>
      </w:r>
    </w:p>
    <w:p>
      <w:pPr>
        <w:sectPr>
          <w:pgSz w:w="11900" w:h="16838" w:orient="portrait"/>
          <w:cols w:equalWidth="0" w:num="1">
            <w:col w:w="11180"/>
          </w:cols>
          <w:pgMar w:left="240" w:top="225" w:right="479" w:bottom="1440" w:gutter="0" w:footer="0" w:header="0"/>
        </w:sectPr>
      </w:pPr>
    </w:p>
    <w:p>
      <w:pPr>
        <w:spacing w:after="0" w:line="39" w:lineRule="exact"/>
        <w:rPr>
          <w:sz w:val="24"/>
          <w:szCs w:val="24"/>
          <w:color w:val="auto"/>
        </w:rPr>
      </w:pPr>
    </w:p>
    <w:p>
      <w:pPr>
        <w:ind w:left="2580"/>
        <w:spacing w:after="0"/>
        <w:rPr>
          <w:sz w:val="20"/>
          <w:szCs w:val="20"/>
          <w:color w:val="auto"/>
        </w:rPr>
      </w:pPr>
      <w:r>
        <w:rPr>
          <w:rFonts w:ascii="Arial" w:cs="Arial" w:eastAsia="Arial" w:hAnsi="Arial"/>
          <w:sz w:val="15"/>
          <w:szCs w:val="15"/>
          <w:b w:val="1"/>
          <w:bCs w:val="1"/>
          <w:color w:val="auto"/>
        </w:rPr>
        <w:t>Bermuda</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98-0437848</w:t>
      </w:r>
    </w:p>
    <w:p>
      <w:pPr>
        <w:spacing w:after="0" w:line="51" w:lineRule="exact"/>
        <w:rPr>
          <w:sz w:val="24"/>
          <w:szCs w:val="24"/>
          <w:color w:val="auto"/>
        </w:rPr>
      </w:pPr>
    </w:p>
    <w:p>
      <w:pPr>
        <w:sectPr>
          <w:pgSz w:w="11900" w:h="16838" w:orient="portrait"/>
          <w:cols w:equalWidth="0" w:num="2">
            <w:col w:w="7620" w:space="720"/>
            <w:col w:w="2840"/>
          </w:cols>
          <w:pgMar w:left="240" w:top="225" w:right="479" w:bottom="1440" w:gutter="0" w:footer="0" w:header="0"/>
          <w:type w:val="continuous"/>
        </w:sectPr>
      </w:pPr>
    </w:p>
    <w:p>
      <w:pPr>
        <w:jc w:val="center"/>
        <w:ind w:right="1220"/>
        <w:spacing w:after="0"/>
        <w:rPr>
          <w:sz w:val="20"/>
          <w:szCs w:val="20"/>
          <w:color w:val="auto"/>
        </w:rPr>
      </w:pPr>
      <w:r>
        <w:rPr>
          <w:rFonts w:ascii="Arial" w:cs="Arial" w:eastAsia="Arial" w:hAnsi="Arial"/>
          <w:sz w:val="11"/>
          <w:szCs w:val="11"/>
          <w:b w:val="1"/>
          <w:bCs w:val="1"/>
          <w:color w:val="auto"/>
        </w:rPr>
        <w:t>(State or Other Jurisdiction of Incorporation</w:t>
      </w:r>
    </w:p>
    <w:p>
      <w:pPr>
        <w:spacing w:after="0" w:line="16" w:lineRule="exact"/>
        <w:rPr>
          <w:sz w:val="24"/>
          <w:szCs w:val="24"/>
          <w:color w:val="auto"/>
        </w:rPr>
      </w:pPr>
    </w:p>
    <w:p>
      <w:pPr>
        <w:jc w:val="center"/>
        <w:ind w:right="1220"/>
        <w:spacing w:after="0"/>
        <w:rPr>
          <w:sz w:val="20"/>
          <w:szCs w:val="20"/>
          <w:color w:val="auto"/>
        </w:rPr>
      </w:pPr>
      <w:r>
        <w:rPr>
          <w:rFonts w:ascii="Arial" w:cs="Arial" w:eastAsia="Arial" w:hAnsi="Arial"/>
          <w:sz w:val="13"/>
          <w:szCs w:val="13"/>
          <w:b w:val="1"/>
          <w:bCs w:val="1"/>
          <w:color w:val="auto"/>
        </w:rPr>
        <w:t>or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88900</wp:posOffset>
            </wp:positionV>
            <wp:extent cx="15182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828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(I.R.S. Employer Identification No.)</w:t>
      </w:r>
    </w:p>
    <w:p>
      <w:pPr>
        <w:spacing w:after="0" w:line="356" w:lineRule="exact"/>
        <w:rPr>
          <w:sz w:val="24"/>
          <w:szCs w:val="24"/>
          <w:color w:val="auto"/>
        </w:rPr>
      </w:pPr>
    </w:p>
    <w:p>
      <w:pPr>
        <w:sectPr>
          <w:pgSz w:w="11900" w:h="16838" w:orient="portrait"/>
          <w:cols w:equalWidth="0" w:num="2">
            <w:col w:w="7060" w:space="720"/>
            <w:col w:w="3400"/>
          </w:cols>
          <w:pgMar w:left="240" w:top="225" w:right="479" w:bottom="1440" w:gutter="0" w:footer="0" w:header="0"/>
          <w:type w:val="continuous"/>
        </w:sectPr>
      </w:pPr>
    </w:p>
    <w:p>
      <w:pPr>
        <w:jc w:val="center"/>
        <w:ind w:right="-239"/>
        <w:spacing w:after="0"/>
        <w:rPr>
          <w:sz w:val="20"/>
          <w:szCs w:val="20"/>
          <w:color w:val="auto"/>
        </w:rPr>
      </w:pPr>
      <w:r>
        <w:rPr>
          <w:rFonts w:ascii="Arial" w:cs="Arial" w:eastAsia="Arial" w:hAnsi="Arial"/>
          <w:sz w:val="16"/>
          <w:szCs w:val="16"/>
          <w:b w:val="1"/>
          <w:bCs w:val="1"/>
          <w:color w:val="auto"/>
        </w:rPr>
        <w:t>Clarendon House</w:t>
      </w:r>
    </w:p>
    <w:p>
      <w:pPr>
        <w:spacing w:after="0" w:line="29" w:lineRule="exact"/>
        <w:rPr>
          <w:sz w:val="24"/>
          <w:szCs w:val="24"/>
          <w:color w:val="auto"/>
        </w:rPr>
      </w:pPr>
    </w:p>
    <w:p>
      <w:pPr>
        <w:jc w:val="center"/>
        <w:ind w:right="-239"/>
        <w:spacing w:after="0"/>
        <w:rPr>
          <w:sz w:val="20"/>
          <w:szCs w:val="20"/>
          <w:color w:val="auto"/>
        </w:rPr>
      </w:pPr>
      <w:r>
        <w:rPr>
          <w:rFonts w:ascii="Arial" w:cs="Arial" w:eastAsia="Arial" w:hAnsi="Arial"/>
          <w:sz w:val="16"/>
          <w:szCs w:val="16"/>
          <w:b w:val="1"/>
          <w:bCs w:val="1"/>
          <w:color w:val="auto"/>
        </w:rPr>
        <w:t>2 Church Street</w:t>
      </w:r>
    </w:p>
    <w:p>
      <w:pPr>
        <w:spacing w:after="0" w:line="18" w:lineRule="exact"/>
        <w:rPr>
          <w:sz w:val="24"/>
          <w:szCs w:val="24"/>
          <w:color w:val="auto"/>
        </w:rPr>
      </w:pPr>
    </w:p>
    <w:p>
      <w:pPr>
        <w:jc w:val="center"/>
        <w:ind w:right="-239"/>
        <w:spacing w:after="0"/>
        <w:rPr>
          <w:sz w:val="20"/>
          <w:szCs w:val="20"/>
          <w:color w:val="auto"/>
        </w:rPr>
      </w:pPr>
      <w:r>
        <w:rPr>
          <w:rFonts w:ascii="Arial" w:cs="Arial" w:eastAsia="Arial" w:hAnsi="Arial"/>
          <w:sz w:val="16"/>
          <w:szCs w:val="16"/>
          <w:b w:val="1"/>
          <w:bCs w:val="1"/>
          <w:color w:val="auto"/>
        </w:rPr>
        <w:t>Hamilton HM11, Bermuda</w:t>
      </w:r>
    </w:p>
    <w:p>
      <w:pPr>
        <w:spacing w:after="0" w:line="18" w:lineRule="exact"/>
        <w:rPr>
          <w:sz w:val="24"/>
          <w:szCs w:val="24"/>
          <w:color w:val="auto"/>
        </w:rPr>
      </w:pPr>
    </w:p>
    <w:p>
      <w:pPr>
        <w:jc w:val="center"/>
        <w:ind w:right="-239"/>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59" w:lineRule="exact"/>
        <w:rPr>
          <w:sz w:val="24"/>
          <w:szCs w:val="24"/>
          <w:color w:val="auto"/>
        </w:rPr>
      </w:pPr>
    </w:p>
    <w:p>
      <w:pPr>
        <w:jc w:val="center"/>
        <w:ind w:right="-239"/>
        <w:spacing w:after="0"/>
        <w:rPr>
          <w:sz w:val="20"/>
          <w:szCs w:val="20"/>
          <w:color w:val="auto"/>
        </w:rPr>
      </w:pPr>
      <w:r>
        <w:rPr>
          <w:rFonts w:ascii="Arial" w:cs="Arial" w:eastAsia="Arial" w:hAnsi="Arial"/>
          <w:sz w:val="16"/>
          <w:szCs w:val="16"/>
          <w:b w:val="1"/>
          <w:bCs w:val="1"/>
          <w:color w:val="auto"/>
        </w:rPr>
        <w:t>Registrant’s telephone number: (441) 295-1422</w:t>
      </w:r>
    </w:p>
    <w:p>
      <w:pPr>
        <w:spacing w:after="0" w:line="73" w:lineRule="exact"/>
        <w:rPr>
          <w:sz w:val="24"/>
          <w:szCs w:val="24"/>
          <w:color w:val="auto"/>
        </w:rPr>
      </w:pPr>
    </w:p>
    <w:p>
      <w:pPr>
        <w:jc w:val="both"/>
        <w:ind w:right="60" w:firstLine="343"/>
        <w:spacing w:after="0" w:line="21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 w:lineRule="exact"/>
        <w:rPr>
          <w:sz w:val="24"/>
          <w:szCs w:val="24"/>
          <w:color w:val="auto"/>
        </w:rPr>
      </w:pPr>
    </w:p>
    <w:p>
      <w:pPr>
        <w:ind w:firstLine="343"/>
        <w:spacing w:after="0" w:line="21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 w:lineRule="exact"/>
        <w:rPr>
          <w:sz w:val="24"/>
          <w:szCs w:val="24"/>
          <w:color w:val="auto"/>
        </w:rPr>
      </w:pPr>
    </w:p>
    <w:p>
      <w:pPr>
        <w:ind w:right="480" w:firstLine="343"/>
        <w:spacing w:after="0" w:line="304"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 w:lineRule="exact"/>
        <w:rPr>
          <w:sz w:val="24"/>
          <w:szCs w:val="24"/>
          <w:color w:val="auto"/>
        </w:rPr>
      </w:pPr>
    </w:p>
    <w:tbl>
      <w:tblPr>
        <w:tblLayout w:type="fixed"/>
        <w:tblInd w:w="340" w:type="dxa"/>
        <w:tblCellMar>
          <w:top w:w="0" w:type="dxa"/>
          <w:left w:w="0" w:type="dxa"/>
          <w:bottom w:w="0" w:type="dxa"/>
          <w:right w:w="0" w:type="dxa"/>
        </w:tblCellMar>
      </w:tblPr>
      <w:tr>
        <w:trPr>
          <w:trHeight w:val="202"/>
        </w:trPr>
        <w:tc>
          <w:tcPr>
            <w:tcW w:w="1720" w:type="dxa"/>
            <w:vAlign w:val="bottom"/>
          </w:tcPr>
          <w:p>
            <w:pPr>
              <w:ind w:left="240"/>
              <w:spacing w:after="0"/>
              <w:rPr>
                <w:sz w:val="20"/>
                <w:szCs w:val="20"/>
                <w:color w:val="auto"/>
              </w:rPr>
            </w:pPr>
            <w:r>
              <w:rPr>
                <w:rFonts w:ascii="Arial" w:cs="Arial" w:eastAsia="Arial" w:hAnsi="Arial"/>
                <w:sz w:val="16"/>
                <w:szCs w:val="16"/>
                <w:color w:val="auto"/>
                <w:w w:val="92"/>
              </w:rPr>
              <w:t>Large accelerated filer</w:t>
            </w:r>
          </w:p>
        </w:tc>
        <w:tc>
          <w:tcPr>
            <w:tcW w:w="214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3780" w:type="dxa"/>
            <w:vAlign w:val="bottom"/>
          </w:tcPr>
          <w:p>
            <w:pPr>
              <w:ind w:left="194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tc>
        <w:tc>
          <w:tcPr>
            <w:tcW w:w="1100" w:type="dxa"/>
            <w:vAlign w:val="bottom"/>
            <w:vMerge w:val="restart"/>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53"/>
        </w:trPr>
        <w:tc>
          <w:tcPr>
            <w:tcW w:w="1720" w:type="dxa"/>
            <w:vAlign w:val="bottom"/>
          </w:tcPr>
          <w:p>
            <w:pPr>
              <w:ind w:left="240"/>
              <w:spacing w:after="0"/>
              <w:rPr>
                <w:sz w:val="20"/>
                <w:szCs w:val="20"/>
                <w:color w:val="auto"/>
              </w:rPr>
            </w:pPr>
            <w:r>
              <w:rPr>
                <w:rFonts w:ascii="Arial" w:cs="Arial" w:eastAsia="Arial" w:hAnsi="Arial"/>
                <w:sz w:val="16"/>
                <w:szCs w:val="16"/>
                <w:color w:val="auto"/>
                <w:w w:val="98"/>
              </w:rPr>
              <w:t>Non-accelerated filer</w:t>
            </w:r>
          </w:p>
        </w:tc>
        <w:tc>
          <w:tcPr>
            <w:tcW w:w="214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3780" w:type="dxa"/>
            <w:vAlign w:val="bottom"/>
          </w:tcPr>
          <w:p>
            <w:pPr>
              <w:ind w:left="1940"/>
              <w:spacing w:after="0"/>
              <w:rPr>
                <w:sz w:val="20"/>
                <w:szCs w:val="20"/>
                <w:color w:val="auto"/>
              </w:rPr>
            </w:pPr>
            <w:r>
              <w:rPr>
                <w:rFonts w:ascii="Arial" w:cs="Arial" w:eastAsia="Arial" w:hAnsi="Arial"/>
                <w:sz w:val="16"/>
                <w:szCs w:val="16"/>
                <w:color w:val="auto"/>
                <w:w w:val="95"/>
              </w:rPr>
              <w:t>Smaller reporting company</w:t>
            </w:r>
          </w:p>
        </w:tc>
        <w:tc>
          <w:tcPr>
            <w:tcW w:w="1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7640" w:type="dxa"/>
            <w:vAlign w:val="bottom"/>
            <w:gridSpan w:val="3"/>
          </w:tcPr>
          <w:p>
            <w:pPr>
              <w:spacing w:after="0"/>
              <w:rPr>
                <w:sz w:val="20"/>
                <w:szCs w:val="20"/>
                <w:color w:val="auto"/>
              </w:rPr>
            </w:pPr>
            <w:r>
              <w:rPr>
                <w:rFonts w:ascii="Arial" w:cs="Arial" w:eastAsia="Arial" w:hAnsi="Arial"/>
                <w:sz w:val="16"/>
                <w:szCs w:val="16"/>
                <w:color w:val="auto"/>
                <w:w w:val="94"/>
              </w:rPr>
              <w:t>Indicate by check mark whether the Registrant is a shell company (as defined in Rule 12b-2 of the Exchange Act).</w:t>
            </w:r>
          </w:p>
        </w:tc>
        <w:tc>
          <w:tcPr>
            <w:tcW w:w="1100" w:type="dxa"/>
            <w:vAlign w:val="bottom"/>
          </w:tcPr>
          <w:p>
            <w:pPr>
              <w:ind w:left="4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340"/>
        <w:spacing w:after="0"/>
        <w:rPr>
          <w:sz w:val="20"/>
          <w:szCs w:val="20"/>
          <w:color w:val="auto"/>
        </w:rPr>
      </w:pPr>
      <w:r>
        <w:rPr>
          <w:rFonts w:ascii="Arial" w:cs="Arial" w:eastAsia="Arial" w:hAnsi="Arial"/>
          <w:sz w:val="15"/>
          <w:szCs w:val="15"/>
          <w:color w:val="auto"/>
        </w:rPr>
        <w:t>As of July 17, 2015, there were 129,766,091 shares of the Registrant’s Class A common stock outstanding (including 3,678,861 shares held by subsidiaries).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137160</wp:posOffset>
            </wp:positionV>
            <wp:extent cx="72555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ectPr>
          <w:pgSz w:w="11900" w:h="16838" w:orient="portrait"/>
          <w:cols w:equalWidth="0" w:num="1">
            <w:col w:w="11180"/>
          </w:cols>
          <w:pgMar w:left="240" w:top="225" w:right="479" w:bottom="1440" w:gutter="0" w:footer="0" w:header="0"/>
          <w:type w:val="continuous"/>
        </w:sectPr>
      </w:pPr>
    </w:p>
    <w:bookmarkStart w:id="1" w:name="page2"/>
    <w:bookmarkEnd w:id="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TABLE OF CONTENTS</w:t>
      </w:r>
    </w:p>
    <w:p>
      <w:pPr>
        <w:spacing w:after="0" w:line="98" w:lineRule="exact"/>
        <w:rPr>
          <w:sz w:val="20"/>
          <w:szCs w:val="20"/>
          <w:color w:val="auto"/>
        </w:rPr>
      </w:pPr>
    </w:p>
    <w:p>
      <w:pPr>
        <w:ind w:right="180" w:firstLine="457"/>
        <w:spacing w:after="0" w:line="274" w:lineRule="auto"/>
        <w:rPr>
          <w:sz w:val="20"/>
          <w:szCs w:val="20"/>
          <w:color w:val="auto"/>
        </w:rPr>
      </w:pPr>
      <w:r>
        <w:rPr>
          <w:rFonts w:ascii="Arial" w:cs="Arial" w:eastAsia="Arial" w:hAnsi="Arial"/>
          <w:sz w:val="16"/>
          <w:szCs w:val="16"/>
          <w:i w:val="1"/>
          <w:iCs w:val="1"/>
          <w:color w:val="auto"/>
        </w:rPr>
        <w:t>When we use the terms “Lazard”, “we”, “us”, “our” and “the Company”, we mean Lazard Ltd, a company incorporated under the laws of Bermuda, and its subsidiaries, including Lazard Group LLC, a Delaware limited liability company (“Lazard Group”), that is the current holding company for our businesses. Lazard Ltd’s primary operating asset is its indirect ownership as of June 30, 2015 of all of the common membership interests in Lazard Group and its controlling interest in Lazard Group.</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60" w:type="dxa"/>
            <w:vAlign w:val="bottom"/>
            <w:gridSpan w:val="5"/>
            <w:vMerge w:val="restart"/>
          </w:tcPr>
          <w:p>
            <w:pPr>
              <w:spacing w:after="0"/>
              <w:rPr>
                <w:rFonts w:ascii="Arial" w:cs="Arial" w:eastAsia="Arial" w:hAnsi="Arial"/>
                <w:sz w:val="16"/>
                <w:szCs w:val="16"/>
                <w:b w:val="1"/>
                <w:bCs w:val="1"/>
                <w:color w:val="0000EE"/>
                <w:w w:val="96"/>
              </w:rPr>
            </w:pPr>
            <w:hyperlink w:anchor="page3">
              <w:r>
                <w:rPr>
                  <w:rFonts w:ascii="Arial" w:cs="Arial" w:eastAsia="Arial" w:hAnsi="Arial"/>
                  <w:sz w:val="16"/>
                  <w:szCs w:val="16"/>
                  <w:b w:val="1"/>
                  <w:bCs w:val="1"/>
                  <w:color w:val="0000EE"/>
                  <w:w w:val="96"/>
                </w:rPr>
                <w:t>Part I. Financial Information</w:t>
              </w:r>
            </w:hyperlink>
          </w:p>
        </w:tc>
        <w:tc>
          <w:tcPr>
            <w:tcW w:w="9020" w:type="dxa"/>
            <w:vAlign w:val="bottom"/>
            <w:gridSpan w:val="9"/>
            <w:vMerge w:val="restart"/>
          </w:tcPr>
          <w:p>
            <w:pPr>
              <w:spacing w:after="0"/>
              <w:rPr>
                <w:sz w:val="13"/>
                <w:szCs w:val="13"/>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77"/>
              </w:rPr>
              <w:t>Page</w:t>
            </w:r>
          </w:p>
        </w:tc>
        <w:tc>
          <w:tcPr>
            <w:tcW w:w="0" w:type="dxa"/>
            <w:vAlign w:val="bottom"/>
          </w:tcPr>
          <w:p>
            <w:pPr>
              <w:spacing w:after="0"/>
              <w:rPr>
                <w:sz w:val="1"/>
                <w:szCs w:val="1"/>
                <w:color w:val="auto"/>
              </w:rPr>
            </w:pPr>
          </w:p>
        </w:tc>
      </w:tr>
      <w:tr>
        <w:trPr>
          <w:trHeight w:val="149"/>
        </w:trPr>
        <w:tc>
          <w:tcPr>
            <w:tcW w:w="2060" w:type="dxa"/>
            <w:vAlign w:val="bottom"/>
            <w:tcBorders>
              <w:bottom w:val="single" w:sz="8" w:color="0000EE"/>
            </w:tcBorders>
            <w:gridSpan w:val="5"/>
            <w:vMerge w:val="continue"/>
          </w:tcPr>
          <w:p>
            <w:pPr>
              <w:spacing w:after="0"/>
              <w:rPr>
                <w:sz w:val="12"/>
                <w:szCs w:val="12"/>
                <w:color w:val="auto"/>
              </w:rPr>
            </w:pPr>
          </w:p>
        </w:tc>
        <w:tc>
          <w:tcPr>
            <w:tcW w:w="9020" w:type="dxa"/>
            <w:vAlign w:val="bottom"/>
            <w:gridSpan w:val="9"/>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400" w:type="dxa"/>
            <w:vAlign w:val="bottom"/>
          </w:tcPr>
          <w:p>
            <w:pPr>
              <w:spacing w:after="0"/>
              <w:rPr>
                <w:sz w:val="24"/>
                <w:szCs w:val="24"/>
                <w:color w:val="auto"/>
              </w:rPr>
            </w:pPr>
          </w:p>
        </w:tc>
        <w:tc>
          <w:tcPr>
            <w:tcW w:w="10680" w:type="dxa"/>
            <w:vAlign w:val="bottom"/>
            <w:gridSpan w:val="13"/>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Item 1. Financial Statements (Unaudited)</w:t>
              </w:r>
            </w:hyperlink>
          </w:p>
        </w:tc>
        <w:tc>
          <w:tcPr>
            <w:tcW w:w="2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0" w:type="dxa"/>
            <w:vAlign w:val="bottom"/>
          </w:tcPr>
          <w:p>
            <w:pPr>
              <w:spacing w:after="0"/>
              <w:rPr>
                <w:sz w:val="24"/>
                <w:szCs w:val="24"/>
                <w:color w:val="auto"/>
              </w:rPr>
            </w:pPr>
          </w:p>
        </w:tc>
        <w:tc>
          <w:tcPr>
            <w:tcW w:w="6420" w:type="dxa"/>
            <w:vAlign w:val="bottom"/>
            <w:tcBorders>
              <w:bottom w:val="single" w:sz="8" w:color="0000EE"/>
            </w:tcBorders>
            <w:gridSpan w:val="12"/>
          </w:tcPr>
          <w:p>
            <w:pPr>
              <w:spacing w:after="0"/>
              <w:rPr>
                <w:rFonts w:ascii="Arial" w:cs="Arial" w:eastAsia="Arial" w:hAnsi="Arial"/>
                <w:sz w:val="16"/>
                <w:szCs w:val="16"/>
                <w:color w:val="0000EE"/>
                <w:w w:val="93"/>
              </w:rPr>
            </w:pPr>
            <w:hyperlink w:anchor="page44">
              <w:r>
                <w:rPr>
                  <w:rFonts w:ascii="Arial" w:cs="Arial" w:eastAsia="Arial" w:hAnsi="Arial"/>
                  <w:sz w:val="16"/>
                  <w:szCs w:val="16"/>
                  <w:color w:val="0000EE"/>
                  <w:w w:val="93"/>
                </w:rPr>
                <w:t>Item 2. Management’s Discussion and Analysis of Financial Condition and Results of Operations</w:t>
              </w:r>
            </w:hyperlink>
          </w:p>
        </w:tc>
        <w:tc>
          <w:tcPr>
            <w:tcW w:w="42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84"/>
        </w:trPr>
        <w:tc>
          <w:tcPr>
            <w:tcW w:w="400" w:type="dxa"/>
            <w:vAlign w:val="bottom"/>
          </w:tcPr>
          <w:p>
            <w:pPr>
              <w:spacing w:after="0"/>
              <w:rPr>
                <w:sz w:val="24"/>
                <w:szCs w:val="24"/>
                <w:color w:val="auto"/>
              </w:rPr>
            </w:pPr>
          </w:p>
        </w:tc>
        <w:tc>
          <w:tcPr>
            <w:tcW w:w="4500" w:type="dxa"/>
            <w:vAlign w:val="bottom"/>
            <w:tcBorders>
              <w:bottom w:val="single" w:sz="8" w:color="0000EE"/>
            </w:tcBorders>
            <w:gridSpan w:val="11"/>
          </w:tcPr>
          <w:p>
            <w:pPr>
              <w:spacing w:after="0"/>
              <w:rPr>
                <w:rFonts w:ascii="Arial" w:cs="Arial" w:eastAsia="Arial" w:hAnsi="Arial"/>
                <w:sz w:val="16"/>
                <w:szCs w:val="16"/>
                <w:color w:val="0000EE"/>
                <w:w w:val="94"/>
              </w:rPr>
            </w:pPr>
            <w:hyperlink w:anchor="page79">
              <w:r>
                <w:rPr>
                  <w:rFonts w:ascii="Arial" w:cs="Arial" w:eastAsia="Arial" w:hAnsi="Arial"/>
                  <w:sz w:val="16"/>
                  <w:szCs w:val="16"/>
                  <w:color w:val="0000EE"/>
                  <w:w w:val="94"/>
                </w:rPr>
                <w:t>Item 3. Quantitative and Qualitative Disclosures About Market Risk</w:t>
              </w:r>
            </w:hyperlink>
          </w:p>
        </w:tc>
        <w:tc>
          <w:tcPr>
            <w:tcW w:w="6180" w:type="dxa"/>
            <w:vAlign w:val="bottom"/>
            <w:gridSpan w:val="2"/>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84"/>
        </w:trPr>
        <w:tc>
          <w:tcPr>
            <w:tcW w:w="400" w:type="dxa"/>
            <w:vAlign w:val="bottom"/>
          </w:tcPr>
          <w:p>
            <w:pPr>
              <w:spacing w:after="0"/>
              <w:rPr>
                <w:sz w:val="24"/>
                <w:szCs w:val="24"/>
                <w:color w:val="auto"/>
              </w:rPr>
            </w:pPr>
          </w:p>
        </w:tc>
        <w:tc>
          <w:tcPr>
            <w:tcW w:w="2140" w:type="dxa"/>
            <w:vAlign w:val="bottom"/>
            <w:tcBorders>
              <w:bottom w:val="single" w:sz="8" w:color="0000EE"/>
            </w:tcBorders>
            <w:gridSpan w:val="7"/>
          </w:tcPr>
          <w:p>
            <w:pPr>
              <w:spacing w:after="0"/>
              <w:rPr>
                <w:rFonts w:ascii="Arial" w:cs="Arial" w:eastAsia="Arial" w:hAnsi="Arial"/>
                <w:sz w:val="16"/>
                <w:szCs w:val="16"/>
                <w:color w:val="0000EE"/>
                <w:w w:val="92"/>
              </w:rPr>
            </w:pPr>
            <w:hyperlink w:anchor="page80">
              <w:r>
                <w:rPr>
                  <w:rFonts w:ascii="Arial" w:cs="Arial" w:eastAsia="Arial" w:hAnsi="Arial"/>
                  <w:sz w:val="16"/>
                  <w:szCs w:val="16"/>
                  <w:color w:val="0000EE"/>
                  <w:w w:val="92"/>
                </w:rPr>
                <w:t>Item 4. Controls and Procedures</w:t>
              </w:r>
            </w:hyperlink>
          </w:p>
        </w:tc>
        <w:tc>
          <w:tcPr>
            <w:tcW w:w="8540" w:type="dxa"/>
            <w:vAlign w:val="bottom"/>
            <w:gridSpan w:val="6"/>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84"/>
        </w:trPr>
        <w:tc>
          <w:tcPr>
            <w:tcW w:w="11080" w:type="dxa"/>
            <w:vAlign w:val="bottom"/>
            <w:gridSpan w:val="14"/>
          </w:tcPr>
          <w:p>
            <w:pPr>
              <w:spacing w:after="0"/>
              <w:rPr>
                <w:rFonts w:ascii="Arial" w:cs="Arial" w:eastAsia="Arial" w:hAnsi="Arial"/>
                <w:sz w:val="16"/>
                <w:szCs w:val="16"/>
                <w:b w:val="1"/>
                <w:bCs w:val="1"/>
                <w:color w:val="0000EE"/>
              </w:rPr>
            </w:pPr>
            <w:hyperlink w:anchor="page81">
              <w:r>
                <w:rPr>
                  <w:rFonts w:ascii="Arial" w:cs="Arial" w:eastAsia="Arial" w:hAnsi="Arial"/>
                  <w:sz w:val="16"/>
                  <w:szCs w:val="16"/>
                  <w:b w:val="1"/>
                  <w:bCs w:val="1"/>
                  <w:color w:val="0000EE"/>
                </w:rPr>
                <w:t>Part II. Other Information</w:t>
              </w:r>
            </w:hyperlink>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2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0" w:type="dxa"/>
            <w:vAlign w:val="bottom"/>
          </w:tcPr>
          <w:p>
            <w:pPr>
              <w:spacing w:after="0"/>
              <w:rPr>
                <w:sz w:val="24"/>
                <w:szCs w:val="24"/>
                <w:color w:val="auto"/>
              </w:rPr>
            </w:pPr>
          </w:p>
        </w:tc>
        <w:tc>
          <w:tcPr>
            <w:tcW w:w="1740" w:type="dxa"/>
            <w:vAlign w:val="bottom"/>
            <w:tcBorders>
              <w:bottom w:val="single" w:sz="8" w:color="0000EE"/>
            </w:tcBorders>
            <w:gridSpan w:val="6"/>
          </w:tcPr>
          <w:p>
            <w:pPr>
              <w:spacing w:after="0"/>
              <w:rPr>
                <w:rFonts w:ascii="Arial" w:cs="Arial" w:eastAsia="Arial" w:hAnsi="Arial"/>
                <w:sz w:val="16"/>
                <w:szCs w:val="16"/>
                <w:color w:val="0000EE"/>
                <w:w w:val="92"/>
              </w:rPr>
            </w:pPr>
            <w:hyperlink w:anchor="page81">
              <w:r>
                <w:rPr>
                  <w:rFonts w:ascii="Arial" w:cs="Arial" w:eastAsia="Arial" w:hAnsi="Arial"/>
                  <w:sz w:val="16"/>
                  <w:szCs w:val="16"/>
                  <w:color w:val="0000EE"/>
                  <w:w w:val="92"/>
                </w:rPr>
                <w:t>Item 1. Legal Proceedings</w:t>
              </w:r>
            </w:hyperlink>
          </w:p>
        </w:tc>
        <w:tc>
          <w:tcPr>
            <w:tcW w:w="8940" w:type="dxa"/>
            <w:vAlign w:val="bottom"/>
            <w:gridSpan w:val="7"/>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84"/>
        </w:trPr>
        <w:tc>
          <w:tcPr>
            <w:tcW w:w="400" w:type="dxa"/>
            <w:vAlign w:val="bottom"/>
          </w:tcPr>
          <w:p>
            <w:pPr>
              <w:spacing w:after="0"/>
              <w:rPr>
                <w:sz w:val="24"/>
                <w:szCs w:val="24"/>
                <w:color w:val="auto"/>
              </w:rPr>
            </w:pPr>
          </w:p>
        </w:tc>
        <w:tc>
          <w:tcPr>
            <w:tcW w:w="1480" w:type="dxa"/>
            <w:vAlign w:val="bottom"/>
            <w:tcBorders>
              <w:bottom w:val="single" w:sz="8" w:color="0000EE"/>
            </w:tcBorders>
            <w:gridSpan w:val="3"/>
          </w:tcPr>
          <w:p>
            <w:pPr>
              <w:spacing w:after="0"/>
              <w:rPr>
                <w:rFonts w:ascii="Arial" w:cs="Arial" w:eastAsia="Arial" w:hAnsi="Arial"/>
                <w:sz w:val="16"/>
                <w:szCs w:val="16"/>
                <w:color w:val="0000EE"/>
                <w:w w:val="94"/>
              </w:rPr>
            </w:pPr>
            <w:hyperlink w:anchor="page81">
              <w:r>
                <w:rPr>
                  <w:rFonts w:ascii="Arial" w:cs="Arial" w:eastAsia="Arial" w:hAnsi="Arial"/>
                  <w:sz w:val="16"/>
                  <w:szCs w:val="16"/>
                  <w:color w:val="0000EE"/>
                  <w:w w:val="94"/>
                </w:rPr>
                <w:t>Item 1A. Risk Factors</w:t>
              </w:r>
            </w:hyperlink>
          </w:p>
        </w:tc>
        <w:tc>
          <w:tcPr>
            <w:tcW w:w="9200" w:type="dxa"/>
            <w:vAlign w:val="bottom"/>
            <w:gridSpan w:val="10"/>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84"/>
        </w:trPr>
        <w:tc>
          <w:tcPr>
            <w:tcW w:w="400" w:type="dxa"/>
            <w:vAlign w:val="bottom"/>
          </w:tcPr>
          <w:p>
            <w:pPr>
              <w:spacing w:after="0"/>
              <w:rPr>
                <w:sz w:val="24"/>
                <w:szCs w:val="24"/>
                <w:color w:val="auto"/>
              </w:rPr>
            </w:pPr>
          </w:p>
        </w:tc>
        <w:tc>
          <w:tcPr>
            <w:tcW w:w="10680" w:type="dxa"/>
            <w:vAlign w:val="bottom"/>
            <w:gridSpan w:val="13"/>
          </w:tcPr>
          <w:p>
            <w:pPr>
              <w:spacing w:after="0"/>
              <w:rPr>
                <w:rFonts w:ascii="Arial" w:cs="Arial" w:eastAsia="Arial" w:hAnsi="Arial"/>
                <w:sz w:val="16"/>
                <w:szCs w:val="16"/>
                <w:color w:val="0000EE"/>
              </w:rPr>
            </w:pPr>
            <w:hyperlink w:anchor="page81">
              <w:r>
                <w:rPr>
                  <w:rFonts w:ascii="Arial" w:cs="Arial" w:eastAsia="Arial" w:hAnsi="Arial"/>
                  <w:sz w:val="16"/>
                  <w:szCs w:val="16"/>
                  <w:color w:val="0000EE"/>
                </w:rPr>
                <w:t>Item 2. Unregistered Sales of Equity Securities and Use of Proceeds</w:t>
              </w:r>
            </w:hyperlink>
          </w:p>
        </w:tc>
        <w:tc>
          <w:tcPr>
            <w:tcW w:w="260" w:type="dxa"/>
            <w:vAlign w:val="bottom"/>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84"/>
        </w:trPr>
        <w:tc>
          <w:tcPr>
            <w:tcW w:w="400" w:type="dxa"/>
            <w:vAlign w:val="bottom"/>
          </w:tcPr>
          <w:p>
            <w:pPr>
              <w:spacing w:after="0"/>
              <w:rPr>
                <w:sz w:val="24"/>
                <w:szCs w:val="24"/>
                <w:color w:val="auto"/>
              </w:rPr>
            </w:pPr>
          </w:p>
        </w:tc>
        <w:tc>
          <w:tcPr>
            <w:tcW w:w="2640" w:type="dxa"/>
            <w:vAlign w:val="bottom"/>
            <w:tcBorders>
              <w:top w:val="single" w:sz="8" w:color="0000EE"/>
              <w:bottom w:val="single" w:sz="8" w:color="0000EE"/>
            </w:tcBorders>
            <w:gridSpan w:val="8"/>
          </w:tcPr>
          <w:p>
            <w:pPr>
              <w:spacing w:after="0"/>
              <w:rPr>
                <w:rFonts w:ascii="Arial" w:cs="Arial" w:eastAsia="Arial" w:hAnsi="Arial"/>
                <w:sz w:val="16"/>
                <w:szCs w:val="16"/>
                <w:color w:val="0000EE"/>
                <w:w w:val="93"/>
              </w:rPr>
            </w:pPr>
            <w:hyperlink w:anchor="page82">
              <w:r>
                <w:rPr>
                  <w:rFonts w:ascii="Arial" w:cs="Arial" w:eastAsia="Arial" w:hAnsi="Arial"/>
                  <w:sz w:val="16"/>
                  <w:szCs w:val="16"/>
                  <w:color w:val="0000EE"/>
                  <w:w w:val="93"/>
                </w:rPr>
                <w:t>Item 3. Defaults Upon Senior Securities</w:t>
              </w:r>
            </w:hyperlink>
          </w:p>
        </w:tc>
        <w:tc>
          <w:tcPr>
            <w:tcW w:w="1840" w:type="dxa"/>
            <w:vAlign w:val="bottom"/>
            <w:tcBorders>
              <w:top w:val="single" w:sz="8" w:color="0000EE"/>
            </w:tcBorders>
            <w:gridSpan w:val="2"/>
          </w:tcPr>
          <w:p>
            <w:pPr>
              <w:spacing w:after="0"/>
              <w:rPr>
                <w:sz w:val="24"/>
                <w:szCs w:val="24"/>
                <w:color w:val="auto"/>
              </w:rPr>
            </w:pPr>
          </w:p>
        </w:tc>
        <w:tc>
          <w:tcPr>
            <w:tcW w:w="6200" w:type="dxa"/>
            <w:vAlign w:val="bottom"/>
            <w:gridSpan w:val="3"/>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84"/>
        </w:trPr>
        <w:tc>
          <w:tcPr>
            <w:tcW w:w="400" w:type="dxa"/>
            <w:vAlign w:val="bottom"/>
          </w:tcPr>
          <w:p>
            <w:pPr>
              <w:spacing w:after="0"/>
              <w:rPr>
                <w:sz w:val="24"/>
                <w:szCs w:val="24"/>
                <w:color w:val="auto"/>
              </w:rPr>
            </w:pPr>
          </w:p>
        </w:tc>
        <w:tc>
          <w:tcPr>
            <w:tcW w:w="2140" w:type="dxa"/>
            <w:vAlign w:val="bottom"/>
            <w:tcBorders>
              <w:bottom w:val="single" w:sz="8" w:color="0000EE"/>
            </w:tcBorders>
            <w:gridSpan w:val="7"/>
          </w:tcPr>
          <w:p>
            <w:pPr>
              <w:spacing w:after="0"/>
              <w:rPr>
                <w:rFonts w:ascii="Arial" w:cs="Arial" w:eastAsia="Arial" w:hAnsi="Arial"/>
                <w:sz w:val="16"/>
                <w:szCs w:val="16"/>
                <w:color w:val="0000EE"/>
                <w:w w:val="94"/>
              </w:rPr>
            </w:pPr>
            <w:hyperlink w:anchor="page82">
              <w:r>
                <w:rPr>
                  <w:rFonts w:ascii="Arial" w:cs="Arial" w:eastAsia="Arial" w:hAnsi="Arial"/>
                  <w:sz w:val="16"/>
                  <w:szCs w:val="16"/>
                  <w:color w:val="0000EE"/>
                  <w:w w:val="94"/>
                </w:rPr>
                <w:t>Item 4. Mine Safety Disclosures</w:t>
              </w:r>
            </w:hyperlink>
          </w:p>
        </w:tc>
        <w:tc>
          <w:tcPr>
            <w:tcW w:w="8540" w:type="dxa"/>
            <w:vAlign w:val="bottom"/>
            <w:gridSpan w:val="6"/>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84"/>
        </w:trPr>
        <w:tc>
          <w:tcPr>
            <w:tcW w:w="400" w:type="dxa"/>
            <w:vAlign w:val="bottom"/>
          </w:tcPr>
          <w:p>
            <w:pPr>
              <w:spacing w:after="0"/>
              <w:rPr>
                <w:sz w:val="24"/>
                <w:szCs w:val="24"/>
                <w:color w:val="auto"/>
              </w:rPr>
            </w:pPr>
          </w:p>
        </w:tc>
        <w:tc>
          <w:tcPr>
            <w:tcW w:w="1720" w:type="dxa"/>
            <w:vAlign w:val="bottom"/>
            <w:tcBorders>
              <w:bottom w:val="single" w:sz="8" w:color="0000EE"/>
            </w:tcBorders>
            <w:gridSpan w:val="5"/>
          </w:tcPr>
          <w:p>
            <w:pPr>
              <w:spacing w:after="0"/>
              <w:rPr>
                <w:rFonts w:ascii="Arial" w:cs="Arial" w:eastAsia="Arial" w:hAnsi="Arial"/>
                <w:sz w:val="16"/>
                <w:szCs w:val="16"/>
                <w:color w:val="0000EE"/>
                <w:w w:val="95"/>
              </w:rPr>
            </w:pPr>
            <w:hyperlink w:anchor="page82">
              <w:r>
                <w:rPr>
                  <w:rFonts w:ascii="Arial" w:cs="Arial" w:eastAsia="Arial" w:hAnsi="Arial"/>
                  <w:sz w:val="16"/>
                  <w:szCs w:val="16"/>
                  <w:color w:val="0000EE"/>
                  <w:w w:val="95"/>
                </w:rPr>
                <w:t>Item 5. Other Information</w:t>
              </w:r>
            </w:hyperlink>
          </w:p>
        </w:tc>
        <w:tc>
          <w:tcPr>
            <w:tcW w:w="8960" w:type="dxa"/>
            <w:vAlign w:val="bottom"/>
            <w:gridSpan w:val="8"/>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84"/>
        </w:trPr>
        <w:tc>
          <w:tcPr>
            <w:tcW w:w="400" w:type="dxa"/>
            <w:vAlign w:val="bottom"/>
          </w:tcPr>
          <w:p>
            <w:pPr>
              <w:spacing w:after="0"/>
              <w:rPr>
                <w:sz w:val="24"/>
                <w:szCs w:val="24"/>
                <w:color w:val="auto"/>
              </w:rPr>
            </w:pPr>
          </w:p>
        </w:tc>
        <w:tc>
          <w:tcPr>
            <w:tcW w:w="10680" w:type="dxa"/>
            <w:vAlign w:val="bottom"/>
            <w:gridSpan w:val="13"/>
          </w:tcPr>
          <w:p>
            <w:pPr>
              <w:spacing w:after="0"/>
              <w:rPr>
                <w:rFonts w:ascii="Arial" w:cs="Arial" w:eastAsia="Arial" w:hAnsi="Arial"/>
                <w:sz w:val="16"/>
                <w:szCs w:val="16"/>
                <w:color w:val="0000EE"/>
              </w:rPr>
            </w:pPr>
            <w:hyperlink w:anchor="page83">
              <w:r>
                <w:rPr>
                  <w:rFonts w:ascii="Arial" w:cs="Arial" w:eastAsia="Arial" w:hAnsi="Arial"/>
                  <w:sz w:val="16"/>
                  <w:szCs w:val="16"/>
                  <w:color w:val="0000EE"/>
                </w:rPr>
                <w:t>Item 6. Exhibits</w:t>
              </w:r>
            </w:hyperlink>
          </w:p>
        </w:tc>
        <w:tc>
          <w:tcPr>
            <w:tcW w:w="26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620" w:type="dxa"/>
            <w:vAlign w:val="bottom"/>
            <w:gridSpan w:val="11"/>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1080" w:type="dxa"/>
            <w:vAlign w:val="bottom"/>
            <w:gridSpan w:val="14"/>
          </w:tcPr>
          <w:p>
            <w:pPr>
              <w:spacing w:after="0"/>
              <w:rPr>
                <w:rFonts w:ascii="Arial" w:cs="Arial" w:eastAsia="Arial" w:hAnsi="Arial"/>
                <w:sz w:val="16"/>
                <w:szCs w:val="16"/>
                <w:b w:val="1"/>
                <w:bCs w:val="1"/>
                <w:color w:val="0000EE"/>
              </w:rPr>
            </w:pPr>
            <w:hyperlink w:anchor="page88">
              <w:r>
                <w:rPr>
                  <w:rFonts w:ascii="Arial" w:cs="Arial" w:eastAsia="Arial" w:hAnsi="Arial"/>
                  <w:sz w:val="16"/>
                  <w:szCs w:val="16"/>
                  <w:b w:val="1"/>
                  <w:bCs w:val="1"/>
                  <w:color w:val="0000EE"/>
                </w:rPr>
                <w:t>Signatures</w:t>
              </w:r>
            </w:hyperlink>
          </w:p>
        </w:tc>
        <w:tc>
          <w:tcPr>
            <w:tcW w:w="26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357"/>
        </w:trPr>
        <w:tc>
          <w:tcPr>
            <w:tcW w:w="4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80" w:type="dxa"/>
            <w:vAlign w:val="bottom"/>
            <w:gridSpan w:val="2"/>
          </w:tcPr>
          <w:p>
            <w:pPr>
              <w:ind w:left="800"/>
              <w:spacing w:after="0"/>
              <w:rPr>
                <w:sz w:val="20"/>
                <w:szCs w:val="20"/>
                <w:color w:val="auto"/>
              </w:rPr>
            </w:pPr>
            <w:r>
              <w:rPr>
                <w:rFonts w:ascii="Arial" w:cs="Arial" w:eastAsia="Arial" w:hAnsi="Arial"/>
                <w:sz w:val="16"/>
                <w:szCs w:val="16"/>
                <w:color w:val="auto"/>
              </w:rPr>
              <w:t>i</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40" w:right="319" w:bottom="1440" w:gutter="0" w:footer="0" w:header="0"/>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420" w:type="dxa"/>
            <w:vAlign w:val="bottom"/>
            <w:gridSpan w:val="6"/>
          </w:tcPr>
          <w:p>
            <w:pPr>
              <w:jc w:val="center"/>
              <w:ind w:right="3300"/>
              <w:spacing w:after="0"/>
              <w:rPr>
                <w:sz w:val="20"/>
                <w:szCs w:val="20"/>
                <w:color w:val="auto"/>
              </w:rPr>
            </w:pPr>
            <w:r>
              <w:rPr>
                <w:rFonts w:ascii="Arial" w:cs="Arial" w:eastAsia="Arial" w:hAnsi="Arial"/>
                <w:sz w:val="16"/>
                <w:szCs w:val="16"/>
                <w:b w:val="1"/>
                <w:bCs w:val="1"/>
                <w:color w:val="auto"/>
              </w:rPr>
              <w:t>PART I. FINANCIAL INFORMATION</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760" w:type="dxa"/>
            <w:vAlign w:val="bottom"/>
            <w:gridSpan w:val="2"/>
          </w:tcPr>
          <w:p>
            <w:pPr>
              <w:spacing w:after="0"/>
              <w:rPr>
                <w:sz w:val="20"/>
                <w:szCs w:val="20"/>
                <w:color w:val="auto"/>
              </w:rPr>
            </w:pPr>
            <w:r>
              <w:rPr>
                <w:rFonts w:ascii="Arial" w:cs="Arial" w:eastAsia="Arial" w:hAnsi="Arial"/>
                <w:sz w:val="16"/>
                <w:szCs w:val="16"/>
                <w:b w:val="1"/>
                <w:bCs w:val="1"/>
                <w:color w:val="auto"/>
              </w:rPr>
              <w:t>Item 1.</w:t>
            </w:r>
          </w:p>
        </w:tc>
        <w:tc>
          <w:tcPr>
            <w:tcW w:w="10320" w:type="dxa"/>
            <w:vAlign w:val="bottom"/>
            <w:gridSpan w:val="8"/>
          </w:tcPr>
          <w:p>
            <w:pPr>
              <w:ind w:left="260"/>
              <w:spacing w:after="0"/>
              <w:rPr>
                <w:sz w:val="20"/>
                <w:szCs w:val="20"/>
                <w:color w:val="auto"/>
              </w:rPr>
            </w:pPr>
            <w:r>
              <w:rPr>
                <w:rFonts w:ascii="Arial" w:cs="Arial" w:eastAsia="Arial" w:hAnsi="Arial"/>
                <w:sz w:val="16"/>
                <w:szCs w:val="16"/>
                <w:b w:val="1"/>
                <w:bCs w:val="1"/>
                <w:color w:val="auto"/>
              </w:rPr>
              <w:t>Financial Statements (Unaudited)</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1080" w:type="dxa"/>
            <w:vAlign w:val="bottom"/>
            <w:gridSpan w:val="10"/>
            <w:vMerge w:val="restart"/>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Condensed Consolidated Statements of Financial Condition as of June 30, 2015 and December 31, 2014</w:t>
              </w:r>
            </w:hyperlink>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77"/>
              </w:rPr>
              <w:t>Page</w:t>
            </w:r>
          </w:p>
        </w:tc>
        <w:tc>
          <w:tcPr>
            <w:tcW w:w="0" w:type="dxa"/>
            <w:vAlign w:val="bottom"/>
          </w:tcPr>
          <w:p>
            <w:pPr>
              <w:spacing w:after="0"/>
              <w:rPr>
                <w:sz w:val="1"/>
                <w:szCs w:val="1"/>
                <w:color w:val="auto"/>
              </w:rPr>
            </w:pPr>
          </w:p>
        </w:tc>
      </w:tr>
      <w:tr>
        <w:trPr>
          <w:trHeight w:val="144"/>
        </w:trPr>
        <w:tc>
          <w:tcPr>
            <w:tcW w:w="11080" w:type="dxa"/>
            <w:vAlign w:val="bottom"/>
            <w:gridSpan w:val="10"/>
            <w:vMerge w:val="continue"/>
          </w:tcPr>
          <w:p>
            <w:pPr>
              <w:spacing w:after="0"/>
              <w:rPr>
                <w:sz w:val="12"/>
                <w:szCs w:val="12"/>
                <w:color w:val="auto"/>
              </w:rPr>
            </w:pPr>
          </w:p>
        </w:tc>
        <w:tc>
          <w:tcPr>
            <w:tcW w:w="260" w:type="dxa"/>
            <w:vAlign w:val="bottom"/>
          </w:tcPr>
          <w:p>
            <w:pPr>
              <w:jc w:val="right"/>
              <w:spacing w:after="0" w:line="132" w:lineRule="exact"/>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96"/>
        </w:trPr>
        <w:tc>
          <w:tcPr>
            <w:tcW w:w="6860" w:type="dxa"/>
            <w:vAlign w:val="bottom"/>
            <w:tcBorders>
              <w:top w:val="single" w:sz="8" w:color="0000EE"/>
            </w:tcBorders>
            <w:gridSpan w:val="6"/>
          </w:tcPr>
          <w:p>
            <w:pPr>
              <w:spacing w:after="0"/>
              <w:rPr>
                <w:rFonts w:ascii="Arial" w:cs="Arial" w:eastAsia="Arial" w:hAnsi="Arial"/>
                <w:sz w:val="16"/>
                <w:szCs w:val="16"/>
                <w:color w:val="0000EE"/>
                <w:w w:val="95"/>
              </w:rPr>
            </w:pPr>
            <w:hyperlink w:anchor="page6">
              <w:r>
                <w:rPr>
                  <w:rFonts w:ascii="Arial" w:cs="Arial" w:eastAsia="Arial" w:hAnsi="Arial"/>
                  <w:sz w:val="16"/>
                  <w:szCs w:val="16"/>
                  <w:color w:val="0000EE"/>
                  <w:w w:val="95"/>
                </w:rPr>
                <w:t>Condensed Consolidated Statements of Operations for the three month and six month periods ended</w:t>
              </w:r>
            </w:hyperlink>
          </w:p>
        </w:tc>
        <w:tc>
          <w:tcPr>
            <w:tcW w:w="4220" w:type="dxa"/>
            <w:vAlign w:val="bottom"/>
            <w:gridSpan w:val="4"/>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0" w:type="dxa"/>
            <w:vAlign w:val="bottom"/>
            <w:tcBorders>
              <w:top w:val="single" w:sz="8" w:color="0000EE"/>
            </w:tcBorders>
          </w:tcPr>
          <w:p>
            <w:pPr>
              <w:spacing w:after="0"/>
              <w:rPr>
                <w:sz w:val="15"/>
                <w:szCs w:val="15"/>
                <w:color w:val="auto"/>
              </w:rPr>
            </w:pPr>
          </w:p>
        </w:tc>
        <w:tc>
          <w:tcPr>
            <w:tcW w:w="1580" w:type="dxa"/>
            <w:vAlign w:val="bottom"/>
            <w:tcBorders>
              <w:top w:val="single" w:sz="8" w:color="0000EE"/>
              <w:bottom w:val="single" w:sz="8" w:color="0000EE"/>
            </w:tcBorders>
            <w:gridSpan w:val="2"/>
          </w:tcPr>
          <w:p>
            <w:pPr>
              <w:spacing w:after="0" w:line="182" w:lineRule="exact"/>
              <w:rPr>
                <w:rFonts w:ascii="Arial" w:cs="Arial" w:eastAsia="Arial" w:hAnsi="Arial"/>
                <w:sz w:val="16"/>
                <w:szCs w:val="16"/>
                <w:color w:val="0000EE"/>
                <w:w w:val="90"/>
              </w:rPr>
            </w:pPr>
            <w:hyperlink w:anchor="page6">
              <w:r>
                <w:rPr>
                  <w:rFonts w:ascii="Arial" w:cs="Arial" w:eastAsia="Arial" w:hAnsi="Arial"/>
                  <w:sz w:val="16"/>
                  <w:szCs w:val="16"/>
                  <w:color w:val="0000EE"/>
                  <w:w w:val="90"/>
                </w:rPr>
                <w:t>June 30, 2015 and 2014</w:t>
              </w:r>
            </w:hyperlink>
          </w:p>
        </w:tc>
        <w:tc>
          <w:tcPr>
            <w:tcW w:w="4800" w:type="dxa"/>
            <w:vAlign w:val="bottom"/>
            <w:tcBorders>
              <w:top w:val="single" w:sz="8" w:color="0000EE"/>
            </w:tcBorders>
            <w:gridSpan w:val="2"/>
          </w:tcPr>
          <w:p>
            <w:pPr>
              <w:spacing w:after="0"/>
              <w:rPr>
                <w:sz w:val="15"/>
                <w:szCs w:val="15"/>
                <w:color w:val="auto"/>
              </w:rPr>
            </w:pPr>
          </w:p>
        </w:tc>
        <w:tc>
          <w:tcPr>
            <w:tcW w:w="4500" w:type="dxa"/>
            <w:vAlign w:val="bottom"/>
            <w:gridSpan w:val="5"/>
          </w:tcPr>
          <w:p>
            <w:pPr>
              <w:spacing w:after="0"/>
              <w:rPr>
                <w:sz w:val="15"/>
                <w:szCs w:val="15"/>
                <w:color w:val="auto"/>
              </w:rPr>
            </w:pPr>
          </w:p>
        </w:tc>
        <w:tc>
          <w:tcPr>
            <w:tcW w:w="260" w:type="dxa"/>
            <w:vAlign w:val="bottom"/>
          </w:tcPr>
          <w:p>
            <w:pPr>
              <w:jc w:val="right"/>
              <w:spacing w:after="0" w:line="182"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84"/>
        </w:trPr>
        <w:tc>
          <w:tcPr>
            <w:tcW w:w="9040" w:type="dxa"/>
            <w:vAlign w:val="bottom"/>
            <w:tcBorders>
              <w:bottom w:val="single" w:sz="8" w:color="0000EE"/>
            </w:tcBorders>
            <w:gridSpan w:val="9"/>
          </w:tcPr>
          <w:p>
            <w:pPr>
              <w:spacing w:after="0"/>
              <w:rPr>
                <w:rFonts w:ascii="Arial" w:cs="Arial" w:eastAsia="Arial" w:hAnsi="Arial"/>
                <w:sz w:val="16"/>
                <w:szCs w:val="16"/>
                <w:color w:val="0000EE"/>
                <w:w w:val="91"/>
              </w:rPr>
            </w:pPr>
            <w:hyperlink w:anchor="page7">
              <w:r>
                <w:rPr>
                  <w:rFonts w:ascii="Arial" w:cs="Arial" w:eastAsia="Arial" w:hAnsi="Arial"/>
                  <w:sz w:val="16"/>
                  <w:szCs w:val="16"/>
                  <w:color w:val="0000EE"/>
                  <w:w w:val="91"/>
                </w:rPr>
                <w:t>Condensed Consolidated Statements of Comprehensive Income for the three month and six month periods ended June 30, 2015 and 2014</w:t>
              </w:r>
            </w:hyperlink>
          </w:p>
        </w:tc>
        <w:tc>
          <w:tcPr>
            <w:tcW w:w="20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84"/>
        </w:trPr>
        <w:tc>
          <w:tcPr>
            <w:tcW w:w="7140" w:type="dxa"/>
            <w:vAlign w:val="bottom"/>
            <w:tcBorders>
              <w:bottom w:val="single" w:sz="8" w:color="0000EE"/>
            </w:tcBorders>
            <w:gridSpan w:val="7"/>
          </w:tcPr>
          <w:p>
            <w:pPr>
              <w:spacing w:after="0"/>
              <w:rPr>
                <w:rFonts w:ascii="Arial" w:cs="Arial" w:eastAsia="Arial" w:hAnsi="Arial"/>
                <w:sz w:val="16"/>
                <w:szCs w:val="16"/>
                <w:color w:val="0000EE"/>
                <w:w w:val="91"/>
              </w:rPr>
            </w:pPr>
            <w:hyperlink w:anchor="page8">
              <w:r>
                <w:rPr>
                  <w:rFonts w:ascii="Arial" w:cs="Arial" w:eastAsia="Arial" w:hAnsi="Arial"/>
                  <w:sz w:val="16"/>
                  <w:szCs w:val="16"/>
                  <w:color w:val="0000EE"/>
                  <w:w w:val="91"/>
                </w:rPr>
                <w:t>Condensed Consolidated Statements of Cash Flows for the six month periods ended June 30, 2015 and 2014</w:t>
              </w:r>
            </w:hyperlink>
          </w:p>
        </w:tc>
        <w:tc>
          <w:tcPr>
            <w:tcW w:w="3940" w:type="dxa"/>
            <w:vAlign w:val="bottom"/>
            <w:gridSpan w:val="3"/>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84"/>
        </w:trPr>
        <w:tc>
          <w:tcPr>
            <w:tcW w:w="8540" w:type="dxa"/>
            <w:vAlign w:val="bottom"/>
            <w:tcBorders>
              <w:bottom w:val="single" w:sz="8" w:color="0000EE"/>
            </w:tcBorders>
            <w:gridSpan w:val="8"/>
          </w:tcPr>
          <w:p>
            <w:pPr>
              <w:spacing w:after="0"/>
              <w:rPr>
                <w:rFonts w:ascii="Arial" w:cs="Arial" w:eastAsia="Arial" w:hAnsi="Arial"/>
                <w:sz w:val="16"/>
                <w:szCs w:val="16"/>
                <w:color w:val="0000EE"/>
                <w:w w:val="92"/>
              </w:rPr>
            </w:pPr>
            <w:hyperlink w:anchor="page9">
              <w:r>
                <w:rPr>
                  <w:rFonts w:ascii="Arial" w:cs="Arial" w:eastAsia="Arial" w:hAnsi="Arial"/>
                  <w:sz w:val="16"/>
                  <w:szCs w:val="16"/>
                  <w:color w:val="0000EE"/>
                  <w:w w:val="92"/>
                </w:rPr>
                <w:t>Condensed Consolidated Statements of Changes in Stockholders’ Equity for the six month periods ended June 30, 2015 and 2014</w:t>
              </w:r>
            </w:hyperlink>
          </w:p>
        </w:tc>
        <w:tc>
          <w:tcPr>
            <w:tcW w:w="2540" w:type="dxa"/>
            <w:vAlign w:val="bottom"/>
            <w:gridSpan w:val="2"/>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84"/>
        </w:trPr>
        <w:tc>
          <w:tcPr>
            <w:tcW w:w="3660" w:type="dxa"/>
            <w:vAlign w:val="bottom"/>
            <w:tcBorders>
              <w:bottom w:val="single" w:sz="8" w:color="0000EE"/>
            </w:tcBorders>
            <w:gridSpan w:val="4"/>
          </w:tcPr>
          <w:p>
            <w:pPr>
              <w:spacing w:after="0"/>
              <w:rPr>
                <w:rFonts w:ascii="Arial" w:cs="Arial" w:eastAsia="Arial" w:hAnsi="Arial"/>
                <w:sz w:val="16"/>
                <w:szCs w:val="16"/>
                <w:color w:val="0000EE"/>
                <w:w w:val="91"/>
              </w:rPr>
            </w:pPr>
            <w:hyperlink w:anchor="page11">
              <w:r>
                <w:rPr>
                  <w:rFonts w:ascii="Arial" w:cs="Arial" w:eastAsia="Arial" w:hAnsi="Arial"/>
                  <w:sz w:val="16"/>
                  <w:szCs w:val="16"/>
                  <w:color w:val="0000EE"/>
                  <w:w w:val="91"/>
                </w:rPr>
                <w:t>Notes to Condensed Consolidated Financial Statements</w:t>
              </w:r>
            </w:hyperlink>
          </w:p>
        </w:tc>
        <w:tc>
          <w:tcPr>
            <w:tcW w:w="7420" w:type="dxa"/>
            <w:vAlign w:val="bottom"/>
            <w:gridSpan w:val="6"/>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57"/>
        </w:trPr>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20" w:type="dxa"/>
            <w:vAlign w:val="bottom"/>
            <w:gridSpan w:val="3"/>
          </w:tcPr>
          <w:p>
            <w:pPr>
              <w:jc w:val="right"/>
              <w:ind w:right="738"/>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40" w:right="31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LAZARD LTD</w:t>
      </w:r>
    </w:p>
    <w:p>
      <w:pPr>
        <w:spacing w:after="0" w:line="94" w:lineRule="exact"/>
        <w:rPr>
          <w:sz w:val="20"/>
          <w:szCs w:val="20"/>
          <w:color w:val="auto"/>
        </w:rPr>
      </w:pPr>
    </w:p>
    <w:p>
      <w:pPr>
        <w:ind w:left="2820"/>
        <w:spacing w:after="0"/>
        <w:rPr>
          <w:sz w:val="20"/>
          <w:szCs w:val="20"/>
          <w:color w:val="auto"/>
        </w:rPr>
      </w:pPr>
      <w:r>
        <w:rPr>
          <w:rFonts w:ascii="Arial" w:cs="Arial" w:eastAsia="Arial" w:hAnsi="Arial"/>
          <w:sz w:val="16"/>
          <w:szCs w:val="16"/>
          <w:b w:val="1"/>
          <w:bCs w:val="1"/>
          <w:color w:val="auto"/>
        </w:rPr>
        <w:t>CONDENSED CONSOLIDATED STATEMENTS OF FINANCIAL CONDITION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 2015 AND DECEMBER 31, 2014</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except for per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8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100"/>
              <w:spacing w:after="0"/>
              <w:rPr>
                <w:sz w:val="20"/>
                <w:szCs w:val="20"/>
                <w:color w:val="auto"/>
              </w:rPr>
            </w:pPr>
            <w:r>
              <w:rPr>
                <w:rFonts w:ascii="Arial" w:cs="Arial" w:eastAsia="Arial" w:hAnsi="Arial"/>
                <w:sz w:val="13"/>
                <w:szCs w:val="13"/>
                <w:b w:val="1"/>
                <w:bCs w:val="1"/>
                <w:color w:val="auto"/>
                <w:w w:val="96"/>
              </w:rPr>
              <w:t>June 30,</w:t>
            </w:r>
          </w:p>
        </w:tc>
        <w:tc>
          <w:tcPr>
            <w:tcW w:w="440" w:type="dxa"/>
            <w:vAlign w:val="bottom"/>
          </w:tcPr>
          <w:p>
            <w:pPr>
              <w:spacing w:after="0"/>
              <w:rPr>
                <w:sz w:val="13"/>
                <w:szCs w:val="13"/>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7"/>
              </w:rPr>
              <w:t>December 31,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90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0"/>
              <w:spacing w:after="0"/>
              <w:rPr>
                <w:sz w:val="20"/>
                <w:szCs w:val="20"/>
                <w:color w:val="auto"/>
              </w:rPr>
            </w:pPr>
            <w:r>
              <w:rPr>
                <w:rFonts w:ascii="Arial" w:cs="Arial" w:eastAsia="Arial" w:hAnsi="Arial"/>
                <w:sz w:val="13"/>
                <w:szCs w:val="13"/>
                <w:b w:val="1"/>
                <w:bCs w:val="1"/>
                <w:color w:val="auto"/>
              </w:rPr>
              <w:t>2015</w:t>
            </w:r>
          </w:p>
        </w:tc>
        <w:tc>
          <w:tcPr>
            <w:tcW w:w="4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3"/>
                <w:szCs w:val="13"/>
                <w:b w:val="1"/>
                <w:bCs w:val="1"/>
                <w:color w:val="auto"/>
              </w:rPr>
              <w:t>2014</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900" w:type="dxa"/>
            <w:vAlign w:val="bottom"/>
            <w:shd w:val="clear" w:color="auto" w:fill="CCEEFF"/>
          </w:tcPr>
          <w:p>
            <w:pPr>
              <w:spacing w:after="0" w:line="182" w:lineRule="exact"/>
              <w:rPr>
                <w:sz w:val="20"/>
                <w:szCs w:val="20"/>
                <w:color w:val="auto"/>
              </w:rPr>
            </w:pPr>
            <w:r>
              <w:rPr>
                <w:rFonts w:ascii="Arial" w:cs="Arial" w:eastAsia="Arial" w:hAnsi="Arial"/>
                <w:sz w:val="16"/>
                <w:szCs w:val="16"/>
                <w:b w:val="1"/>
                <w:bCs w:val="1"/>
                <w:color w:val="auto"/>
              </w:rPr>
              <w:t>ASSETS</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4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701,172</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w w:val="95"/>
              </w:rPr>
              <w:t>1,066,580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6"/>
                <w:szCs w:val="16"/>
                <w:color w:val="auto"/>
              </w:rPr>
              <w:t>Deposits with banks and short-term investments</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287,677</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207,760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6"/>
                <w:szCs w:val="16"/>
                <w:color w:val="auto"/>
              </w:rPr>
              <w:t>Cash deposited with clearing organizations and other segregated cash</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33,726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43,290</w:t>
            </w:r>
          </w:p>
        </w:tc>
        <w:tc>
          <w:tcPr>
            <w:tcW w:w="0" w:type="dxa"/>
            <w:vAlign w:val="bottom"/>
          </w:tcPr>
          <w:p>
            <w:pPr>
              <w:spacing w:after="0"/>
              <w:rPr>
                <w:sz w:val="1"/>
                <w:szCs w:val="1"/>
                <w:color w:val="auto"/>
              </w:rPr>
            </w:pPr>
          </w:p>
        </w:tc>
      </w:tr>
      <w:tr>
        <w:trPr>
          <w:trHeight w:val="57"/>
        </w:trPr>
        <w:tc>
          <w:tcPr>
            <w:tcW w:w="20" w:type="dxa"/>
            <w:vAlign w:val="bottom"/>
            <w:vMerge w:val="restart"/>
          </w:tcPr>
          <w:p>
            <w:pPr>
              <w:spacing w:after="0"/>
              <w:rPr>
                <w:sz w:val="4"/>
                <w:szCs w:val="4"/>
                <w:color w:val="auto"/>
              </w:rPr>
            </w:pPr>
          </w:p>
        </w:tc>
        <w:tc>
          <w:tcPr>
            <w:tcW w:w="8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6"/>
                <w:szCs w:val="16"/>
                <w:color w:val="auto"/>
              </w:rPr>
              <w:t>Receivables (net of allowance for doubtful accounts of $21,071 and $23,540 at</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June 30, 2015 and December 31, 2014, respectively):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00" w:type="dxa"/>
            <w:vAlign w:val="bottom"/>
          </w:tcPr>
          <w:p>
            <w:pPr>
              <w:ind w:left="380"/>
              <w:spacing w:after="0"/>
              <w:rPr>
                <w:sz w:val="20"/>
                <w:szCs w:val="20"/>
                <w:color w:val="auto"/>
              </w:rPr>
            </w:pPr>
            <w:r>
              <w:rPr>
                <w:rFonts w:ascii="Arial" w:cs="Arial" w:eastAsia="Arial" w:hAnsi="Arial"/>
                <w:sz w:val="16"/>
                <w:szCs w:val="16"/>
                <w:color w:val="auto"/>
              </w:rPr>
              <w:t>Fees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443,682</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483,681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Customers and other</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57,849</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73,915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8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501,531</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557,596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6"/>
                <w:szCs w:val="16"/>
                <w:color w:val="auto"/>
              </w:rPr>
              <w:t>Investments</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557,751</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620,352</w:t>
            </w: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8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6"/>
                <w:szCs w:val="16"/>
                <w:color w:val="auto"/>
                <w:w w:val="97"/>
              </w:rPr>
              <w:t>Property (net of accumulated amortization and depreciation of $255,463 and $256,286 at June 30, 2015 and December 31, 2014,</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respectively)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213,745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222,569</w:t>
            </w:r>
          </w:p>
        </w:tc>
        <w:tc>
          <w:tcPr>
            <w:tcW w:w="0" w:type="dxa"/>
            <w:vAlign w:val="bottom"/>
          </w:tcPr>
          <w:p>
            <w:pPr>
              <w:spacing w:after="0"/>
              <w:rPr>
                <w:sz w:val="1"/>
                <w:szCs w:val="1"/>
                <w:color w:val="auto"/>
              </w:rPr>
            </w:pPr>
          </w:p>
        </w:tc>
      </w:tr>
      <w:tr>
        <w:trPr>
          <w:trHeight w:val="295"/>
        </w:trPr>
        <w:tc>
          <w:tcPr>
            <w:tcW w:w="8920" w:type="dxa"/>
            <w:vAlign w:val="bottom"/>
            <w:gridSpan w:val="2"/>
          </w:tcPr>
          <w:p>
            <w:pPr>
              <w:spacing w:after="0"/>
              <w:rPr>
                <w:sz w:val="20"/>
                <w:szCs w:val="20"/>
                <w:color w:val="auto"/>
              </w:rPr>
            </w:pPr>
            <w:r>
              <w:rPr>
                <w:rFonts w:ascii="Arial" w:cs="Arial" w:eastAsia="Arial" w:hAnsi="Arial"/>
                <w:sz w:val="16"/>
                <w:szCs w:val="16"/>
                <w:color w:val="auto"/>
                <w:w w:val="96"/>
              </w:rPr>
              <w:t>Goodwill and other intangible assets (net of accumulated amortization of $54,629 and $51,754 at June 30, 2015 and December 31,</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900" w:type="dxa"/>
            <w:vAlign w:val="bottom"/>
          </w:tcPr>
          <w:p>
            <w:pPr>
              <w:ind w:left="180"/>
              <w:spacing w:after="0"/>
              <w:rPr>
                <w:sz w:val="20"/>
                <w:szCs w:val="20"/>
                <w:color w:val="auto"/>
              </w:rPr>
            </w:pPr>
            <w:r>
              <w:rPr>
                <w:rFonts w:ascii="Arial" w:cs="Arial" w:eastAsia="Arial" w:hAnsi="Arial"/>
                <w:sz w:val="16"/>
                <w:szCs w:val="16"/>
                <w:color w:val="auto"/>
              </w:rPr>
              <w:t>2014, respectively)</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335,969</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347,438</w:t>
            </w: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8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6"/>
                <w:szCs w:val="16"/>
                <w:color w:val="auto"/>
              </w:rPr>
              <w:t>Deferred tax assets</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1,255,440</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59,041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00" w:type="dxa"/>
            <w:vAlign w:val="bottom"/>
          </w:tcPr>
          <w:p>
            <w:pPr>
              <w:spacing w:after="0"/>
              <w:rPr>
                <w:sz w:val="20"/>
                <w:szCs w:val="20"/>
                <w:color w:val="auto"/>
              </w:rPr>
            </w:pPr>
            <w:r>
              <w:rPr>
                <w:rFonts w:ascii="Arial" w:cs="Arial" w:eastAsia="Arial" w:hAnsi="Arial"/>
                <w:sz w:val="16"/>
                <w:szCs w:val="16"/>
                <w:color w:val="auto"/>
              </w:rPr>
              <w:t>Other assets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264,930</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207,610</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90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Assets</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4,151,941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5"/>
              </w:rPr>
              <w:t>3,332,236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440" w:right="23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LAZARD LTD</w:t>
      </w:r>
    </w:p>
    <w:p>
      <w:pPr>
        <w:spacing w:after="0" w:line="94" w:lineRule="exact"/>
        <w:rPr>
          <w:sz w:val="20"/>
          <w:szCs w:val="20"/>
          <w:color w:val="auto"/>
        </w:rPr>
      </w:pPr>
    </w:p>
    <w:p>
      <w:pPr>
        <w:ind w:left="2820"/>
        <w:spacing w:after="0"/>
        <w:rPr>
          <w:sz w:val="20"/>
          <w:szCs w:val="20"/>
          <w:color w:val="auto"/>
        </w:rPr>
      </w:pPr>
      <w:r>
        <w:rPr>
          <w:rFonts w:ascii="Arial" w:cs="Arial" w:eastAsia="Arial" w:hAnsi="Arial"/>
          <w:sz w:val="16"/>
          <w:szCs w:val="16"/>
          <w:b w:val="1"/>
          <w:bCs w:val="1"/>
          <w:color w:val="auto"/>
        </w:rPr>
        <w:t>CONDENSED CONSOLIDATED STATEMENTS OF FINANCIAL CONDITION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 2015 AND DECEMBER 31, 2014</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except for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2"/>
              </w:rPr>
              <w:t>June 30,</w:t>
            </w:r>
          </w:p>
        </w:tc>
        <w:tc>
          <w:tcPr>
            <w:tcW w:w="200" w:type="dxa"/>
            <w:vAlign w:val="bottom"/>
          </w:tcPr>
          <w:p>
            <w:pPr>
              <w:spacing w:after="0"/>
              <w:rPr>
                <w:sz w:val="13"/>
                <w:szCs w:val="13"/>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52"/>
        </w:trPr>
        <w:tc>
          <w:tcPr>
            <w:tcW w:w="90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00"/>
              <w:spacing w:after="0"/>
              <w:rPr>
                <w:sz w:val="20"/>
                <w:szCs w:val="20"/>
                <w:color w:val="auto"/>
              </w:rPr>
            </w:pPr>
            <w:r>
              <w:rPr>
                <w:rFonts w:ascii="Arial" w:cs="Arial" w:eastAsia="Arial" w:hAnsi="Arial"/>
                <w:sz w:val="13"/>
                <w:szCs w:val="13"/>
                <w:b w:val="1"/>
                <w:bCs w:val="1"/>
                <w:color w:val="auto"/>
              </w:rPr>
              <w:t>2015</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3"/>
                <w:szCs w:val="13"/>
                <w:b w:val="1"/>
                <w:bCs w:val="1"/>
                <w:color w:val="auto"/>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90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6"/>
                <w:szCs w:val="16"/>
                <w:color w:val="auto"/>
              </w:rPr>
              <w:t>Liabilities: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0" w:type="dxa"/>
            <w:vAlign w:val="bottom"/>
          </w:tcPr>
          <w:p>
            <w:pPr>
              <w:ind w:left="380"/>
              <w:spacing w:after="0"/>
              <w:rPr>
                <w:sz w:val="20"/>
                <w:szCs w:val="20"/>
                <w:color w:val="auto"/>
              </w:rPr>
            </w:pPr>
            <w:r>
              <w:rPr>
                <w:rFonts w:ascii="Arial" w:cs="Arial" w:eastAsia="Arial" w:hAnsi="Arial"/>
                <w:sz w:val="16"/>
                <w:szCs w:val="16"/>
                <w:color w:val="auto"/>
              </w:rPr>
              <w:t>Deposits and other customer payables</w:t>
            </w: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375,835</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316,601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Accrued compensation and benefits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387,467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606,290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0" w:type="dxa"/>
            <w:vAlign w:val="bottom"/>
          </w:tcPr>
          <w:p>
            <w:pPr>
              <w:ind w:left="380"/>
              <w:spacing w:after="0"/>
              <w:rPr>
                <w:sz w:val="20"/>
                <w:szCs w:val="20"/>
                <w:color w:val="auto"/>
              </w:rPr>
            </w:pPr>
            <w:r>
              <w:rPr>
                <w:rFonts w:ascii="Arial" w:cs="Arial" w:eastAsia="Arial" w:hAnsi="Arial"/>
                <w:sz w:val="16"/>
                <w:szCs w:val="16"/>
                <w:color w:val="auto"/>
              </w:rPr>
              <w:t>Senior debt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998,350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8"/>
              </w:rPr>
              <w:t>1,048,350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Tax receivable agreement obligation</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988,085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0" w:type="dxa"/>
            <w:vAlign w:val="bottom"/>
          </w:tcPr>
          <w:p>
            <w:pPr>
              <w:ind w:left="380"/>
              <w:spacing w:after="0"/>
              <w:rPr>
                <w:sz w:val="20"/>
                <w:szCs w:val="20"/>
                <w:color w:val="auto"/>
              </w:rPr>
            </w:pPr>
            <w:r>
              <w:rPr>
                <w:rFonts w:ascii="Arial" w:cs="Arial" w:eastAsia="Arial" w:hAnsi="Arial"/>
                <w:sz w:val="16"/>
                <w:szCs w:val="16"/>
                <w:color w:val="auto"/>
              </w:rPr>
              <w:t>Capital lease obligations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10,089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12,015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liabilities</w:t>
            </w: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522,746</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559,346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9000" w:type="dxa"/>
            <w:vAlign w:val="bottom"/>
          </w:tcPr>
          <w:p>
            <w:pPr>
              <w:ind w:left="800"/>
              <w:spacing w:after="0"/>
              <w:rPr>
                <w:sz w:val="20"/>
                <w:szCs w:val="20"/>
                <w:color w:val="auto"/>
              </w:rPr>
            </w:pPr>
            <w:r>
              <w:rPr>
                <w:rFonts w:ascii="Arial" w:cs="Arial" w:eastAsia="Arial" w:hAnsi="Arial"/>
                <w:sz w:val="16"/>
                <w:szCs w:val="16"/>
                <w:color w:val="auto"/>
              </w:rPr>
              <w:t>Total Liabilities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w w:val="92"/>
              </w:rPr>
              <w:t>3,282,572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8"/>
              </w:rPr>
              <w:t>2,562,179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020" w:type="dxa"/>
            <w:vAlign w:val="bottom"/>
            <w:gridSpan w:val="2"/>
          </w:tcPr>
          <w:p>
            <w:pPr>
              <w:spacing w:after="0"/>
              <w:rPr>
                <w:sz w:val="20"/>
                <w:szCs w:val="20"/>
                <w:color w:val="auto"/>
              </w:rPr>
            </w:pPr>
            <w:r>
              <w:rPr>
                <w:rFonts w:ascii="Arial" w:cs="Arial" w:eastAsia="Arial" w:hAnsi="Arial"/>
                <w:sz w:val="16"/>
                <w:szCs w:val="16"/>
                <w:color w:val="auto"/>
              </w:rPr>
              <w:t>Commitments and contingencies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
        </w:trPr>
        <w:tc>
          <w:tcPr>
            <w:tcW w:w="20" w:type="dxa"/>
            <w:vAlign w:val="bottom"/>
            <w:vMerge w:val="restart"/>
          </w:tcPr>
          <w:p>
            <w:pPr>
              <w:spacing w:after="0"/>
              <w:rPr>
                <w:sz w:val="6"/>
                <w:szCs w:val="6"/>
                <w:color w:val="auto"/>
              </w:rPr>
            </w:pPr>
          </w:p>
        </w:tc>
        <w:tc>
          <w:tcPr>
            <w:tcW w:w="9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STOCKHOLDERS’ EQUITY</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0" w:type="dxa"/>
            <w:vAlign w:val="bottom"/>
          </w:tcPr>
          <w:p>
            <w:pPr>
              <w:ind w:left="380"/>
              <w:spacing w:after="0"/>
              <w:rPr>
                <w:sz w:val="20"/>
                <w:szCs w:val="20"/>
                <w:color w:val="auto"/>
              </w:rPr>
            </w:pPr>
            <w:r>
              <w:rPr>
                <w:rFonts w:ascii="Arial" w:cs="Arial" w:eastAsia="Arial" w:hAnsi="Arial"/>
                <w:sz w:val="16"/>
                <w:szCs w:val="16"/>
                <w:color w:val="auto"/>
              </w:rPr>
              <w:t>Preferred stock, par value $.01 per share; 15,000,000 shares authorized: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000" w:type="dxa"/>
            <w:vAlign w:val="bottom"/>
            <w:shd w:val="clear" w:color="auto" w:fill="CCEEFF"/>
          </w:tcPr>
          <w:p>
            <w:pPr>
              <w:ind w:left="800"/>
              <w:spacing w:after="0"/>
              <w:rPr>
                <w:sz w:val="20"/>
                <w:szCs w:val="20"/>
                <w:color w:val="auto"/>
              </w:rPr>
            </w:pPr>
            <w:r>
              <w:rPr>
                <w:rFonts w:ascii="Arial" w:cs="Arial" w:eastAsia="Arial" w:hAnsi="Arial"/>
                <w:sz w:val="16"/>
                <w:szCs w:val="16"/>
                <w:color w:val="auto"/>
              </w:rPr>
              <w:t>Series A - 7,921 shares issued and outstanding at June 30, 2015 and December 31, 2014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0" w:type="dxa"/>
            <w:vAlign w:val="bottom"/>
          </w:tcPr>
          <w:p>
            <w:pPr>
              <w:ind w:left="800"/>
              <w:spacing w:after="0"/>
              <w:rPr>
                <w:sz w:val="20"/>
                <w:szCs w:val="20"/>
                <w:color w:val="auto"/>
              </w:rPr>
            </w:pPr>
            <w:r>
              <w:rPr>
                <w:rFonts w:ascii="Arial" w:cs="Arial" w:eastAsia="Arial" w:hAnsi="Arial"/>
                <w:sz w:val="16"/>
                <w:szCs w:val="16"/>
                <w:color w:val="auto"/>
              </w:rPr>
              <w:t>Series B - no shares issued and outstanding</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Common stock:</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000" w:type="dxa"/>
            <w:vAlign w:val="bottom"/>
          </w:tcPr>
          <w:p>
            <w:pPr>
              <w:ind w:left="800"/>
              <w:spacing w:after="0"/>
              <w:rPr>
                <w:sz w:val="20"/>
                <w:szCs w:val="20"/>
                <w:color w:val="auto"/>
              </w:rPr>
            </w:pPr>
            <w:r>
              <w:rPr>
                <w:rFonts w:ascii="Arial" w:cs="Arial" w:eastAsia="Arial" w:hAnsi="Arial"/>
                <w:sz w:val="16"/>
                <w:szCs w:val="16"/>
                <w:color w:val="auto"/>
              </w:rPr>
              <w:t>Class A, par value $.01 per share (500,000,000 shares authorized;</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0" w:type="dxa"/>
            <w:vAlign w:val="bottom"/>
          </w:tcPr>
          <w:p>
            <w:pPr>
              <w:ind w:left="1000"/>
              <w:spacing w:after="0"/>
              <w:rPr>
                <w:sz w:val="20"/>
                <w:szCs w:val="20"/>
                <w:color w:val="auto"/>
              </w:rPr>
            </w:pPr>
            <w:r>
              <w:rPr>
                <w:rFonts w:ascii="Arial" w:cs="Arial" w:eastAsia="Arial" w:hAnsi="Arial"/>
                <w:sz w:val="16"/>
                <w:szCs w:val="16"/>
                <w:color w:val="auto"/>
                <w:w w:val="93"/>
              </w:rPr>
              <w:t>129,766,091 shares issued at June 30, 2015 and December 31, 2014, including shares held by subsidiaries as indicated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0" w:type="dxa"/>
            <w:vAlign w:val="bottom"/>
          </w:tcPr>
          <w:p>
            <w:pPr>
              <w:ind w:left="1000"/>
              <w:spacing w:after="0"/>
              <w:rPr>
                <w:sz w:val="20"/>
                <w:szCs w:val="20"/>
                <w:color w:val="auto"/>
              </w:rPr>
            </w:pPr>
            <w:r>
              <w:rPr>
                <w:rFonts w:ascii="Arial" w:cs="Arial" w:eastAsia="Arial" w:hAnsi="Arial"/>
                <w:sz w:val="16"/>
                <w:szCs w:val="16"/>
                <w:color w:val="auto"/>
              </w:rPr>
              <w:t>below)</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1,298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0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Additional paid-in-capital</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527,454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702,800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664,001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464,655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 net of tax</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(235,349)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(200,766)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957,404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967,987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00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4"/>
              </w:rPr>
              <w:t>Class A common stock held by subsidiaries, at cost (3,678,861 and 7,450,745 shares at June 30, 2015 and December 31, 2014,</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0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respectively)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(147,200)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(261,243)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000" w:type="dxa"/>
            <w:vAlign w:val="bottom"/>
          </w:tcPr>
          <w:p>
            <w:pPr>
              <w:ind w:left="800"/>
              <w:spacing w:after="0"/>
              <w:rPr>
                <w:sz w:val="20"/>
                <w:szCs w:val="20"/>
                <w:color w:val="auto"/>
              </w:rPr>
            </w:pPr>
            <w:r>
              <w:rPr>
                <w:rFonts w:ascii="Arial" w:cs="Arial" w:eastAsia="Arial" w:hAnsi="Arial"/>
                <w:sz w:val="16"/>
                <w:szCs w:val="16"/>
                <w:color w:val="auto"/>
              </w:rPr>
              <w:t>Total Lazard Ltd Stockholders’ Equity</w:t>
            </w: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810,204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706,744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0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Noncontrolling interests</w:t>
            </w: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59,165</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000" w:type="dxa"/>
            <w:vAlign w:val="bottom"/>
          </w:tcPr>
          <w:p>
            <w:pPr>
              <w:ind w:left="800"/>
              <w:spacing w:after="0"/>
              <w:rPr>
                <w:sz w:val="20"/>
                <w:szCs w:val="20"/>
                <w:color w:val="auto"/>
              </w:rPr>
            </w:pPr>
            <w:r>
              <w:rPr>
                <w:rFonts w:ascii="Arial" w:cs="Arial" w:eastAsia="Arial" w:hAnsi="Arial"/>
                <w:sz w:val="16"/>
                <w:szCs w:val="16"/>
                <w:color w:val="auto"/>
              </w:rPr>
              <w:t>Total Stockholders’ Equity</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869,369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770,057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Liabilities and Stockholders’ Equity</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2"/>
              </w:rPr>
              <w:t>4,151,941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3,332,236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440" w:right="23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LAZARD LTD</w:t>
      </w:r>
    </w:p>
    <w:p>
      <w:pPr>
        <w:spacing w:after="0" w:line="94" w:lineRule="exact"/>
        <w:rPr>
          <w:sz w:val="20"/>
          <w:szCs w:val="20"/>
          <w:color w:val="auto"/>
        </w:rPr>
      </w:pPr>
    </w:p>
    <w:p>
      <w:pPr>
        <w:ind w:left="326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MONTH AND SIX MONTH PERIODS ENDED JUNE 30, 2015 AND 2014</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except for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00" w:type="dxa"/>
            <w:vAlign w:val="bottom"/>
            <w:gridSpan w:val="6"/>
          </w:tcPr>
          <w:p>
            <w:pPr>
              <w:ind w:left="44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20" w:type="dxa"/>
            <w:vAlign w:val="bottom"/>
            <w:gridSpan w:val="6"/>
          </w:tcPr>
          <w:p>
            <w:pPr>
              <w:ind w:left="54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3"/>
                <w:szCs w:val="13"/>
                <w:b w:val="1"/>
                <w:bCs w:val="1"/>
                <w:color w:val="auto"/>
              </w:rPr>
              <w:t>June 30,</w:t>
            </w: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3"/>
                <w:szCs w:val="13"/>
                <w:b w:val="1"/>
                <w:bCs w:val="1"/>
                <w:color w:val="auto"/>
              </w:rPr>
              <w:t>June 30,</w:t>
            </w: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64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REVENUE</w:t>
            </w: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20"/>
              <w:spacing w:after="0" w:line="132" w:lineRule="exact"/>
              <w:rPr>
                <w:sz w:val="20"/>
                <w:szCs w:val="20"/>
                <w:color w:val="auto"/>
              </w:rPr>
            </w:pPr>
            <w:r>
              <w:rPr>
                <w:rFonts w:ascii="Arial" w:cs="Arial" w:eastAsia="Arial" w:hAnsi="Arial"/>
                <w:sz w:val="13"/>
                <w:szCs w:val="13"/>
                <w:b w:val="1"/>
                <w:bCs w:val="1"/>
                <w:color w:val="auto"/>
              </w:rPr>
              <w:t>2015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38"/>
              <w:spacing w:after="0" w:line="132" w:lineRule="exact"/>
              <w:rPr>
                <w:sz w:val="20"/>
                <w:szCs w:val="20"/>
                <w:color w:val="auto"/>
              </w:rPr>
            </w:pPr>
            <w:r>
              <w:rPr>
                <w:rFonts w:ascii="Arial" w:cs="Arial" w:eastAsia="Arial" w:hAnsi="Arial"/>
                <w:sz w:val="13"/>
                <w:szCs w:val="13"/>
                <w:b w:val="1"/>
                <w:bCs w:val="1"/>
                <w:color w:val="auto"/>
              </w:rPr>
              <w:t>2014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20"/>
              <w:spacing w:after="0" w:line="132" w:lineRule="exact"/>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38"/>
              <w:spacing w:after="0" w:line="132" w:lineRule="exact"/>
              <w:rPr>
                <w:sz w:val="20"/>
                <w:szCs w:val="20"/>
                <w:color w:val="auto"/>
              </w:rPr>
            </w:pPr>
            <w:r>
              <w:rPr>
                <w:rFonts w:ascii="Arial" w:cs="Arial" w:eastAsia="Arial" w:hAnsi="Arial"/>
                <w:sz w:val="13"/>
                <w:szCs w:val="13"/>
                <w:b w:val="1"/>
                <w:bCs w:val="1"/>
                <w:color w:val="auto"/>
              </w:rPr>
              <w:t>2014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64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3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Investment banking and other advisory fees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314,277</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279,907</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615,649</w:t>
            </w:r>
          </w:p>
        </w:tc>
        <w:tc>
          <w:tcPr>
            <w:tcW w:w="1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552,582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ind w:left="380"/>
              <w:spacing w:after="0"/>
              <w:rPr>
                <w:sz w:val="20"/>
                <w:szCs w:val="20"/>
                <w:color w:val="auto"/>
              </w:rPr>
            </w:pPr>
            <w:r>
              <w:rPr>
                <w:rFonts w:ascii="Arial" w:cs="Arial" w:eastAsia="Arial" w:hAnsi="Arial"/>
                <w:sz w:val="16"/>
                <w:szCs w:val="16"/>
                <w:color w:val="auto"/>
              </w:rPr>
              <w:t>Asset management fees</w:t>
            </w:r>
          </w:p>
        </w:tc>
        <w:tc>
          <w:tcPr>
            <w:tcW w:w="1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268,754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275,877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530,709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528,908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Interest income</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1,362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1,153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ind w:left="38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36,196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25,668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65,825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47,896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revenue</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620,589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582,605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1,214,474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1,131,958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ind w:left="38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11,497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15,709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27,633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31,662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Net revenue</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609,092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566,896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1,186,841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1,100,296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400" w:type="dxa"/>
            <w:vAlign w:val="bottom"/>
            <w:gridSpan w:val="2"/>
          </w:tcPr>
          <w:p>
            <w:pPr>
              <w:spacing w:after="0"/>
              <w:rPr>
                <w:sz w:val="20"/>
                <w:szCs w:val="20"/>
                <w:color w:val="auto"/>
              </w:rPr>
            </w:pPr>
            <w:r>
              <w:rPr>
                <w:rFonts w:ascii="Arial" w:cs="Arial" w:eastAsia="Arial" w:hAnsi="Arial"/>
                <w:sz w:val="16"/>
                <w:szCs w:val="16"/>
                <w:b w:val="1"/>
                <w:bCs w:val="1"/>
                <w:color w:val="auto"/>
              </w:rPr>
              <w:t>OPERATING EXPENSES</w:t>
            </w: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3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Compensation and benefits</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336,719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345,924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665,221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667,489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ind w:left="380"/>
              <w:spacing w:after="0"/>
              <w:rPr>
                <w:sz w:val="20"/>
                <w:szCs w:val="20"/>
                <w:color w:val="auto"/>
              </w:rPr>
            </w:pPr>
            <w:r>
              <w:rPr>
                <w:rFonts w:ascii="Arial" w:cs="Arial" w:eastAsia="Arial" w:hAnsi="Arial"/>
                <w:sz w:val="16"/>
                <w:szCs w:val="16"/>
                <w:color w:val="auto"/>
              </w:rPr>
              <w:t>Occupancy and equipment</w:t>
            </w:r>
          </w:p>
        </w:tc>
        <w:tc>
          <w:tcPr>
            <w:tcW w:w="1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27,272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28,367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54,611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56,679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Marketing and business development</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18,324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20,894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37,514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ind w:left="380"/>
              <w:spacing w:after="0"/>
              <w:rPr>
                <w:sz w:val="20"/>
                <w:szCs w:val="20"/>
                <w:color w:val="auto"/>
              </w:rPr>
            </w:pPr>
            <w:r>
              <w:rPr>
                <w:rFonts w:ascii="Arial" w:cs="Arial" w:eastAsia="Arial" w:hAnsi="Arial"/>
                <w:sz w:val="16"/>
                <w:szCs w:val="16"/>
                <w:color w:val="auto"/>
              </w:rPr>
              <w:t>Technology and information services</w:t>
            </w:r>
          </w:p>
        </w:tc>
        <w:tc>
          <w:tcPr>
            <w:tcW w:w="1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23,034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21,954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45,927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45,441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Professional services</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13,883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14,120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25,342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21,711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ind w:left="380"/>
              <w:spacing w:after="0"/>
              <w:rPr>
                <w:sz w:val="20"/>
                <w:szCs w:val="20"/>
                <w:color w:val="auto"/>
              </w:rPr>
            </w:pPr>
            <w:r>
              <w:rPr>
                <w:rFonts w:ascii="Arial" w:cs="Arial" w:eastAsia="Arial" w:hAnsi="Arial"/>
                <w:sz w:val="16"/>
                <w:szCs w:val="16"/>
                <w:color w:val="auto"/>
              </w:rPr>
              <w:t>Fund administration and outsourced services</w:t>
            </w:r>
          </w:p>
        </w:tc>
        <w:tc>
          <w:tcPr>
            <w:tcW w:w="1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17,493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16,002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33,641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31,456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intangible assets related to acquisitions</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1,857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706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ind w:left="380"/>
              <w:spacing w:after="0"/>
              <w:rPr>
                <w:sz w:val="20"/>
                <w:szCs w:val="20"/>
                <w:color w:val="auto"/>
              </w:rPr>
            </w:pPr>
            <w:r>
              <w:rPr>
                <w:rFonts w:ascii="Arial" w:cs="Arial" w:eastAsia="Arial" w:hAnsi="Arial"/>
                <w:sz w:val="16"/>
                <w:szCs w:val="16"/>
                <w:color w:val="auto"/>
              </w:rPr>
              <w:t>Provision pursuant to tax receivable agreement</w:t>
            </w:r>
          </w:p>
        </w:tc>
        <w:tc>
          <w:tcPr>
            <w:tcW w:w="1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961,948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9,240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968,483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9,240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9,938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10,709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79,925</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vMerge w:val="restart"/>
          </w:tcPr>
          <w:p>
            <w:pPr>
              <w:ind w:left="800"/>
              <w:spacing w:after="0"/>
              <w:rPr>
                <w:sz w:val="20"/>
                <w:szCs w:val="20"/>
                <w:color w:val="auto"/>
              </w:rPr>
            </w:pPr>
            <w:r>
              <w:rPr>
                <w:rFonts w:ascii="Arial" w:cs="Arial" w:eastAsia="Arial" w:hAnsi="Arial"/>
                <w:sz w:val="16"/>
                <w:szCs w:val="16"/>
                <w:color w:val="auto"/>
              </w:rPr>
              <w:t>Total operating expenses</w:t>
            </w: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63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1,410,468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467,916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1,913,554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894,136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INCOME (LOSS)</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(801,376)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98,980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(726,713)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206,160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380" w:type="dxa"/>
            <w:vAlign w:val="bottom"/>
          </w:tcPr>
          <w:p>
            <w:pPr>
              <w:ind w:left="380"/>
              <w:spacing w:after="0"/>
              <w:rPr>
                <w:sz w:val="20"/>
                <w:szCs w:val="20"/>
                <w:color w:val="auto"/>
              </w:rPr>
            </w:pPr>
            <w:r>
              <w:rPr>
                <w:rFonts w:ascii="Arial" w:cs="Arial" w:eastAsia="Arial" w:hAnsi="Arial"/>
                <w:sz w:val="16"/>
                <w:szCs w:val="16"/>
                <w:color w:val="auto"/>
              </w:rPr>
              <w:t>Provision (benefit) for income taxes</w:t>
            </w:r>
          </w:p>
        </w:tc>
        <w:tc>
          <w:tcPr>
            <w:tcW w:w="14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(1,176,531)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13,071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(1,164,514)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34,822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375,155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85,909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437,801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171,338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2"/>
        </w:trPr>
        <w:tc>
          <w:tcPr>
            <w:tcW w:w="6400" w:type="dxa"/>
            <w:vAlign w:val="bottom"/>
            <w:gridSpan w:val="2"/>
          </w:tcPr>
          <w:p>
            <w:pPr>
              <w:spacing w:after="0"/>
              <w:rPr>
                <w:sz w:val="20"/>
                <w:szCs w:val="20"/>
                <w:color w:val="auto"/>
              </w:rPr>
            </w:pPr>
            <w:r>
              <w:rPr>
                <w:rFonts w:ascii="Arial" w:cs="Arial" w:eastAsia="Arial" w:hAnsi="Arial"/>
                <w:sz w:val="16"/>
                <w:szCs w:val="16"/>
                <w:b w:val="1"/>
                <w:bCs w:val="1"/>
                <w:color w:val="auto"/>
              </w:rPr>
              <w:t>LESS - NET INCOME ATTRIBUTABLE TO NONCONTROLLING INTERESTS</w:t>
            </w:r>
          </w:p>
        </w:tc>
        <w:tc>
          <w:tcPr>
            <w:tcW w:w="14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1,042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717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7,735</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5,304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 ATTRIBUTABLE TO LAZARD LTD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374,113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85,192</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430,066</w:t>
            </w:r>
          </w:p>
        </w:tc>
        <w:tc>
          <w:tcPr>
            <w:tcW w:w="1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166,034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ATTRIBUTABLE TO LAZARD LTD CLASS A COMMON STOCKHOLDERS: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64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6"/>
                <w:szCs w:val="16"/>
                <w:b w:val="1"/>
                <w:bCs w:val="1"/>
                <w:color w:val="auto"/>
              </w:rPr>
              <w:t>WEIGHTED AVERAGE SHARES OF COMMON STOCK OUTSTANDING:</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380" w:type="dxa"/>
            <w:vAlign w:val="bottom"/>
            <w:shd w:val="clear" w:color="auto" w:fill="CCEEFF"/>
          </w:tcPr>
          <w:p>
            <w:pPr>
              <w:ind w:left="580"/>
              <w:spacing w:after="0"/>
              <w:rPr>
                <w:sz w:val="20"/>
                <w:szCs w:val="20"/>
                <w:color w:val="auto"/>
              </w:rPr>
            </w:pPr>
            <w:r>
              <w:rPr>
                <w:rFonts w:ascii="Arial" w:cs="Arial" w:eastAsia="Arial" w:hAnsi="Arial"/>
                <w:sz w:val="16"/>
                <w:szCs w:val="16"/>
                <w:color w:val="auto"/>
              </w:rPr>
              <w:t>Basic</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8"/>
              </w:rPr>
              <w:t>126,212,645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8"/>
              </w:rPr>
              <w:t>123,116,776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124,934,167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122,446,492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tcPr>
          <w:p>
            <w:pPr>
              <w:ind w:left="580"/>
              <w:spacing w:after="0"/>
              <w:rPr>
                <w:sz w:val="20"/>
                <w:szCs w:val="20"/>
                <w:color w:val="auto"/>
              </w:rPr>
            </w:pPr>
            <w:r>
              <w:rPr>
                <w:rFonts w:ascii="Arial" w:cs="Arial" w:eastAsia="Arial" w:hAnsi="Arial"/>
                <w:sz w:val="16"/>
                <w:szCs w:val="16"/>
                <w:color w:val="auto"/>
              </w:rPr>
              <w:t>Diluted</w:t>
            </w: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w w:val="98"/>
              </w:rPr>
              <w:t>132,806,045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w w:val="98"/>
              </w:rPr>
              <w:t>133,575,652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8"/>
              </w:rPr>
              <w:t>133,270,996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8"/>
              </w:rPr>
              <w:t>133,800,822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6380" w:type="dxa"/>
            <w:vAlign w:val="bottom"/>
          </w:tcPr>
          <w:p>
            <w:pPr>
              <w:ind w:left="180"/>
              <w:spacing w:after="0"/>
              <w:rPr>
                <w:sz w:val="20"/>
                <w:szCs w:val="20"/>
                <w:color w:val="auto"/>
              </w:rPr>
            </w:pPr>
            <w:r>
              <w:rPr>
                <w:rFonts w:ascii="Arial" w:cs="Arial" w:eastAsia="Arial" w:hAnsi="Arial"/>
                <w:sz w:val="16"/>
                <w:szCs w:val="16"/>
                <w:b w:val="1"/>
                <w:bCs w:val="1"/>
                <w:color w:val="auto"/>
              </w:rPr>
              <w:t>NET INCOME PER SHARE OF COMMON STOCK:</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380" w:type="dxa"/>
            <w:vAlign w:val="bottom"/>
            <w:shd w:val="clear" w:color="auto" w:fill="CCEEFF"/>
          </w:tcPr>
          <w:p>
            <w:pPr>
              <w:ind w:left="580"/>
              <w:spacing w:after="0"/>
              <w:rPr>
                <w:sz w:val="20"/>
                <w:szCs w:val="20"/>
                <w:color w:val="auto"/>
              </w:rPr>
            </w:pPr>
            <w:r>
              <w:rPr>
                <w:rFonts w:ascii="Arial" w:cs="Arial" w:eastAsia="Arial" w:hAnsi="Arial"/>
                <w:sz w:val="16"/>
                <w:szCs w:val="16"/>
                <w:color w:val="auto"/>
              </w:rPr>
              <w:t>Basic</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$0.69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vMerge w:val="restart"/>
          </w:tcPr>
          <w:p>
            <w:pPr>
              <w:ind w:left="580"/>
              <w:spacing w:after="0"/>
              <w:rPr>
                <w:sz w:val="20"/>
                <w:szCs w:val="20"/>
                <w:color w:val="auto"/>
              </w:rPr>
            </w:pPr>
            <w:r>
              <w:rPr>
                <w:rFonts w:ascii="Arial" w:cs="Arial" w:eastAsia="Arial" w:hAnsi="Arial"/>
                <w:sz w:val="16"/>
                <w:szCs w:val="16"/>
                <w:color w:val="auto"/>
              </w:rPr>
              <w:t>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3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$2.82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$0.64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638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DIVIDENDS DECLARED PER SHARE OF COMMON STOCK</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$0.35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440" w:right="23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LAZARD LTD</w:t>
      </w:r>
    </w:p>
    <w:p>
      <w:pPr>
        <w:spacing w:after="0" w:line="94" w:lineRule="exact"/>
        <w:rPr>
          <w:sz w:val="20"/>
          <w:szCs w:val="20"/>
          <w:color w:val="auto"/>
        </w:rPr>
      </w:pPr>
    </w:p>
    <w:p>
      <w:pPr>
        <w:ind w:left="2680"/>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MONTH AND SIX MONTH PERIODS ENDED JUNE 30, 2015 AND 2014</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620" w:type="dxa"/>
            <w:vAlign w:val="bottom"/>
          </w:tcPr>
          <w:p>
            <w:pPr>
              <w:spacing w:after="0"/>
              <w:rPr>
                <w:sz w:val="13"/>
                <w:szCs w:val="13"/>
                <w:color w:val="auto"/>
              </w:rPr>
            </w:pPr>
          </w:p>
        </w:tc>
        <w:tc>
          <w:tcPr>
            <w:tcW w:w="1920" w:type="dxa"/>
            <w:vAlign w:val="bottom"/>
            <w:gridSpan w:val="5"/>
          </w:tcPr>
          <w:p>
            <w:pPr>
              <w:ind w:left="22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3"/>
                <w:szCs w:val="13"/>
                <w:color w:val="auto"/>
              </w:rPr>
            </w:pPr>
          </w:p>
        </w:tc>
        <w:tc>
          <w:tcPr>
            <w:tcW w:w="1740" w:type="dxa"/>
            <w:vAlign w:val="bottom"/>
            <w:gridSpan w:val="6"/>
          </w:tcPr>
          <w:p>
            <w:pPr>
              <w:jc w:val="right"/>
              <w:ind w:right="50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620" w:type="dxa"/>
            <w:vAlign w:val="bottom"/>
          </w:tcPr>
          <w:p>
            <w:pPr>
              <w:spacing w:after="0"/>
              <w:rPr>
                <w:sz w:val="13"/>
                <w:szCs w:val="13"/>
                <w:color w:val="auto"/>
              </w:rPr>
            </w:pPr>
          </w:p>
        </w:tc>
        <w:tc>
          <w:tcPr>
            <w:tcW w:w="1920" w:type="dxa"/>
            <w:vAlign w:val="bottom"/>
            <w:gridSpan w:val="5"/>
          </w:tcPr>
          <w:p>
            <w:pPr>
              <w:jc w:val="right"/>
              <w:ind w:right="900"/>
              <w:spacing w:after="0"/>
              <w:rPr>
                <w:sz w:val="20"/>
                <w:szCs w:val="20"/>
                <w:color w:val="auto"/>
              </w:rPr>
            </w:pPr>
            <w:r>
              <w:rPr>
                <w:rFonts w:ascii="Arial" w:cs="Arial" w:eastAsia="Arial" w:hAnsi="Arial"/>
                <w:sz w:val="13"/>
                <w:szCs w:val="13"/>
                <w:b w:val="1"/>
                <w:bCs w:val="1"/>
                <w:color w:val="auto"/>
              </w:rPr>
              <w:t>June 30,</w:t>
            </w:r>
          </w:p>
        </w:tc>
        <w:tc>
          <w:tcPr>
            <w:tcW w:w="120" w:type="dxa"/>
            <w:vAlign w:val="bottom"/>
          </w:tcPr>
          <w:p>
            <w:pPr>
              <w:spacing w:after="0"/>
              <w:rPr>
                <w:sz w:val="13"/>
                <w:szCs w:val="13"/>
                <w:color w:val="auto"/>
              </w:rPr>
            </w:pPr>
          </w:p>
        </w:tc>
        <w:tc>
          <w:tcPr>
            <w:tcW w:w="1040" w:type="dxa"/>
            <w:vAlign w:val="bottom"/>
            <w:gridSpan w:val="4"/>
          </w:tcPr>
          <w:p>
            <w:pPr>
              <w:jc w:val="right"/>
              <w:spacing w:after="0"/>
              <w:rPr>
                <w:sz w:val="20"/>
                <w:szCs w:val="20"/>
                <w:color w:val="auto"/>
              </w:rPr>
            </w:pPr>
            <w:r>
              <w:rPr>
                <w:rFonts w:ascii="Arial" w:cs="Arial" w:eastAsia="Arial" w:hAnsi="Arial"/>
                <w:sz w:val="13"/>
                <w:szCs w:val="13"/>
                <w:b w:val="1"/>
                <w:bCs w:val="1"/>
                <w:color w:val="auto"/>
              </w:rPr>
              <w:t>June 30,</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2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tcPr>
          <w:p>
            <w:pPr>
              <w:ind w:left="220"/>
              <w:spacing w:after="0" w:line="132" w:lineRule="exact"/>
              <w:rPr>
                <w:sz w:val="20"/>
                <w:szCs w:val="20"/>
                <w:color w:val="auto"/>
              </w:rPr>
            </w:pPr>
            <w:r>
              <w:rPr>
                <w:rFonts w:ascii="Arial" w:cs="Arial" w:eastAsia="Arial" w:hAnsi="Arial"/>
                <w:sz w:val="13"/>
                <w:szCs w:val="13"/>
                <w:b w:val="1"/>
                <w:bCs w:val="1"/>
                <w:color w:val="auto"/>
              </w:rPr>
              <w:t>2015</w:t>
            </w:r>
          </w:p>
        </w:tc>
        <w:tc>
          <w:tcPr>
            <w:tcW w:w="20" w:type="dxa"/>
            <w:vAlign w:val="bottom"/>
            <w:tcBorders>
              <w:top w:val="single" w:sz="8" w:color="auto"/>
              <w:bottom w:val="single" w:sz="8" w:color="CCEEFF"/>
            </w:tcBorders>
          </w:tcPr>
          <w:p>
            <w:pPr>
              <w:spacing w:after="0"/>
              <w:rPr>
                <w:sz w:val="11"/>
                <w:szCs w:val="11"/>
                <w:color w:val="auto"/>
              </w:rPr>
            </w:pPr>
          </w:p>
        </w:tc>
        <w:tc>
          <w:tcPr>
            <w:tcW w:w="300" w:type="dxa"/>
            <w:vAlign w:val="bottom"/>
            <w:tcBorders>
              <w:top w:val="single" w:sz="8" w:color="auto"/>
              <w:bottom w:val="single" w:sz="8" w:color="CCEEFF"/>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80"/>
              <w:spacing w:after="0" w:line="132" w:lineRule="exact"/>
              <w:rPr>
                <w:sz w:val="20"/>
                <w:szCs w:val="20"/>
                <w:color w:val="auto"/>
              </w:rPr>
            </w:pPr>
            <w:r>
              <w:rPr>
                <w:rFonts w:ascii="Arial" w:cs="Arial" w:eastAsia="Arial" w:hAnsi="Arial"/>
                <w:sz w:val="13"/>
                <w:szCs w:val="13"/>
                <w:b w:val="1"/>
                <w:bCs w:val="1"/>
                <w:color w:val="auto"/>
              </w:rPr>
              <w:t>2014</w:t>
            </w:r>
          </w:p>
        </w:tc>
        <w:tc>
          <w:tcPr>
            <w:tcW w:w="3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63"/>
              <w:spacing w:after="0" w:line="132" w:lineRule="exact"/>
              <w:rPr>
                <w:sz w:val="20"/>
                <w:szCs w:val="20"/>
                <w:color w:val="auto"/>
              </w:rPr>
            </w:pPr>
            <w:r>
              <w:rPr>
                <w:rFonts w:ascii="Arial" w:cs="Arial" w:eastAsia="Arial" w:hAnsi="Arial"/>
                <w:sz w:val="13"/>
                <w:szCs w:val="13"/>
                <w:b w:val="1"/>
                <w:bCs w:val="1"/>
                <w:color w:val="auto"/>
              </w:rPr>
              <w:t>2015</w:t>
            </w:r>
          </w:p>
        </w:tc>
        <w:tc>
          <w:tcPr>
            <w:tcW w:w="18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40"/>
              <w:spacing w:after="0" w:line="132" w:lineRule="exact"/>
              <w:rPr>
                <w:sz w:val="20"/>
                <w:szCs w:val="20"/>
                <w:color w:val="auto"/>
              </w:rPr>
            </w:pPr>
            <w:r>
              <w:rPr>
                <w:rFonts w:ascii="Arial" w:cs="Arial" w:eastAsia="Arial" w:hAnsi="Arial"/>
                <w:sz w:val="13"/>
                <w:szCs w:val="13"/>
                <w:b w:val="1"/>
                <w:bCs w:val="1"/>
                <w:color w:val="auto"/>
              </w:rPr>
              <w:t>2014</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$ 375,155</w:t>
            </w: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$ 85,909</w:t>
            </w:r>
          </w:p>
        </w:tc>
        <w:tc>
          <w:tcPr>
            <w:tcW w:w="3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437,801</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171,338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640" w:type="dxa"/>
            <w:vAlign w:val="bottom"/>
            <w:gridSpan w:val="2"/>
          </w:tcPr>
          <w:p>
            <w:pPr>
              <w:spacing w:after="0"/>
              <w:rPr>
                <w:sz w:val="20"/>
                <w:szCs w:val="20"/>
                <w:color w:val="auto"/>
              </w:rPr>
            </w:pPr>
            <w:r>
              <w:rPr>
                <w:rFonts w:ascii="Arial" w:cs="Arial" w:eastAsia="Arial" w:hAnsi="Arial"/>
                <w:sz w:val="16"/>
                <w:szCs w:val="16"/>
                <w:b w:val="1"/>
                <w:bCs w:val="1"/>
                <w:color w:val="auto"/>
              </w:rPr>
              <w:t>OTHER COMPREHENSIVE INCOME (LOSS), NET OF TAX:</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Currency translation adjustments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11,791</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4,547</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(22,342)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7620" w:type="dxa"/>
            <w:vAlign w:val="bottom"/>
          </w:tcPr>
          <w:p>
            <w:pPr>
              <w:ind w:left="380"/>
              <w:spacing w:after="0"/>
              <w:rPr>
                <w:sz w:val="20"/>
                <w:szCs w:val="20"/>
                <w:color w:val="auto"/>
              </w:rPr>
            </w:pPr>
            <w:r>
              <w:rPr>
                <w:rFonts w:ascii="Arial" w:cs="Arial" w:eastAsia="Arial" w:hAnsi="Arial"/>
                <w:sz w:val="16"/>
                <w:szCs w:val="16"/>
                <w:color w:val="auto"/>
              </w:rPr>
              <w:t>Employee benefit plans:</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620" w:type="dxa"/>
            <w:vAlign w:val="bottom"/>
            <w:shd w:val="clear" w:color="auto" w:fill="CCEEFF"/>
          </w:tcPr>
          <w:p>
            <w:pPr>
              <w:ind w:left="800"/>
              <w:spacing w:after="0"/>
              <w:rPr>
                <w:sz w:val="20"/>
                <w:szCs w:val="20"/>
                <w:color w:val="auto"/>
              </w:rPr>
            </w:pPr>
            <w:r>
              <w:rPr>
                <w:rFonts w:ascii="Arial" w:cs="Arial" w:eastAsia="Arial" w:hAnsi="Arial"/>
                <w:sz w:val="16"/>
                <w:szCs w:val="16"/>
                <w:color w:val="auto"/>
                <w:w w:val="99"/>
              </w:rPr>
              <w:t>Actuarial loss (net of tax benefit of $8,121 and $3,600 for the three months ended June 30, 2015</w:t>
            </w: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20" w:type="dxa"/>
            <w:vAlign w:val="bottom"/>
            <w:shd w:val="clear" w:color="auto" w:fill="CCEEFF"/>
          </w:tcPr>
          <w:p>
            <w:pPr>
              <w:ind w:left="1000"/>
              <w:spacing w:after="0"/>
              <w:rPr>
                <w:sz w:val="20"/>
                <w:szCs w:val="20"/>
                <w:color w:val="auto"/>
              </w:rPr>
            </w:pPr>
            <w:r>
              <w:rPr>
                <w:rFonts w:ascii="Arial" w:cs="Arial" w:eastAsia="Arial" w:hAnsi="Arial"/>
                <w:sz w:val="16"/>
                <w:szCs w:val="16"/>
                <w:color w:val="auto"/>
                <w:w w:val="95"/>
              </w:rPr>
              <w:t>and 2014, respectively, and $8,006 and $3,650 for the six months ended June 30, 2015 and 2014,</w:t>
            </w: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2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respectively)</w:t>
            </w: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(14,836)</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(6,389)</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(14,617)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(6,946)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620" w:type="dxa"/>
            <w:vAlign w:val="bottom"/>
          </w:tcPr>
          <w:p>
            <w:pPr>
              <w:ind w:left="800"/>
              <w:spacing w:after="0"/>
              <w:rPr>
                <w:sz w:val="20"/>
                <w:szCs w:val="20"/>
                <w:color w:val="auto"/>
              </w:rPr>
            </w:pPr>
            <w:r>
              <w:rPr>
                <w:rFonts w:ascii="Arial" w:cs="Arial" w:eastAsia="Arial" w:hAnsi="Arial"/>
                <w:sz w:val="16"/>
                <w:szCs w:val="16"/>
                <w:color w:val="auto"/>
              </w:rPr>
              <w:t>Adjustment for items reclassified to earnings (net of tax expense of $538 and $331 for the three</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20" w:type="dxa"/>
            <w:vAlign w:val="bottom"/>
          </w:tcPr>
          <w:p>
            <w:pPr>
              <w:ind w:left="1000"/>
              <w:spacing w:after="0"/>
              <w:rPr>
                <w:sz w:val="20"/>
                <w:szCs w:val="20"/>
                <w:color w:val="auto"/>
              </w:rPr>
            </w:pPr>
            <w:r>
              <w:rPr>
                <w:rFonts w:ascii="Arial" w:cs="Arial" w:eastAsia="Arial" w:hAnsi="Arial"/>
                <w:sz w:val="16"/>
                <w:szCs w:val="16"/>
                <w:color w:val="auto"/>
                <w:w w:val="99"/>
              </w:rPr>
              <w:t>months ended June 30, 2015 and 2014, respectively, and $1,101 and $863 for the six months</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Pr>
          <w:p>
            <w:pPr>
              <w:ind w:left="1000"/>
              <w:spacing w:after="0"/>
              <w:rPr>
                <w:sz w:val="20"/>
                <w:szCs w:val="20"/>
                <w:color w:val="auto"/>
              </w:rPr>
            </w:pPr>
            <w:r>
              <w:rPr>
                <w:rFonts w:ascii="Arial" w:cs="Arial" w:eastAsia="Arial" w:hAnsi="Arial"/>
                <w:sz w:val="16"/>
                <w:szCs w:val="16"/>
                <w:color w:val="auto"/>
              </w:rPr>
              <w:t>ended June 30, 2015 and 2014, respectively)</w:t>
            </w:r>
          </w:p>
        </w:tc>
        <w:tc>
          <w:tcPr>
            <w:tcW w:w="680" w:type="dxa"/>
            <w:vAlign w:val="bottom"/>
          </w:tcPr>
          <w:p>
            <w:pPr>
              <w:jc w:val="right"/>
              <w:spacing w:after="0"/>
              <w:rPr>
                <w:sz w:val="20"/>
                <w:szCs w:val="20"/>
                <w:color w:val="auto"/>
              </w:rPr>
            </w:pPr>
            <w:r>
              <w:rPr>
                <w:rFonts w:ascii="Arial" w:cs="Arial" w:eastAsia="Arial" w:hAnsi="Arial"/>
                <w:sz w:val="16"/>
                <w:szCs w:val="16"/>
                <w:color w:val="auto"/>
              </w:rPr>
              <w:t>1,190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6"/>
                <w:szCs w:val="16"/>
                <w:color w:val="auto"/>
              </w:rPr>
              <w:t>1,280</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2,376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COMPREHENSIVE INCOME (LOSS), NET OF TAX</w:t>
            </w: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(1,855)</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(562)</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(34,583)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COMPREHENSIVE INCOME</w:t>
            </w: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640" w:type="dxa"/>
            <w:vAlign w:val="bottom"/>
            <w:gridSpan w:val="2"/>
            <w:vMerge w:val="continue"/>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373,300</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6"/>
                <w:szCs w:val="16"/>
                <w:color w:val="auto"/>
              </w:rPr>
              <w:t>85,347</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403,218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177,421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LESS - COMPREHENSIVE INCOME ATTRIBUTABLE TO NONCONTROLLING INTERESTS</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693</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COMPREHENSIVE INCOME ATTRIBUTABLE TO LAZARD LTD</w:t>
            </w: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640" w:type="dxa"/>
            <w:vAlign w:val="bottom"/>
            <w:gridSpan w:val="2"/>
            <w:vMerge w:val="continue"/>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2"/>
              </w:rPr>
              <w:t>$ 372,258</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6"/>
                <w:szCs w:val="16"/>
                <w:color w:val="auto"/>
                <w:w w:val="89"/>
              </w:rPr>
              <w:t>$ 84,654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395,483</w:t>
            </w:r>
          </w:p>
        </w:tc>
        <w:tc>
          <w:tcPr>
            <w:tcW w:w="18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172,117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440" w:right="23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LAZARD LTD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SIX MONTH PERIODS ENDED JUNE 30, 2015 AND 2014</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93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43"/>
              <w:spacing w:after="0"/>
              <w:rPr>
                <w:sz w:val="20"/>
                <w:szCs w:val="20"/>
                <w:color w:val="auto"/>
              </w:rPr>
            </w:pPr>
            <w:r>
              <w:rPr>
                <w:rFonts w:ascii="Arial" w:cs="Arial" w:eastAsia="Arial" w:hAnsi="Arial"/>
                <w:sz w:val="13"/>
                <w:szCs w:val="13"/>
                <w:b w:val="1"/>
                <w:bCs w:val="1"/>
                <w:color w:val="auto"/>
              </w:rPr>
              <w:t>June 30,</w:t>
            </w:r>
          </w:p>
        </w:tc>
        <w:tc>
          <w:tcPr>
            <w:tcW w:w="6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19"/>
              <w:spacing w:after="0" w:line="132" w:lineRule="exact"/>
              <w:rPr>
                <w:sz w:val="20"/>
                <w:szCs w:val="20"/>
                <w:color w:val="auto"/>
              </w:rPr>
            </w:pPr>
            <w:r>
              <w:rPr>
                <w:rFonts w:ascii="Arial" w:cs="Arial" w:eastAsia="Arial" w:hAnsi="Arial"/>
                <w:sz w:val="13"/>
                <w:szCs w:val="13"/>
                <w:b w:val="1"/>
                <w:bCs w:val="1"/>
                <w:color w:val="auto"/>
              </w:rPr>
              <w:t>2015</w:t>
            </w:r>
          </w:p>
        </w:tc>
        <w:tc>
          <w:tcPr>
            <w:tcW w:w="3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58"/>
              <w:spacing w:after="0" w:line="132" w:lineRule="exact"/>
              <w:rPr>
                <w:sz w:val="20"/>
                <w:szCs w:val="20"/>
                <w:color w:val="auto"/>
              </w:rPr>
            </w:pPr>
            <w:r>
              <w:rPr>
                <w:rFonts w:ascii="Arial" w:cs="Arial" w:eastAsia="Arial" w:hAnsi="Arial"/>
                <w:sz w:val="13"/>
                <w:szCs w:val="13"/>
                <w:b w:val="1"/>
                <w:bCs w:val="1"/>
                <w:color w:val="auto"/>
              </w:rPr>
              <w:t>2014</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340" w:type="dxa"/>
            <w:vAlign w:val="bottom"/>
            <w:shd w:val="clear" w:color="auto" w:fill="CCEEFF"/>
          </w:tcPr>
          <w:p>
            <w:pPr>
              <w:spacing w:after="0" w:line="182" w:lineRule="exact"/>
              <w:rPr>
                <w:sz w:val="20"/>
                <w:szCs w:val="20"/>
                <w:color w:val="auto"/>
              </w:rPr>
            </w:pPr>
            <w:r>
              <w:rPr>
                <w:rFonts w:ascii="Arial" w:cs="Arial" w:eastAsia="Arial" w:hAnsi="Arial"/>
                <w:sz w:val="16"/>
                <w:szCs w:val="16"/>
                <w:b w:val="1"/>
                <w:bCs w:val="1"/>
                <w:color w:val="auto"/>
              </w:rPr>
              <w:t>CASH FLOWS FROM OPERATING ACTIVITIES:</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40" w:type="dxa"/>
            <w:vAlign w:val="bottom"/>
          </w:tcPr>
          <w:p>
            <w:pPr>
              <w:spacing w:after="0"/>
              <w:rPr>
                <w:sz w:val="20"/>
                <w:szCs w:val="20"/>
                <w:color w:val="auto"/>
              </w:rPr>
            </w:pPr>
            <w:r>
              <w:rPr>
                <w:rFonts w:ascii="Arial" w:cs="Arial" w:eastAsia="Arial" w:hAnsi="Arial"/>
                <w:sz w:val="16"/>
                <w:szCs w:val="16"/>
                <w:color w:val="auto"/>
              </w:rPr>
              <w:t>Net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437,801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171,338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provided by (used in) operating activities: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40" w:type="dxa"/>
            <w:vAlign w:val="bottom"/>
          </w:tcPr>
          <w:p>
            <w:pPr>
              <w:ind w:left="800"/>
              <w:spacing w:after="0"/>
              <w:rPr>
                <w:sz w:val="20"/>
                <w:szCs w:val="20"/>
                <w:color w:val="auto"/>
              </w:rPr>
            </w:pPr>
            <w:r>
              <w:rPr>
                <w:rFonts w:ascii="Arial" w:cs="Arial" w:eastAsia="Arial" w:hAnsi="Arial"/>
                <w:sz w:val="16"/>
                <w:szCs w:val="16"/>
                <w:color w:val="auto"/>
              </w:rPr>
              <w:t>Depreciation and amortization of property</w:t>
            </w:r>
          </w:p>
        </w:tc>
        <w:tc>
          <w:tcPr>
            <w:tcW w:w="120" w:type="dxa"/>
            <w:vAlign w:val="bottom"/>
          </w:tcPr>
          <w:p>
            <w:pPr>
              <w:spacing w:after="0"/>
              <w:rPr>
                <w:sz w:val="17"/>
                <w:szCs w:val="17"/>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15,900</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17,656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40" w:type="dxa"/>
            <w:vAlign w:val="bottom"/>
            <w:shd w:val="clear" w:color="auto" w:fill="CCEEFF"/>
          </w:tcPr>
          <w:p>
            <w:pPr>
              <w:ind w:left="800"/>
              <w:spacing w:after="0"/>
              <w:rPr>
                <w:sz w:val="20"/>
                <w:szCs w:val="20"/>
                <w:color w:val="auto"/>
              </w:rPr>
            </w:pPr>
            <w:r>
              <w:rPr>
                <w:rFonts w:ascii="Arial" w:cs="Arial" w:eastAsia="Arial" w:hAnsi="Arial"/>
                <w:sz w:val="16"/>
                <w:szCs w:val="16"/>
                <w:color w:val="auto"/>
              </w:rPr>
              <w:t>Amortization of deferred expenses and share-based incentive compensation</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171,397</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158,040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40" w:type="dxa"/>
            <w:vAlign w:val="bottom"/>
          </w:tcPr>
          <w:p>
            <w:pPr>
              <w:ind w:left="800"/>
              <w:spacing w:after="0"/>
              <w:rPr>
                <w:sz w:val="20"/>
                <w:szCs w:val="20"/>
                <w:color w:val="auto"/>
              </w:rPr>
            </w:pPr>
            <w:r>
              <w:rPr>
                <w:rFonts w:ascii="Arial" w:cs="Arial" w:eastAsia="Arial" w:hAnsi="Arial"/>
                <w:sz w:val="16"/>
                <w:szCs w:val="16"/>
                <w:color w:val="auto"/>
              </w:rPr>
              <w:t>Amortization of intangible assets related to acquisitions</w:t>
            </w:r>
          </w:p>
        </w:tc>
        <w:tc>
          <w:tcPr>
            <w:tcW w:w="120" w:type="dxa"/>
            <w:vAlign w:val="bottom"/>
          </w:tcPr>
          <w:p>
            <w:pPr>
              <w:spacing w:after="0"/>
              <w:rPr>
                <w:sz w:val="17"/>
                <w:szCs w:val="17"/>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2,890</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1,926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40" w:type="dxa"/>
            <w:vAlign w:val="bottom"/>
            <w:shd w:val="clear" w:color="auto" w:fill="CCEEFF"/>
          </w:tcPr>
          <w:p>
            <w:pPr>
              <w:ind w:left="800"/>
              <w:spacing w:after="0"/>
              <w:rPr>
                <w:sz w:val="20"/>
                <w:szCs w:val="20"/>
                <w:color w:val="auto"/>
              </w:rPr>
            </w:pPr>
            <w:r>
              <w:rPr>
                <w:rFonts w:ascii="Arial" w:cs="Arial" w:eastAsia="Arial" w:hAnsi="Arial"/>
                <w:sz w:val="16"/>
                <w:szCs w:val="16"/>
                <w:color w:val="auto"/>
              </w:rPr>
              <w:t>Deferred tax provision (benefit)</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w w:val="95"/>
              </w:rPr>
              <w:t>(1,195,319)</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40" w:type="dxa"/>
            <w:vAlign w:val="bottom"/>
          </w:tcPr>
          <w:p>
            <w:pPr>
              <w:ind w:left="800"/>
              <w:spacing w:after="0"/>
              <w:rPr>
                <w:sz w:val="20"/>
                <w:szCs w:val="20"/>
                <w:color w:val="auto"/>
              </w:rPr>
            </w:pPr>
            <w:r>
              <w:rPr>
                <w:rFonts w:ascii="Arial" w:cs="Arial" w:eastAsia="Arial" w:hAnsi="Arial"/>
                <w:sz w:val="16"/>
                <w:szCs w:val="16"/>
                <w:color w:val="auto"/>
              </w:rPr>
              <w:t>Provision pursuant to tax receivable agreement</w:t>
            </w:r>
          </w:p>
        </w:tc>
        <w:tc>
          <w:tcPr>
            <w:tcW w:w="120" w:type="dxa"/>
            <w:vAlign w:val="bottom"/>
          </w:tcPr>
          <w:p>
            <w:pPr>
              <w:spacing w:after="0"/>
              <w:rPr>
                <w:sz w:val="17"/>
                <w:szCs w:val="17"/>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968,483</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9,240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40" w:type="dxa"/>
            <w:vAlign w:val="bottom"/>
            <w:shd w:val="clear" w:color="auto" w:fill="CCEEFF"/>
          </w:tcPr>
          <w:p>
            <w:pPr>
              <w:ind w:left="800"/>
              <w:spacing w:after="0"/>
              <w:rPr>
                <w:sz w:val="20"/>
                <w:szCs w:val="20"/>
                <w:color w:val="auto"/>
              </w:rPr>
            </w:pPr>
            <w:r>
              <w:rPr>
                <w:rFonts w:ascii="Arial" w:cs="Arial" w:eastAsia="Arial" w:hAnsi="Arial"/>
                <w:sz w:val="16"/>
                <w:szCs w:val="16"/>
                <w:color w:val="auto"/>
              </w:rPr>
              <w:t>Loss on extinguishment of debt</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60,219</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40" w:type="dxa"/>
            <w:vAlign w:val="bottom"/>
          </w:tcPr>
          <w:p>
            <w:pPr>
              <w:ind w:left="800"/>
              <w:spacing w:after="0"/>
              <w:rPr>
                <w:sz w:val="20"/>
                <w:szCs w:val="20"/>
                <w:color w:val="auto"/>
              </w:rPr>
            </w:pPr>
            <w:r>
              <w:rPr>
                <w:rFonts w:ascii="Arial" w:cs="Arial" w:eastAsia="Arial" w:hAnsi="Arial"/>
                <w:sz w:val="16"/>
                <w:szCs w:val="16"/>
                <w:color w:val="auto"/>
              </w:rPr>
              <w:t>Gain on disposal of subsidiaries</w:t>
            </w:r>
          </w:p>
        </w:tc>
        <w:tc>
          <w:tcPr>
            <w:tcW w:w="12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(24,388)</w:t>
            </w:r>
          </w:p>
        </w:tc>
        <w:tc>
          <w:tcPr>
            <w:tcW w:w="12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(Increase) decrease in operating assets: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40" w:type="dxa"/>
            <w:vAlign w:val="bottom"/>
          </w:tcPr>
          <w:p>
            <w:pPr>
              <w:ind w:left="800"/>
              <w:spacing w:after="0"/>
              <w:rPr>
                <w:sz w:val="20"/>
                <w:szCs w:val="20"/>
                <w:color w:val="auto"/>
              </w:rPr>
            </w:pPr>
            <w:r>
              <w:rPr>
                <w:rFonts w:ascii="Arial" w:cs="Arial" w:eastAsia="Arial" w:hAnsi="Arial"/>
                <w:sz w:val="16"/>
                <w:szCs w:val="16"/>
                <w:color w:val="auto"/>
              </w:rPr>
              <w:t>Deposits with banks and short-term investments</w:t>
            </w:r>
          </w:p>
        </w:tc>
        <w:tc>
          <w:tcPr>
            <w:tcW w:w="12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(95,877)</w:t>
            </w:r>
          </w:p>
        </w:tc>
        <w:tc>
          <w:tcPr>
            <w:tcW w:w="12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(80,047)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40" w:type="dxa"/>
            <w:vAlign w:val="bottom"/>
            <w:shd w:val="clear" w:color="auto" w:fill="CCEEFF"/>
          </w:tcPr>
          <w:p>
            <w:pPr>
              <w:ind w:left="800"/>
              <w:spacing w:after="0"/>
              <w:rPr>
                <w:sz w:val="20"/>
                <w:szCs w:val="20"/>
                <w:color w:val="auto"/>
              </w:rPr>
            </w:pPr>
            <w:r>
              <w:rPr>
                <w:rFonts w:ascii="Arial" w:cs="Arial" w:eastAsia="Arial" w:hAnsi="Arial"/>
                <w:sz w:val="16"/>
                <w:szCs w:val="16"/>
                <w:color w:val="auto"/>
              </w:rPr>
              <w:t>Cash deposited with clearing organizations and other segregated cash</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8,438</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(5,331)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40" w:type="dxa"/>
            <w:vAlign w:val="bottom"/>
          </w:tcPr>
          <w:p>
            <w:pPr>
              <w:ind w:left="800"/>
              <w:spacing w:after="0"/>
              <w:rPr>
                <w:sz w:val="20"/>
                <w:szCs w:val="20"/>
                <w:color w:val="auto"/>
              </w:rPr>
            </w:pPr>
            <w:r>
              <w:rPr>
                <w:rFonts w:ascii="Arial" w:cs="Arial" w:eastAsia="Arial" w:hAnsi="Arial"/>
                <w:sz w:val="16"/>
                <w:szCs w:val="16"/>
                <w:color w:val="auto"/>
              </w:rPr>
              <w:t>Receivables-net</w:t>
            </w:r>
          </w:p>
        </w:tc>
        <w:tc>
          <w:tcPr>
            <w:tcW w:w="120" w:type="dxa"/>
            <w:vAlign w:val="bottom"/>
          </w:tcPr>
          <w:p>
            <w:pPr>
              <w:spacing w:after="0"/>
              <w:rPr>
                <w:sz w:val="17"/>
                <w:szCs w:val="17"/>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39,023</w:t>
            </w:r>
          </w:p>
        </w:tc>
        <w:tc>
          <w:tcPr>
            <w:tcW w:w="12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(29,483)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40" w:type="dxa"/>
            <w:vAlign w:val="bottom"/>
            <w:shd w:val="clear" w:color="auto" w:fill="CCEEFF"/>
          </w:tcPr>
          <w:p>
            <w:pPr>
              <w:ind w:left="800"/>
              <w:spacing w:after="0"/>
              <w:rPr>
                <w:sz w:val="20"/>
                <w:szCs w:val="20"/>
                <w:color w:val="auto"/>
              </w:rPr>
            </w:pPr>
            <w:r>
              <w:rPr>
                <w:rFonts w:ascii="Arial" w:cs="Arial" w:eastAsia="Arial" w:hAnsi="Arial"/>
                <w:sz w:val="16"/>
                <w:szCs w:val="16"/>
                <w:color w:val="auto"/>
              </w:rPr>
              <w:t>Investments</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52,674</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(60,399)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40" w:type="dxa"/>
            <w:vAlign w:val="bottom"/>
          </w:tcPr>
          <w:p>
            <w:pPr>
              <w:ind w:left="800"/>
              <w:spacing w:after="0"/>
              <w:rPr>
                <w:sz w:val="20"/>
                <w:szCs w:val="20"/>
                <w:color w:val="auto"/>
              </w:rPr>
            </w:pPr>
            <w:r>
              <w:rPr>
                <w:rFonts w:ascii="Arial" w:cs="Arial" w:eastAsia="Arial" w:hAnsi="Arial"/>
                <w:sz w:val="16"/>
                <w:szCs w:val="16"/>
                <w:color w:val="auto"/>
              </w:rPr>
              <w:t>Other assets</w:t>
            </w:r>
          </w:p>
        </w:tc>
        <w:tc>
          <w:tcPr>
            <w:tcW w:w="12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(97,621)</w:t>
            </w:r>
          </w:p>
        </w:tc>
        <w:tc>
          <w:tcPr>
            <w:tcW w:w="12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(94,490)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Increase (decrease) in operating liabilities: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40" w:type="dxa"/>
            <w:vAlign w:val="bottom"/>
          </w:tcPr>
          <w:p>
            <w:pPr>
              <w:ind w:left="800"/>
              <w:spacing w:after="0"/>
              <w:rPr>
                <w:sz w:val="20"/>
                <w:szCs w:val="20"/>
                <w:color w:val="auto"/>
              </w:rPr>
            </w:pPr>
            <w:r>
              <w:rPr>
                <w:rFonts w:ascii="Arial" w:cs="Arial" w:eastAsia="Arial" w:hAnsi="Arial"/>
                <w:sz w:val="16"/>
                <w:szCs w:val="16"/>
                <w:color w:val="auto"/>
              </w:rPr>
              <w:t>Deposits and other payables</w:t>
            </w:r>
          </w:p>
        </w:tc>
        <w:tc>
          <w:tcPr>
            <w:tcW w:w="120" w:type="dxa"/>
            <w:vAlign w:val="bottom"/>
          </w:tcPr>
          <w:p>
            <w:pPr>
              <w:spacing w:after="0"/>
              <w:rPr>
                <w:sz w:val="17"/>
                <w:szCs w:val="17"/>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81,574</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125,909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40" w:type="dxa"/>
            <w:vAlign w:val="bottom"/>
            <w:shd w:val="clear" w:color="auto" w:fill="CCEEFF"/>
          </w:tcPr>
          <w:p>
            <w:pPr>
              <w:ind w:left="800"/>
              <w:spacing w:after="0"/>
              <w:rPr>
                <w:sz w:val="20"/>
                <w:szCs w:val="20"/>
                <w:color w:val="auto"/>
              </w:rPr>
            </w:pPr>
            <w:r>
              <w:rPr>
                <w:rFonts w:ascii="Arial" w:cs="Arial" w:eastAsia="Arial" w:hAnsi="Arial"/>
                <w:sz w:val="16"/>
                <w:szCs w:val="16"/>
                <w:color w:val="auto"/>
              </w:rPr>
              <w:t>Accrued compensation and benefits and other liabilities</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(213,892)</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(86,991)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vMerge w:val="restart"/>
          </w:tcPr>
          <w:p>
            <w:pPr>
              <w:ind w:left="1200"/>
              <w:spacing w:after="0"/>
              <w:rPr>
                <w:sz w:val="20"/>
                <w:szCs w:val="20"/>
                <w:color w:val="auto"/>
              </w:rPr>
            </w:pPr>
            <w:r>
              <w:rPr>
                <w:rFonts w:ascii="Arial" w:cs="Arial" w:eastAsia="Arial" w:hAnsi="Arial"/>
                <w:sz w:val="16"/>
                <w:szCs w:val="16"/>
                <w:color w:val="auto"/>
              </w:rPr>
              <w:t>Net cash provided by operating activities</w:t>
            </w: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9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211,302</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129,642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40" w:type="dxa"/>
            <w:vAlign w:val="bottom"/>
          </w:tcPr>
          <w:p>
            <w:pPr>
              <w:ind w:left="380"/>
              <w:spacing w:after="0"/>
              <w:rPr>
                <w:sz w:val="20"/>
                <w:szCs w:val="20"/>
                <w:color w:val="auto"/>
              </w:rPr>
            </w:pPr>
            <w:r>
              <w:rPr>
                <w:rFonts w:ascii="Arial" w:cs="Arial" w:eastAsia="Arial" w:hAnsi="Arial"/>
                <w:sz w:val="16"/>
                <w:szCs w:val="16"/>
                <w:color w:val="auto"/>
              </w:rPr>
              <w:t>Additions to property</w:t>
            </w:r>
          </w:p>
        </w:tc>
        <w:tc>
          <w:tcPr>
            <w:tcW w:w="12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(13,438)</w:t>
            </w:r>
          </w:p>
        </w:tc>
        <w:tc>
          <w:tcPr>
            <w:tcW w:w="12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(5,830)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Disposals of property</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336</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vMerge w:val="restart"/>
          </w:tcPr>
          <w:p>
            <w:pPr>
              <w:ind w:left="1200"/>
              <w:spacing w:after="0"/>
              <w:rPr>
                <w:sz w:val="20"/>
                <w:szCs w:val="20"/>
                <w:color w:val="auto"/>
              </w:rPr>
            </w:pPr>
            <w:r>
              <w:rPr>
                <w:rFonts w:ascii="Arial" w:cs="Arial" w:eastAsia="Arial" w:hAnsi="Arial"/>
                <w:sz w:val="16"/>
                <w:szCs w:val="16"/>
                <w:color w:val="auto"/>
              </w:rPr>
              <w:t>Net cash used in investing activities</w:t>
            </w: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9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(13,102)</w:t>
            </w: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(5,480)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40" w:type="dxa"/>
            <w:vAlign w:val="bottom"/>
          </w:tcPr>
          <w:p>
            <w:pPr>
              <w:ind w:left="380"/>
              <w:spacing w:after="0"/>
              <w:rPr>
                <w:sz w:val="20"/>
                <w:szCs w:val="20"/>
                <w:color w:val="auto"/>
              </w:rPr>
            </w:pPr>
            <w:r>
              <w:rPr>
                <w:rFonts w:ascii="Arial" w:cs="Arial" w:eastAsia="Arial" w:hAnsi="Arial"/>
                <w:sz w:val="16"/>
                <w:szCs w:val="16"/>
                <w:color w:val="auto"/>
              </w:rPr>
              <w:t>Proceeds from:</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340" w:type="dxa"/>
            <w:vAlign w:val="bottom"/>
            <w:shd w:val="clear" w:color="auto" w:fill="CCEEFF"/>
          </w:tcPr>
          <w:p>
            <w:pPr>
              <w:ind w:left="800"/>
              <w:spacing w:after="0"/>
              <w:rPr>
                <w:sz w:val="20"/>
                <w:szCs w:val="20"/>
                <w:color w:val="auto"/>
              </w:rPr>
            </w:pPr>
            <w:r>
              <w:rPr>
                <w:rFonts w:ascii="Arial" w:cs="Arial" w:eastAsia="Arial" w:hAnsi="Arial"/>
                <w:sz w:val="16"/>
                <w:szCs w:val="16"/>
                <w:color w:val="auto"/>
              </w:rPr>
              <w:t>Contributions from noncontrolling interests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40" w:type="dxa"/>
            <w:vAlign w:val="bottom"/>
          </w:tcPr>
          <w:p>
            <w:pPr>
              <w:ind w:left="800"/>
              <w:spacing w:after="0"/>
              <w:rPr>
                <w:sz w:val="20"/>
                <w:szCs w:val="20"/>
                <w:color w:val="auto"/>
              </w:rPr>
            </w:pPr>
            <w:r>
              <w:rPr>
                <w:rFonts w:ascii="Arial" w:cs="Arial" w:eastAsia="Arial" w:hAnsi="Arial"/>
                <w:sz w:val="16"/>
                <w:szCs w:val="16"/>
                <w:color w:val="auto"/>
              </w:rPr>
              <w:t>Issuance of senior debt, net of expenses</w:t>
            </w:r>
          </w:p>
        </w:tc>
        <w:tc>
          <w:tcPr>
            <w:tcW w:w="120" w:type="dxa"/>
            <w:vAlign w:val="bottom"/>
          </w:tcPr>
          <w:p>
            <w:pPr>
              <w:spacing w:after="0"/>
              <w:rPr>
                <w:sz w:val="17"/>
                <w:szCs w:val="17"/>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396,272</w:t>
            </w:r>
          </w:p>
        </w:tc>
        <w:tc>
          <w:tcPr>
            <w:tcW w:w="12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40" w:type="dxa"/>
            <w:vAlign w:val="bottom"/>
            <w:shd w:val="clear" w:color="auto" w:fill="CCEEFF"/>
          </w:tcPr>
          <w:p>
            <w:pPr>
              <w:ind w:left="800"/>
              <w:spacing w:after="0"/>
              <w:rPr>
                <w:sz w:val="20"/>
                <w:szCs w:val="20"/>
                <w:color w:val="auto"/>
              </w:rPr>
            </w:pPr>
            <w:r>
              <w:rPr>
                <w:rFonts w:ascii="Arial" w:cs="Arial" w:eastAsia="Arial" w:hAnsi="Arial"/>
                <w:sz w:val="16"/>
                <w:szCs w:val="16"/>
                <w:color w:val="auto"/>
              </w:rPr>
              <w:t>Excess tax benefits from share-based incentive compensation</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9,516</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40" w:type="dxa"/>
            <w:vAlign w:val="bottom"/>
          </w:tcPr>
          <w:p>
            <w:pPr>
              <w:ind w:left="800"/>
              <w:spacing w:after="0"/>
              <w:rPr>
                <w:sz w:val="20"/>
                <w:szCs w:val="20"/>
                <w:color w:val="auto"/>
              </w:rPr>
            </w:pPr>
            <w:r>
              <w:rPr>
                <w:rFonts w:ascii="Arial" w:cs="Arial" w:eastAsia="Arial" w:hAnsi="Arial"/>
                <w:sz w:val="16"/>
                <w:szCs w:val="16"/>
                <w:color w:val="auto"/>
              </w:rPr>
              <w:t>Other financing activities</w:t>
            </w:r>
          </w:p>
        </w:tc>
        <w:tc>
          <w:tcPr>
            <w:tcW w:w="120" w:type="dxa"/>
            <w:vAlign w:val="bottom"/>
          </w:tcPr>
          <w:p>
            <w:pPr>
              <w:spacing w:after="0"/>
              <w:rPr>
                <w:sz w:val="17"/>
                <w:szCs w:val="17"/>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Payments for:</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40" w:type="dxa"/>
            <w:vAlign w:val="bottom"/>
          </w:tcPr>
          <w:p>
            <w:pPr>
              <w:ind w:left="800"/>
              <w:spacing w:after="0"/>
              <w:rPr>
                <w:sz w:val="20"/>
                <w:szCs w:val="20"/>
                <w:color w:val="auto"/>
              </w:rPr>
            </w:pPr>
            <w:r>
              <w:rPr>
                <w:rFonts w:ascii="Arial" w:cs="Arial" w:eastAsia="Arial" w:hAnsi="Arial"/>
                <w:sz w:val="16"/>
                <w:szCs w:val="16"/>
                <w:color w:val="auto"/>
              </w:rPr>
              <w:t>Senior debt</w:t>
            </w:r>
          </w:p>
        </w:tc>
        <w:tc>
          <w:tcPr>
            <w:tcW w:w="12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(509,098)</w:t>
            </w:r>
          </w:p>
        </w:tc>
        <w:tc>
          <w:tcPr>
            <w:tcW w:w="12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40" w:type="dxa"/>
            <w:vAlign w:val="bottom"/>
            <w:shd w:val="clear" w:color="auto" w:fill="CCEEFF"/>
          </w:tcPr>
          <w:p>
            <w:pPr>
              <w:ind w:left="800"/>
              <w:spacing w:after="0"/>
              <w:rPr>
                <w:sz w:val="20"/>
                <w:szCs w:val="20"/>
                <w:color w:val="auto"/>
              </w:rPr>
            </w:pPr>
            <w:r>
              <w:rPr>
                <w:rFonts w:ascii="Arial" w:cs="Arial" w:eastAsia="Arial" w:hAnsi="Arial"/>
                <w:sz w:val="16"/>
                <w:szCs w:val="16"/>
                <w:color w:val="auto"/>
              </w:rPr>
              <w:t>Capital lease obligations</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(1,019)</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40" w:type="dxa"/>
            <w:vAlign w:val="bottom"/>
          </w:tcPr>
          <w:p>
            <w:pPr>
              <w:ind w:left="800"/>
              <w:spacing w:after="0"/>
              <w:rPr>
                <w:sz w:val="20"/>
                <w:szCs w:val="20"/>
                <w:color w:val="auto"/>
              </w:rPr>
            </w:pPr>
            <w:r>
              <w:rPr>
                <w:rFonts w:ascii="Arial" w:cs="Arial" w:eastAsia="Arial" w:hAnsi="Arial"/>
                <w:sz w:val="16"/>
                <w:szCs w:val="16"/>
                <w:color w:val="auto"/>
              </w:rPr>
              <w:t>Distributions to noncontrolling interests</w:t>
            </w:r>
          </w:p>
        </w:tc>
        <w:tc>
          <w:tcPr>
            <w:tcW w:w="12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(11,940)</w:t>
            </w:r>
          </w:p>
        </w:tc>
        <w:tc>
          <w:tcPr>
            <w:tcW w:w="12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(5,907)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40" w:type="dxa"/>
            <w:vAlign w:val="bottom"/>
            <w:shd w:val="clear" w:color="auto" w:fill="CCEEFF"/>
          </w:tcPr>
          <w:p>
            <w:pPr>
              <w:ind w:left="800"/>
              <w:spacing w:after="0"/>
              <w:rPr>
                <w:sz w:val="20"/>
                <w:szCs w:val="20"/>
                <w:color w:val="auto"/>
              </w:rPr>
            </w:pPr>
            <w:r>
              <w:rPr>
                <w:rFonts w:ascii="Arial" w:cs="Arial" w:eastAsia="Arial" w:hAnsi="Arial"/>
                <w:sz w:val="16"/>
                <w:szCs w:val="16"/>
                <w:color w:val="auto"/>
              </w:rPr>
              <w:t>Purchase of Class A common stock</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(117,733)</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6"/>
              </w:rPr>
              <w:t>(142,317)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40" w:type="dxa"/>
            <w:vAlign w:val="bottom"/>
          </w:tcPr>
          <w:p>
            <w:pPr>
              <w:ind w:left="800"/>
              <w:spacing w:after="0"/>
              <w:rPr>
                <w:sz w:val="20"/>
                <w:szCs w:val="20"/>
                <w:color w:val="auto"/>
              </w:rPr>
            </w:pPr>
            <w:r>
              <w:rPr>
                <w:rFonts w:ascii="Arial" w:cs="Arial" w:eastAsia="Arial" w:hAnsi="Arial"/>
                <w:sz w:val="16"/>
                <w:szCs w:val="16"/>
                <w:color w:val="auto"/>
              </w:rPr>
              <w:t>Class A common stock dividends</w:t>
            </w:r>
          </w:p>
        </w:tc>
        <w:tc>
          <w:tcPr>
            <w:tcW w:w="12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(202,635)</w:t>
            </w:r>
          </w:p>
        </w:tc>
        <w:tc>
          <w:tcPr>
            <w:tcW w:w="12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(72,981)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40" w:type="dxa"/>
            <w:vAlign w:val="bottom"/>
            <w:shd w:val="clear" w:color="auto" w:fill="CCEEFF"/>
          </w:tcPr>
          <w:p>
            <w:pPr>
              <w:ind w:left="800"/>
              <w:spacing w:after="0"/>
              <w:rPr>
                <w:sz w:val="20"/>
                <w:szCs w:val="20"/>
                <w:color w:val="auto"/>
              </w:rPr>
            </w:pPr>
            <w:r>
              <w:rPr>
                <w:rFonts w:ascii="Arial" w:cs="Arial" w:eastAsia="Arial" w:hAnsi="Arial"/>
                <w:sz w:val="16"/>
                <w:szCs w:val="16"/>
                <w:color w:val="auto"/>
              </w:rPr>
              <w:t>Settlement of vested share-based incentive compensation</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(102,634)</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(82,526)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40" w:type="dxa"/>
            <w:vAlign w:val="bottom"/>
          </w:tcPr>
          <w:p>
            <w:pPr>
              <w:ind w:left="800"/>
              <w:spacing w:after="0"/>
              <w:rPr>
                <w:sz w:val="20"/>
                <w:szCs w:val="20"/>
                <w:color w:val="auto"/>
              </w:rPr>
            </w:pPr>
            <w:r>
              <w:rPr>
                <w:rFonts w:ascii="Arial" w:cs="Arial" w:eastAsia="Arial" w:hAnsi="Arial"/>
                <w:sz w:val="16"/>
                <w:szCs w:val="16"/>
                <w:color w:val="auto"/>
              </w:rPr>
              <w:t>Other financing activities</w:t>
            </w:r>
          </w:p>
        </w:tc>
        <w:tc>
          <w:tcPr>
            <w:tcW w:w="12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(1,624)</w:t>
            </w:r>
          </w:p>
        </w:tc>
        <w:tc>
          <w:tcPr>
            <w:tcW w:w="12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(1,426)</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9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934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Net cash used in financing activities</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(540,838)</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6"/>
              </w:rPr>
              <w:t>(283,963)</w:t>
            </w:r>
          </w:p>
        </w:tc>
        <w:tc>
          <w:tcPr>
            <w:tcW w:w="0" w:type="dxa"/>
            <w:vAlign w:val="bottom"/>
          </w:tcPr>
          <w:p>
            <w:pPr>
              <w:spacing w:after="0"/>
              <w:rPr>
                <w:sz w:val="1"/>
                <w:szCs w:val="1"/>
                <w:color w:val="auto"/>
              </w:rPr>
            </w:pPr>
          </w:p>
        </w:tc>
      </w:tr>
      <w:tr>
        <w:trPr>
          <w:trHeight w:val="20"/>
        </w:trPr>
        <w:tc>
          <w:tcPr>
            <w:tcW w:w="93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EFFECT OF EXCHANGE RATE CHANGES ON CASH</w:t>
            </w: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9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(22,770)</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2,810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DECREASE IN CASH AND CASH EQUIVALENTS</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(365,408)</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6"/>
              </w:rPr>
              <w:t>(156,991)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40" w:type="dxa"/>
            <w:vAlign w:val="bottom"/>
          </w:tcPr>
          <w:p>
            <w:pPr>
              <w:spacing w:after="0"/>
              <w:rPr>
                <w:sz w:val="20"/>
                <w:szCs w:val="20"/>
                <w:color w:val="auto"/>
              </w:rPr>
            </w:pPr>
            <w:r>
              <w:rPr>
                <w:rFonts w:ascii="Arial" w:cs="Arial" w:eastAsia="Arial" w:hAnsi="Arial"/>
                <w:sz w:val="16"/>
                <w:szCs w:val="16"/>
                <w:b w:val="1"/>
                <w:bCs w:val="1"/>
                <w:color w:val="auto"/>
              </w:rPr>
              <w:t>CASH AND CASH EQUIVALENTS—January 1</w:t>
            </w:r>
          </w:p>
        </w:tc>
        <w:tc>
          <w:tcPr>
            <w:tcW w:w="120" w:type="dxa"/>
            <w:vAlign w:val="bottom"/>
          </w:tcPr>
          <w:p>
            <w:pPr>
              <w:spacing w:after="0"/>
              <w:rPr>
                <w:sz w:val="17"/>
                <w:szCs w:val="17"/>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1,066,580</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841,482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9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AND CASH EQUIVALENTS—June 30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701,172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684,491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440" w:right="23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LAZARD LTD</w:t>
      </w:r>
    </w:p>
    <w:p>
      <w:pPr>
        <w:spacing w:after="0" w:line="94" w:lineRule="exact"/>
        <w:rPr>
          <w:sz w:val="20"/>
          <w:szCs w:val="20"/>
          <w:color w:val="auto"/>
        </w:rPr>
      </w:pPr>
    </w:p>
    <w:p>
      <w:pPr>
        <w:ind w:left="2180"/>
        <w:spacing w:after="0"/>
        <w:rPr>
          <w:sz w:val="20"/>
          <w:szCs w:val="20"/>
          <w:color w:val="auto"/>
        </w:rPr>
      </w:pPr>
      <w:r>
        <w:rPr>
          <w:rFonts w:ascii="Arial" w:cs="Arial" w:eastAsia="Arial" w:hAnsi="Arial"/>
          <w:sz w:val="16"/>
          <w:szCs w:val="16"/>
          <w:b w:val="1"/>
          <w:bCs w:val="1"/>
          <w:color w:val="auto"/>
        </w:rPr>
        <w:t>CONDENSED CONSOLIDATED STATEMENTS OF CHANGES IN STOCKHOLDERS’ EQUITY</w:t>
      </w:r>
    </w:p>
    <w:p>
      <w:pPr>
        <w:spacing w:after="0" w:line="29"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FOR THE SIX MONTH PERIOD ENDED JUNE 30, 2014</w:t>
      </w:r>
    </w:p>
    <w:p>
      <w:pPr>
        <w:spacing w:after="0" w:line="18"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(UNAUDITED)</w:t>
      </w:r>
    </w:p>
    <w:p>
      <w:pPr>
        <w:spacing w:after="0" w:line="18"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(dollars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tcPr>
          <w:p>
            <w:pPr>
              <w:jc w:val="center"/>
              <w:ind w:right="58"/>
              <w:spacing w:after="0"/>
              <w:rPr>
                <w:sz w:val="20"/>
                <w:szCs w:val="20"/>
                <w:color w:val="auto"/>
              </w:rPr>
            </w:pPr>
            <w:r>
              <w:rPr>
                <w:rFonts w:ascii="Arial" w:cs="Arial" w:eastAsia="Arial" w:hAnsi="Arial"/>
                <w:sz w:val="13"/>
                <w:szCs w:val="13"/>
                <w:b w:val="1"/>
                <w:bCs w:val="1"/>
                <w:color w:val="auto"/>
                <w:w w:val="88"/>
              </w:rPr>
              <w:t>Accumulated</w:t>
            </w:r>
          </w:p>
        </w:tc>
        <w:tc>
          <w:tcPr>
            <w:tcW w:w="1740" w:type="dxa"/>
            <w:vAlign w:val="bottom"/>
            <w:gridSpan w:val="5"/>
            <w:vMerge w:val="restart"/>
          </w:tcPr>
          <w:p>
            <w:pPr>
              <w:jc w:val="center"/>
              <w:ind w:right="58"/>
              <w:spacing w:after="0"/>
              <w:rPr>
                <w:sz w:val="20"/>
                <w:szCs w:val="20"/>
                <w:color w:val="auto"/>
              </w:rPr>
            </w:pPr>
            <w:r>
              <w:rPr>
                <w:rFonts w:ascii="Arial" w:cs="Arial" w:eastAsia="Arial" w:hAnsi="Arial"/>
                <w:sz w:val="13"/>
                <w:szCs w:val="13"/>
                <w:b w:val="1"/>
                <w:bCs w:val="1"/>
                <w:color w:val="auto"/>
                <w:w w:val="83"/>
              </w:rPr>
              <w:t>Class A</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vMerge w:val="restart"/>
          </w:tcPr>
          <w:p>
            <w:pPr>
              <w:jc w:val="center"/>
              <w:ind w:right="178"/>
              <w:spacing w:after="0" w:line="139" w:lineRule="exact"/>
              <w:rPr>
                <w:sz w:val="20"/>
                <w:szCs w:val="20"/>
                <w:color w:val="auto"/>
              </w:rPr>
            </w:pPr>
            <w:r>
              <w:rPr>
                <w:rFonts w:ascii="Arial" w:cs="Arial" w:eastAsia="Arial" w:hAnsi="Arial"/>
                <w:sz w:val="13"/>
                <w:szCs w:val="13"/>
                <w:b w:val="1"/>
                <w:bCs w:val="1"/>
                <w:color w:val="auto"/>
                <w:w w:val="92"/>
              </w:rPr>
              <w:t>Other</w:t>
            </w:r>
          </w:p>
        </w:tc>
        <w:tc>
          <w:tcPr>
            <w:tcW w:w="174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vMerge w:val="restart"/>
          </w:tcPr>
          <w:p>
            <w:pPr>
              <w:jc w:val="center"/>
              <w:ind w:right="200"/>
              <w:spacing w:after="0" w:line="139" w:lineRule="exact"/>
              <w:rPr>
                <w:sz w:val="20"/>
                <w:szCs w:val="20"/>
                <w:color w:val="auto"/>
              </w:rPr>
            </w:pPr>
            <w:r>
              <w:rPr>
                <w:rFonts w:ascii="Arial" w:cs="Arial" w:eastAsia="Arial" w:hAnsi="Arial"/>
                <w:sz w:val="13"/>
                <w:szCs w:val="13"/>
                <w:b w:val="1"/>
                <w:bCs w:val="1"/>
                <w:color w:val="auto"/>
                <w:w w:val="89"/>
              </w:rPr>
              <w:t>Total</w:t>
            </w: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700" w:type="dxa"/>
            <w:vAlign w:val="bottom"/>
            <w:gridSpan w:val="3"/>
            <w:vMerge w:val="restart"/>
          </w:tcPr>
          <w:p>
            <w:pPr>
              <w:jc w:val="right"/>
              <w:spacing w:after="0" w:line="139" w:lineRule="exact"/>
              <w:rPr>
                <w:sz w:val="20"/>
                <w:szCs w:val="20"/>
                <w:color w:val="auto"/>
              </w:rPr>
            </w:pPr>
            <w:r>
              <w:rPr>
                <w:rFonts w:ascii="Arial" w:cs="Arial" w:eastAsia="Arial" w:hAnsi="Arial"/>
                <w:sz w:val="13"/>
                <w:szCs w:val="13"/>
                <w:b w:val="1"/>
                <w:bCs w:val="1"/>
                <w:color w:val="auto"/>
              </w:rPr>
              <w:t>Series A</w:t>
            </w: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740" w:type="dxa"/>
            <w:vAlign w:val="bottom"/>
            <w:gridSpan w:val="5"/>
            <w:vMerge w:val="restart"/>
          </w:tcPr>
          <w:p>
            <w:pPr>
              <w:jc w:val="center"/>
              <w:ind w:right="58"/>
              <w:spacing w:after="0" w:line="139" w:lineRule="exact"/>
              <w:rPr>
                <w:sz w:val="20"/>
                <w:szCs w:val="20"/>
                <w:color w:val="auto"/>
              </w:rPr>
            </w:pPr>
            <w:r>
              <w:rPr>
                <w:rFonts w:ascii="Arial" w:cs="Arial" w:eastAsia="Arial" w:hAnsi="Arial"/>
                <w:sz w:val="13"/>
                <w:szCs w:val="13"/>
                <w:b w:val="1"/>
                <w:bCs w:val="1"/>
                <w:color w:val="auto"/>
                <w:w w:val="88"/>
              </w:rPr>
              <w:t>Common Stock</w:t>
            </w:r>
          </w:p>
        </w:tc>
        <w:tc>
          <w:tcPr>
            <w:tcW w:w="1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gridSpan w:val="2"/>
            <w:vMerge w:val="restart"/>
          </w:tcPr>
          <w:p>
            <w:pPr>
              <w:jc w:val="center"/>
              <w:ind w:right="140"/>
              <w:spacing w:after="0" w:line="139" w:lineRule="exact"/>
              <w:rPr>
                <w:sz w:val="20"/>
                <w:szCs w:val="20"/>
                <w:color w:val="auto"/>
              </w:rPr>
            </w:pPr>
            <w:r>
              <w:rPr>
                <w:rFonts w:ascii="Arial" w:cs="Arial" w:eastAsia="Arial" w:hAnsi="Arial"/>
                <w:sz w:val="13"/>
                <w:szCs w:val="13"/>
                <w:b w:val="1"/>
                <w:bCs w:val="1"/>
                <w:color w:val="auto"/>
                <w:w w:val="91"/>
              </w:rPr>
              <w:t>Additional</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gridSpan w:val="3"/>
            <w:vMerge w:val="restart"/>
          </w:tcPr>
          <w:p>
            <w:pPr>
              <w:jc w:val="center"/>
              <w:ind w:right="58"/>
              <w:spacing w:after="0" w:line="139" w:lineRule="exact"/>
              <w:rPr>
                <w:sz w:val="20"/>
                <w:szCs w:val="20"/>
                <w:color w:val="auto"/>
              </w:rPr>
            </w:pPr>
            <w:r>
              <w:rPr>
                <w:rFonts w:ascii="Arial" w:cs="Arial" w:eastAsia="Arial" w:hAnsi="Arial"/>
                <w:sz w:val="13"/>
                <w:szCs w:val="13"/>
                <w:b w:val="1"/>
                <w:bCs w:val="1"/>
                <w:color w:val="auto"/>
                <w:w w:val="86"/>
              </w:rPr>
              <w:t>Comprehensive</w:t>
            </w:r>
          </w:p>
        </w:tc>
        <w:tc>
          <w:tcPr>
            <w:tcW w:w="1740" w:type="dxa"/>
            <w:vAlign w:val="bottom"/>
            <w:gridSpan w:val="5"/>
            <w:vMerge w:val="continue"/>
          </w:tcPr>
          <w:p>
            <w:pPr>
              <w:spacing w:after="0"/>
              <w:rPr>
                <w:sz w:val="7"/>
                <w:szCs w:val="7"/>
                <w:color w:val="auto"/>
              </w:rPr>
            </w:pPr>
          </w:p>
        </w:tc>
        <w:tc>
          <w:tcPr>
            <w:tcW w:w="840" w:type="dxa"/>
            <w:vAlign w:val="bottom"/>
            <w:gridSpan w:val="3"/>
            <w:vMerge w:val="restart"/>
          </w:tcPr>
          <w:p>
            <w:pPr>
              <w:jc w:val="center"/>
              <w:ind w:right="100"/>
              <w:spacing w:after="0" w:line="139" w:lineRule="exact"/>
              <w:rPr>
                <w:sz w:val="20"/>
                <w:szCs w:val="20"/>
                <w:color w:val="auto"/>
              </w:rPr>
            </w:pPr>
            <w:r>
              <w:rPr>
                <w:rFonts w:ascii="Arial" w:cs="Arial" w:eastAsia="Arial" w:hAnsi="Arial"/>
                <w:sz w:val="13"/>
                <w:szCs w:val="13"/>
                <w:b w:val="1"/>
                <w:bCs w:val="1"/>
                <w:color w:val="auto"/>
                <w:w w:val="94"/>
              </w:rPr>
              <w:t>Lazard Ltd</w:t>
            </w: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gridSpan w:val="2"/>
            <w:vMerge w:val="restart"/>
          </w:tcPr>
          <w:p>
            <w:pPr>
              <w:jc w:val="right"/>
              <w:ind w:right="340"/>
              <w:spacing w:after="0" w:line="13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60" w:type="dxa"/>
            <w:vAlign w:val="bottom"/>
            <w:gridSpan w:val="4"/>
            <w:vMerge w:val="restart"/>
          </w:tcPr>
          <w:p>
            <w:pPr>
              <w:jc w:val="right"/>
              <w:spacing w:after="0" w:line="132" w:lineRule="exact"/>
              <w:rPr>
                <w:sz w:val="20"/>
                <w:szCs w:val="20"/>
                <w:color w:val="auto"/>
              </w:rPr>
            </w:pPr>
            <w:r>
              <w:rPr>
                <w:rFonts w:ascii="Arial" w:cs="Arial" w:eastAsia="Arial" w:hAnsi="Arial"/>
                <w:sz w:val="13"/>
                <w:szCs w:val="13"/>
                <w:b w:val="1"/>
                <w:bCs w:val="1"/>
                <w:color w:val="auto"/>
                <w:w w:val="86"/>
              </w:rPr>
              <w:t>Preferred Stock</w:t>
            </w:r>
          </w:p>
        </w:tc>
        <w:tc>
          <w:tcPr>
            <w:tcW w:w="140" w:type="dxa"/>
            <w:vAlign w:val="bottom"/>
          </w:tcPr>
          <w:p>
            <w:pPr>
              <w:spacing w:after="0"/>
              <w:rPr>
                <w:sz w:val="4"/>
                <w:szCs w:val="4"/>
                <w:color w:val="auto"/>
              </w:rPr>
            </w:pPr>
          </w:p>
        </w:tc>
        <w:tc>
          <w:tcPr>
            <w:tcW w:w="1460" w:type="dxa"/>
            <w:vAlign w:val="bottom"/>
            <w:gridSpan w:val="3"/>
            <w:vMerge w:val="restart"/>
          </w:tcPr>
          <w:p>
            <w:pPr>
              <w:jc w:val="right"/>
              <w:ind w:right="238"/>
              <w:spacing w:after="0" w:line="132" w:lineRule="exact"/>
              <w:rPr>
                <w:sz w:val="20"/>
                <w:szCs w:val="20"/>
                <w:color w:val="auto"/>
              </w:rPr>
            </w:pPr>
            <w:r>
              <w:rPr>
                <w:rFonts w:ascii="Arial" w:cs="Arial" w:eastAsia="Arial" w:hAnsi="Arial"/>
                <w:sz w:val="13"/>
                <w:szCs w:val="13"/>
                <w:b w:val="1"/>
                <w:bCs w:val="1"/>
                <w:color w:val="auto"/>
              </w:rPr>
              <w:t>Common Stock</w:t>
            </w: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1600" w:type="dxa"/>
            <w:vAlign w:val="bottom"/>
            <w:gridSpan w:val="4"/>
            <w:vMerge w:val="restart"/>
          </w:tcPr>
          <w:p>
            <w:pPr>
              <w:jc w:val="center"/>
              <w:spacing w:after="0" w:line="132" w:lineRule="exact"/>
              <w:rPr>
                <w:sz w:val="20"/>
                <w:szCs w:val="20"/>
                <w:color w:val="auto"/>
              </w:rPr>
            </w:pPr>
            <w:r>
              <w:rPr>
                <w:rFonts w:ascii="Arial" w:cs="Arial" w:eastAsia="Arial" w:hAnsi="Arial"/>
                <w:sz w:val="13"/>
                <w:szCs w:val="13"/>
                <w:b w:val="1"/>
                <w:bCs w:val="1"/>
                <w:color w:val="auto"/>
                <w:w w:val="88"/>
              </w:rPr>
              <w:t>Held By Subsidiaries</w:t>
            </w:r>
          </w:p>
        </w:tc>
        <w:tc>
          <w:tcPr>
            <w:tcW w:w="14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60" w:type="dxa"/>
            <w:vAlign w:val="bottom"/>
            <w:tcBorders>
              <w:bottom w:val="single" w:sz="8" w:color="auto"/>
            </w:tcBorders>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tcBorders>
              <w:bottom w:val="single" w:sz="8" w:color="auto"/>
            </w:tcBorders>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6"/>
              </w:rPr>
              <w:t>Paid-In-</w:t>
            </w:r>
          </w:p>
        </w:tc>
        <w:tc>
          <w:tcPr>
            <w:tcW w:w="76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w w:val="94"/>
              </w:rPr>
              <w:t>Retained</w:t>
            </w:r>
          </w:p>
        </w:tc>
        <w:tc>
          <w:tcPr>
            <w:tcW w:w="980" w:type="dxa"/>
            <w:vAlign w:val="bottom"/>
            <w:gridSpan w:val="3"/>
          </w:tcPr>
          <w:p>
            <w:pPr>
              <w:jc w:val="center"/>
              <w:ind w:right="58"/>
              <w:spacing w:after="0" w:line="119" w:lineRule="exact"/>
              <w:rPr>
                <w:sz w:val="20"/>
                <w:szCs w:val="20"/>
                <w:color w:val="auto"/>
              </w:rPr>
            </w:pPr>
            <w:r>
              <w:rPr>
                <w:rFonts w:ascii="Arial" w:cs="Arial" w:eastAsia="Arial" w:hAnsi="Arial"/>
                <w:sz w:val="13"/>
                <w:szCs w:val="13"/>
                <w:b w:val="1"/>
                <w:bCs w:val="1"/>
                <w:color w:val="auto"/>
                <w:w w:val="87"/>
              </w:rPr>
              <w:t>Income (Loss),</w:t>
            </w:r>
          </w:p>
        </w:tc>
        <w:tc>
          <w:tcPr>
            <w:tcW w:w="1600" w:type="dxa"/>
            <w:vAlign w:val="bottom"/>
            <w:tcBorders>
              <w:bottom w:val="single" w:sz="8" w:color="auto"/>
            </w:tcBorders>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86"/>
              </w:rPr>
              <w:t>Stockholders’</w:t>
            </w:r>
          </w:p>
        </w:tc>
        <w:tc>
          <w:tcPr>
            <w:tcW w:w="40" w:type="dxa"/>
            <w:vAlign w:val="bottom"/>
          </w:tcPr>
          <w:p>
            <w:pPr>
              <w:spacing w:after="0"/>
              <w:rPr>
                <w:sz w:val="10"/>
                <w:szCs w:val="10"/>
                <w:color w:val="auto"/>
              </w:rPr>
            </w:pPr>
          </w:p>
        </w:tc>
        <w:tc>
          <w:tcPr>
            <w:tcW w:w="9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w w:val="95"/>
              </w:rPr>
              <w:t>Noncontrolling</w:t>
            </w:r>
          </w:p>
        </w:tc>
        <w:tc>
          <w:tcPr>
            <w:tcW w:w="40" w:type="dxa"/>
            <w:vAlign w:val="bottom"/>
          </w:tcPr>
          <w:p>
            <w:pPr>
              <w:spacing w:after="0"/>
              <w:rPr>
                <w:sz w:val="10"/>
                <w:szCs w:val="10"/>
                <w:color w:val="auto"/>
              </w:rPr>
            </w:pPr>
          </w:p>
        </w:tc>
        <w:tc>
          <w:tcPr>
            <w:tcW w:w="8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w w:val="92"/>
              </w:rPr>
              <w:t>Shares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jc w:val="right"/>
              <w:ind w:right="4"/>
              <w:spacing w:after="0"/>
              <w:rPr>
                <w:sz w:val="20"/>
                <w:szCs w:val="20"/>
                <w:color w:val="auto"/>
              </w:rPr>
            </w:pPr>
            <w:r>
              <w:rPr>
                <w:rFonts w:ascii="Arial" w:cs="Arial" w:eastAsia="Arial" w:hAnsi="Arial"/>
                <w:sz w:val="13"/>
                <w:szCs w:val="13"/>
                <w:b w:val="1"/>
                <w:bCs w:val="1"/>
                <w:color w:val="auto"/>
                <w:w w:val="82"/>
              </w:rPr>
              <w:t>$</w:t>
            </w:r>
          </w:p>
        </w:tc>
        <w:tc>
          <w:tcPr>
            <w:tcW w:w="140" w:type="dxa"/>
            <w:vAlign w:val="bottom"/>
          </w:tcPr>
          <w:p>
            <w:pPr>
              <w:spacing w:after="0"/>
              <w:rPr>
                <w:sz w:val="13"/>
                <w:szCs w:val="13"/>
                <w:color w:val="auto"/>
              </w:rPr>
            </w:pPr>
          </w:p>
        </w:tc>
        <w:tc>
          <w:tcPr>
            <w:tcW w:w="860" w:type="dxa"/>
            <w:vAlign w:val="bottom"/>
          </w:tcPr>
          <w:p>
            <w:pPr>
              <w:jc w:val="right"/>
              <w:ind w:right="107"/>
              <w:spacing w:after="0"/>
              <w:rPr>
                <w:sz w:val="20"/>
                <w:szCs w:val="20"/>
                <w:color w:val="auto"/>
              </w:rPr>
            </w:pPr>
            <w:r>
              <w:rPr>
                <w:rFonts w:ascii="Arial" w:cs="Arial" w:eastAsia="Arial" w:hAnsi="Arial"/>
                <w:sz w:val="13"/>
                <w:szCs w:val="13"/>
                <w:b w:val="1"/>
                <w:bCs w:val="1"/>
                <w:color w:val="auto"/>
              </w:rPr>
              <w:t>Shares(*)</w:t>
            </w:r>
          </w:p>
        </w:tc>
        <w:tc>
          <w:tcPr>
            <w:tcW w:w="600" w:type="dxa"/>
            <w:vAlign w:val="bottom"/>
            <w:gridSpan w:val="2"/>
          </w:tcPr>
          <w:p>
            <w:pPr>
              <w:jc w:val="right"/>
              <w:ind w:right="118"/>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Capital</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6"/>
              </w:rPr>
              <w:t>Earnings</w:t>
            </w:r>
          </w:p>
        </w:tc>
        <w:tc>
          <w:tcPr>
            <w:tcW w:w="120" w:type="dxa"/>
            <w:vAlign w:val="bottom"/>
          </w:tcPr>
          <w:p>
            <w:pPr>
              <w:spacing w:after="0"/>
              <w:rPr>
                <w:sz w:val="13"/>
                <w:szCs w:val="13"/>
                <w:color w:val="auto"/>
              </w:rPr>
            </w:pPr>
          </w:p>
        </w:tc>
        <w:tc>
          <w:tcPr>
            <w:tcW w:w="860" w:type="dxa"/>
            <w:vAlign w:val="bottom"/>
            <w:gridSpan w:val="2"/>
          </w:tcPr>
          <w:p>
            <w:pPr>
              <w:jc w:val="center"/>
              <w:ind w:right="178"/>
              <w:spacing w:after="0"/>
              <w:rPr>
                <w:sz w:val="20"/>
                <w:szCs w:val="20"/>
                <w:color w:val="auto"/>
              </w:rPr>
            </w:pPr>
            <w:r>
              <w:rPr>
                <w:rFonts w:ascii="Arial" w:cs="Arial" w:eastAsia="Arial" w:hAnsi="Arial"/>
                <w:sz w:val="13"/>
                <w:szCs w:val="13"/>
                <w:b w:val="1"/>
                <w:bCs w:val="1"/>
                <w:color w:val="auto"/>
                <w:w w:val="89"/>
              </w:rPr>
              <w:t>Net of Tax</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Shares</w:t>
            </w:r>
          </w:p>
        </w:tc>
        <w:tc>
          <w:tcPr>
            <w:tcW w:w="720" w:type="dxa"/>
            <w:vAlign w:val="bottom"/>
            <w:gridSpan w:val="2"/>
          </w:tcPr>
          <w:p>
            <w:pPr>
              <w:jc w:val="right"/>
              <w:ind w:right="218"/>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Equity</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2"/>
              </w:rPr>
              <w:t>Interests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w w:val="92"/>
                <w:shd w:val="clear" w:color="auto" w:fill="CCEEFF"/>
              </w:rPr>
              <w:t>Balance – January 1, 2014</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shd w:val="clear" w:color="auto" w:fill="CCEEFF"/>
              </w:rPr>
              <w:t>7,921</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shd w:val="clear" w:color="auto" w:fill="CCEEFF"/>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shd w:val="clear" w:color="auto" w:fill="CCEEFF"/>
              </w:rPr>
              <w:t>–</w:t>
            </w:r>
          </w:p>
        </w:tc>
        <w:tc>
          <w:tcPr>
            <w:tcW w:w="1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4"/>
                <w:shd w:val="clear" w:color="auto" w:fill="CCEEFF"/>
              </w:rPr>
              <w:t>129,056,082</w:t>
            </w:r>
          </w:p>
        </w:tc>
        <w:tc>
          <w:tcPr>
            <w:tcW w:w="1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shd w:val="clear" w:color="auto" w:fill="CCEEFF"/>
              </w:rPr>
              <w:t>$1,291</w:t>
            </w: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5"/>
                <w:shd w:val="clear" w:color="auto" w:fill="CCEEFF"/>
              </w:rPr>
              <w:t>$ 737,899</w:t>
            </w:r>
          </w:p>
        </w:tc>
        <w:tc>
          <w:tcPr>
            <w:tcW w:w="14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shd w:val="clear" w:color="auto" w:fill="CCEEFF"/>
              </w:rPr>
              <w:t>$203,236</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shd w:val="clear" w:color="auto" w:fill="CCEEFF"/>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shd w:val="clear" w:color="auto" w:fill="CCEEFF"/>
              </w:rPr>
              <w:t>(133,004)</w:t>
            </w:r>
          </w:p>
        </w:tc>
        <w:tc>
          <w:tcPr>
            <w:tcW w:w="1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shd w:val="clear" w:color="auto" w:fill="CCEEFF"/>
              </w:rPr>
              <w:t>8,317,065</w:t>
            </w: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5"/>
                <w:shd w:val="clear" w:color="auto" w:fill="CCEEFF"/>
              </w:rPr>
              <w:t>$(249,213)</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shd w:val="clear" w:color="auto" w:fill="CCEEFF"/>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shd w:val="clear" w:color="auto" w:fill="CCEEFF"/>
              </w:rPr>
              <w:t>560,209</w:t>
            </w: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shd w:val="clear" w:color="auto" w:fill="CCEEFF"/>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shd w:val="clear" w:color="auto" w:fill="CCEEFF"/>
              </w:rPr>
              <w:t>69,789</w:t>
            </w: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shd w:val="clear" w:color="auto" w:fill="CCEEFF"/>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shd w:val="clear" w:color="auto" w:fill="CCEEFF"/>
              </w:rPr>
              <w:t>629,998</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1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6"/>
                <w:szCs w:val="16"/>
                <w:color w:val="auto"/>
              </w:rPr>
              <w:t>Comprehensive income:</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6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166,034</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166,034</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5,304</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171,338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income - net of tax</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6,083</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6,083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860" w:type="dxa"/>
            <w:vAlign w:val="bottom"/>
          </w:tcPr>
          <w:p>
            <w:pPr>
              <w:spacing w:after="0"/>
              <w:rPr>
                <w:sz w:val="20"/>
                <w:szCs w:val="20"/>
                <w:color w:val="auto"/>
              </w:rPr>
            </w:pPr>
            <w:r>
              <w:rPr>
                <w:rFonts w:ascii="Arial" w:cs="Arial" w:eastAsia="Arial" w:hAnsi="Arial"/>
                <w:sz w:val="16"/>
                <w:szCs w:val="16"/>
                <w:color w:val="auto"/>
              </w:rPr>
              <w:t>Amortization of share-</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60" w:type="dxa"/>
            <w:vAlign w:val="bottom"/>
          </w:tcPr>
          <w:p>
            <w:pPr>
              <w:ind w:left="180"/>
              <w:spacing w:after="0"/>
              <w:rPr>
                <w:sz w:val="20"/>
                <w:szCs w:val="20"/>
                <w:color w:val="auto"/>
              </w:rPr>
            </w:pPr>
            <w:r>
              <w:rPr>
                <w:rFonts w:ascii="Arial" w:cs="Arial" w:eastAsia="Arial" w:hAnsi="Arial"/>
                <w:sz w:val="16"/>
                <w:szCs w:val="16"/>
                <w:color w:val="auto"/>
              </w:rPr>
              <w:t>based incentive</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60" w:type="dxa"/>
            <w:vAlign w:val="bottom"/>
          </w:tcPr>
          <w:p>
            <w:pPr>
              <w:ind w:left="180"/>
              <w:spacing w:after="0"/>
              <w:rPr>
                <w:sz w:val="20"/>
                <w:szCs w:val="20"/>
                <w:color w:val="auto"/>
              </w:rPr>
            </w:pPr>
            <w:r>
              <w:rPr>
                <w:rFonts w:ascii="Arial" w:cs="Arial" w:eastAsia="Arial" w:hAnsi="Arial"/>
                <w:sz w:val="16"/>
                <w:szCs w:val="16"/>
                <w:color w:val="auto"/>
              </w:rPr>
              <w:t>compensation</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6"/>
                <w:szCs w:val="16"/>
                <w:color w:val="auto"/>
              </w:rPr>
              <w:t>112,308</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112,308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112,308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6"/>
                <w:szCs w:val="16"/>
                <w:color w:val="auto"/>
              </w:rPr>
              <w:t>Dividend-equivalents</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9,387</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(10,813)</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(1,426)</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(1,426)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860" w:type="dxa"/>
            <w:vAlign w:val="bottom"/>
          </w:tcPr>
          <w:p>
            <w:pPr>
              <w:spacing w:after="0"/>
              <w:rPr>
                <w:sz w:val="20"/>
                <w:szCs w:val="20"/>
                <w:color w:val="auto"/>
              </w:rPr>
            </w:pPr>
            <w:r>
              <w:rPr>
                <w:rFonts w:ascii="Arial" w:cs="Arial" w:eastAsia="Arial" w:hAnsi="Arial"/>
                <w:sz w:val="16"/>
                <w:szCs w:val="16"/>
                <w:color w:val="auto"/>
              </w:rPr>
              <w:t>Class A common stock</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60" w:type="dxa"/>
            <w:vAlign w:val="bottom"/>
          </w:tcPr>
          <w:p>
            <w:pPr>
              <w:ind w:left="180"/>
              <w:spacing w:after="0"/>
              <w:rPr>
                <w:sz w:val="20"/>
                <w:szCs w:val="20"/>
                <w:color w:val="auto"/>
              </w:rPr>
            </w:pPr>
            <w:r>
              <w:rPr>
                <w:rFonts w:ascii="Arial" w:cs="Arial" w:eastAsia="Arial" w:hAnsi="Arial"/>
                <w:sz w:val="16"/>
                <w:szCs w:val="16"/>
                <w:color w:val="auto"/>
              </w:rPr>
              <w:t>dividends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(72,981)</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(72,981)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(72,981)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6"/>
                <w:szCs w:val="16"/>
                <w:color w:val="auto"/>
              </w:rPr>
              <w:t>Purchase of Class A</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common stock</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4,114,206</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(192,657)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6"/>
              </w:rPr>
              <w:t>(192,657)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9"/>
              </w:rPr>
              <w:t>(192,657)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860" w:type="dxa"/>
            <w:vAlign w:val="bottom"/>
          </w:tcPr>
          <w:p>
            <w:pPr>
              <w:spacing w:after="0"/>
              <w:rPr>
                <w:sz w:val="20"/>
                <w:szCs w:val="20"/>
                <w:color w:val="auto"/>
              </w:rPr>
            </w:pPr>
            <w:r>
              <w:rPr>
                <w:rFonts w:ascii="Arial" w:cs="Arial" w:eastAsia="Arial" w:hAnsi="Arial"/>
                <w:sz w:val="16"/>
                <w:szCs w:val="16"/>
                <w:color w:val="auto"/>
              </w:rPr>
              <w:t>Delivery of Class A</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60" w:type="dxa"/>
            <w:vAlign w:val="bottom"/>
          </w:tcPr>
          <w:p>
            <w:pPr>
              <w:ind w:left="180"/>
              <w:spacing w:after="0"/>
              <w:rPr>
                <w:sz w:val="20"/>
                <w:szCs w:val="20"/>
                <w:color w:val="auto"/>
              </w:rPr>
            </w:pPr>
            <w:r>
              <w:rPr>
                <w:rFonts w:ascii="Arial" w:cs="Arial" w:eastAsia="Arial" w:hAnsi="Arial"/>
                <w:sz w:val="16"/>
                <w:szCs w:val="16"/>
                <w:color w:val="auto"/>
              </w:rPr>
              <w:t>common stock in</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60" w:type="dxa"/>
            <w:vAlign w:val="bottom"/>
          </w:tcPr>
          <w:p>
            <w:pPr>
              <w:ind w:left="180"/>
              <w:spacing w:after="0"/>
              <w:rPr>
                <w:sz w:val="20"/>
                <w:szCs w:val="20"/>
                <w:color w:val="auto"/>
              </w:rPr>
            </w:pPr>
            <w:r>
              <w:rPr>
                <w:rFonts w:ascii="Arial" w:cs="Arial" w:eastAsia="Arial" w:hAnsi="Arial"/>
                <w:sz w:val="16"/>
                <w:szCs w:val="16"/>
                <w:color w:val="auto"/>
              </w:rPr>
              <w:t>connection with share-</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60" w:type="dxa"/>
            <w:vAlign w:val="bottom"/>
          </w:tcPr>
          <w:p>
            <w:pPr>
              <w:ind w:left="180"/>
              <w:spacing w:after="0"/>
              <w:rPr>
                <w:sz w:val="20"/>
                <w:szCs w:val="20"/>
                <w:color w:val="auto"/>
              </w:rPr>
            </w:pPr>
            <w:r>
              <w:rPr>
                <w:rFonts w:ascii="Arial" w:cs="Arial" w:eastAsia="Arial" w:hAnsi="Arial"/>
                <w:sz w:val="16"/>
                <w:szCs w:val="16"/>
                <w:color w:val="auto"/>
              </w:rPr>
              <w:t>based incentive</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60" w:type="dxa"/>
            <w:vAlign w:val="bottom"/>
          </w:tcPr>
          <w:p>
            <w:pPr>
              <w:ind w:left="180"/>
              <w:spacing w:after="0"/>
              <w:rPr>
                <w:sz w:val="20"/>
                <w:szCs w:val="20"/>
                <w:color w:val="auto"/>
              </w:rPr>
            </w:pPr>
            <w:r>
              <w:rPr>
                <w:rFonts w:ascii="Arial" w:cs="Arial" w:eastAsia="Arial" w:hAnsi="Arial"/>
                <w:sz w:val="16"/>
                <w:szCs w:val="16"/>
                <w:color w:val="auto"/>
              </w:rPr>
              <w:t>compensation and</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60" w:type="dxa"/>
            <w:vAlign w:val="bottom"/>
          </w:tcPr>
          <w:p>
            <w:pPr>
              <w:ind w:left="180"/>
              <w:spacing w:after="0"/>
              <w:rPr>
                <w:sz w:val="20"/>
                <w:szCs w:val="20"/>
                <w:color w:val="auto"/>
              </w:rPr>
            </w:pPr>
            <w:r>
              <w:rPr>
                <w:rFonts w:ascii="Arial" w:cs="Arial" w:eastAsia="Arial" w:hAnsi="Arial"/>
                <w:sz w:val="16"/>
                <w:szCs w:val="16"/>
                <w:color w:val="auto"/>
              </w:rPr>
              <w:t>related tax benefit of</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880" w:type="dxa"/>
            <w:vAlign w:val="bottom"/>
            <w:gridSpan w:val="2"/>
          </w:tcPr>
          <w:p>
            <w:pPr>
              <w:ind w:left="200"/>
              <w:spacing w:after="0"/>
              <w:rPr>
                <w:sz w:val="20"/>
                <w:szCs w:val="20"/>
                <w:color w:val="auto"/>
              </w:rPr>
            </w:pPr>
            <w:r>
              <w:rPr>
                <w:rFonts w:ascii="Arial" w:cs="Arial" w:eastAsia="Arial" w:hAnsi="Arial"/>
                <w:sz w:val="16"/>
                <w:szCs w:val="16"/>
                <w:color w:val="auto"/>
              </w:rPr>
              <w:t>$1,776</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6"/>
                <w:szCs w:val="16"/>
                <w:color w:val="auto"/>
              </w:rPr>
              <w:t>(250,436)</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(4,702,740)</w:t>
            </w:r>
          </w:p>
        </w:tc>
        <w:tc>
          <w:tcPr>
            <w:tcW w:w="860" w:type="dxa"/>
            <w:vAlign w:val="bottom"/>
            <w:gridSpan w:val="3"/>
          </w:tcPr>
          <w:p>
            <w:pPr>
              <w:jc w:val="right"/>
              <w:ind w:right="58"/>
              <w:spacing w:after="0"/>
              <w:rPr>
                <w:sz w:val="20"/>
                <w:szCs w:val="20"/>
                <w:color w:val="auto"/>
              </w:rPr>
            </w:pPr>
            <w:r>
              <w:rPr>
                <w:rFonts w:ascii="Arial" w:cs="Arial" w:eastAsia="Arial" w:hAnsi="Arial"/>
                <w:sz w:val="16"/>
                <w:szCs w:val="16"/>
                <w:color w:val="auto"/>
              </w:rPr>
              <w:t>169,686</w:t>
            </w: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(80,750)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(80,750)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6"/>
                <w:szCs w:val="16"/>
                <w:color w:val="auto"/>
              </w:rPr>
              <w:t>Class A common stock</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issued in exchange for</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Lazard Group common</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membership interests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710,009</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7</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(7)</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860" w:type="dxa"/>
            <w:vAlign w:val="bottom"/>
          </w:tcPr>
          <w:p>
            <w:pPr>
              <w:spacing w:after="0"/>
              <w:rPr>
                <w:sz w:val="20"/>
                <w:szCs w:val="20"/>
                <w:color w:val="auto"/>
              </w:rPr>
            </w:pPr>
            <w:r>
              <w:rPr>
                <w:rFonts w:ascii="Arial" w:cs="Arial" w:eastAsia="Arial" w:hAnsi="Arial"/>
                <w:sz w:val="16"/>
                <w:szCs w:val="16"/>
                <w:color w:val="auto"/>
                <w:w w:val="99"/>
              </w:rPr>
              <w:t>Business acquisitions and</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60" w:type="dxa"/>
            <w:vAlign w:val="bottom"/>
          </w:tcPr>
          <w:p>
            <w:pPr>
              <w:ind w:left="180"/>
              <w:spacing w:after="0"/>
              <w:rPr>
                <w:sz w:val="20"/>
                <w:szCs w:val="20"/>
                <w:color w:val="auto"/>
              </w:rPr>
            </w:pPr>
            <w:r>
              <w:rPr>
                <w:rFonts w:ascii="Arial" w:cs="Arial" w:eastAsia="Arial" w:hAnsi="Arial"/>
                <w:sz w:val="16"/>
                <w:szCs w:val="16"/>
                <w:color w:val="auto"/>
              </w:rPr>
              <w:t>related equity</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60" w:type="dxa"/>
            <w:vAlign w:val="bottom"/>
          </w:tcPr>
          <w:p>
            <w:pPr>
              <w:ind w:left="180"/>
              <w:spacing w:after="0"/>
              <w:rPr>
                <w:sz w:val="20"/>
                <w:szCs w:val="20"/>
                <w:color w:val="auto"/>
              </w:rPr>
            </w:pPr>
            <w:r>
              <w:rPr>
                <w:rFonts w:ascii="Arial" w:cs="Arial" w:eastAsia="Arial" w:hAnsi="Arial"/>
                <w:sz w:val="16"/>
                <w:szCs w:val="16"/>
                <w:color w:val="auto"/>
              </w:rPr>
              <w:t>transactions: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A common stock</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issuable (including</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related amortization)</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258</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860" w:type="dxa"/>
            <w:vAlign w:val="bottom"/>
          </w:tcPr>
          <w:p>
            <w:pPr>
              <w:spacing w:after="0"/>
              <w:rPr>
                <w:sz w:val="20"/>
                <w:szCs w:val="20"/>
                <w:color w:val="auto"/>
              </w:rPr>
            </w:pPr>
            <w:r>
              <w:rPr>
                <w:rFonts w:ascii="Arial" w:cs="Arial" w:eastAsia="Arial" w:hAnsi="Arial"/>
                <w:sz w:val="16"/>
                <w:szCs w:val="16"/>
                <w:color w:val="auto"/>
              </w:rPr>
              <w:t>Distributions to</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60" w:type="dxa"/>
            <w:vAlign w:val="bottom"/>
          </w:tcPr>
          <w:p>
            <w:pPr>
              <w:ind w:left="180"/>
              <w:spacing w:after="0"/>
              <w:rPr>
                <w:sz w:val="20"/>
                <w:szCs w:val="20"/>
                <w:color w:val="auto"/>
              </w:rPr>
            </w:pPr>
            <w:r>
              <w:rPr>
                <w:rFonts w:ascii="Arial" w:cs="Arial" w:eastAsia="Arial" w:hAnsi="Arial"/>
                <w:sz w:val="16"/>
                <w:szCs w:val="16"/>
                <w:color w:val="auto"/>
                <w:w w:val="98"/>
              </w:rPr>
              <w:t>noncontrolling interests,</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60" w:type="dxa"/>
            <w:vAlign w:val="bottom"/>
          </w:tcPr>
          <w:p>
            <w:pPr>
              <w:ind w:left="180"/>
              <w:spacing w:after="0"/>
              <w:rPr>
                <w:sz w:val="20"/>
                <w:szCs w:val="20"/>
                <w:color w:val="auto"/>
              </w:rPr>
            </w:pPr>
            <w:r>
              <w:rPr>
                <w:rFonts w:ascii="Arial" w:cs="Arial" w:eastAsia="Arial" w:hAnsi="Arial"/>
                <w:sz w:val="16"/>
                <w:szCs w:val="16"/>
                <w:color w:val="auto"/>
              </w:rPr>
              <w:t>net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(5,470)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(5,470)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6"/>
                <w:szCs w:val="16"/>
                <w:color w:val="auto"/>
              </w:rPr>
              <w:t>Adjustments related to</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noncontrolling interests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3,543</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(2,984)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880" w:type="dxa"/>
            <w:vAlign w:val="bottom"/>
            <w:gridSpan w:val="2"/>
          </w:tcPr>
          <w:p>
            <w:pPr>
              <w:spacing w:after="0"/>
              <w:rPr>
                <w:sz w:val="20"/>
                <w:szCs w:val="20"/>
                <w:color w:val="auto"/>
              </w:rPr>
            </w:pPr>
            <w:r>
              <w:rPr>
                <w:rFonts w:ascii="Arial" w:cs="Arial" w:eastAsia="Arial" w:hAnsi="Arial"/>
                <w:sz w:val="16"/>
                <w:szCs w:val="16"/>
                <w:b w:val="1"/>
                <w:bCs w:val="1"/>
                <w:color w:val="auto"/>
              </w:rPr>
              <w:t>Balance – June 30, 2014</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7,921</w:t>
            </w:r>
          </w:p>
        </w:tc>
        <w:tc>
          <w:tcPr>
            <w:tcW w:w="1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129,766,091</w:t>
            </w:r>
          </w:p>
        </w:tc>
        <w:tc>
          <w:tcPr>
            <w:tcW w:w="14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u w:val="single" w:color="auto"/>
                <w:color w:val="auto"/>
                <w:w w:val="89"/>
              </w:rPr>
              <w:t>$</w:t>
            </w:r>
            <w:r>
              <w:rPr>
                <w:rFonts w:ascii="Arial" w:cs="Arial" w:eastAsia="Arial" w:hAnsi="Arial"/>
                <w:sz w:val="16"/>
                <w:szCs w:val="16"/>
                <w:b w:val="1"/>
                <w:bCs w:val="1"/>
                <w:color w:val="auto"/>
                <w:w w:val="89"/>
              </w:rPr>
              <w:t>1,298</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$ 612,952</w:t>
            </w:r>
          </w:p>
        </w:tc>
        <w:tc>
          <w:tcPr>
            <w:tcW w:w="14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u w:val="single" w:color="auto"/>
                <w:color w:val="auto"/>
                <w:w w:val="89"/>
              </w:rPr>
              <w:t>$</w:t>
            </w:r>
            <w:r>
              <w:rPr>
                <w:rFonts w:ascii="Arial" w:cs="Arial" w:eastAsia="Arial" w:hAnsi="Arial"/>
                <w:sz w:val="16"/>
                <w:szCs w:val="16"/>
                <w:b w:val="1"/>
                <w:bCs w:val="1"/>
                <w:color w:val="auto"/>
                <w:w w:val="89"/>
              </w:rPr>
              <w:t>285,476</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(127,480</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7,728,531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u w:val="single" w:color="auto"/>
                <w:color w:val="auto"/>
                <w:w w:val="91"/>
              </w:rPr>
              <w:t>$</w:t>
            </w:r>
            <w:r>
              <w:rPr>
                <w:rFonts w:ascii="Arial" w:cs="Arial" w:eastAsia="Arial" w:hAnsi="Arial"/>
                <w:sz w:val="16"/>
                <w:szCs w:val="16"/>
                <w:b w:val="1"/>
                <w:bCs w:val="1"/>
                <w:color w:val="auto"/>
                <w:w w:val="91"/>
              </w:rPr>
              <w:t>(272,184</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500,062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66,639</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566,701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340" w:right="300" w:hanging="339"/>
        <w:spacing w:after="0" w:line="231" w:lineRule="auto"/>
        <w:tabs>
          <w:tab w:leader="none" w:pos="340"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Includes 129,056,081 and 129,766,091 shares of the Company’s Class A common stock issued at January 1, 2014 and June 30, 2014, respectively, and 1 share of the Company’s Class B common stock issued at January 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-278130</wp:posOffset>
            </wp:positionV>
            <wp:extent cx="7232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27"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See notes to condensed consolidated financial statements.</w:t>
      </w:r>
    </w:p>
    <w:p>
      <w:pPr>
        <w:spacing w:after="0" w:line="158"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80"/>
          </w:cols>
          <w:pgMar w:left="240" w:top="440" w:right="17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LAZARD LTD</w:t>
      </w:r>
    </w:p>
    <w:p>
      <w:pPr>
        <w:spacing w:after="0" w:line="94" w:lineRule="exact"/>
        <w:rPr>
          <w:sz w:val="20"/>
          <w:szCs w:val="20"/>
          <w:color w:val="auto"/>
        </w:rPr>
      </w:pPr>
    </w:p>
    <w:p>
      <w:pPr>
        <w:ind w:left="2180"/>
        <w:spacing w:after="0"/>
        <w:rPr>
          <w:sz w:val="20"/>
          <w:szCs w:val="20"/>
          <w:color w:val="auto"/>
        </w:rPr>
      </w:pPr>
      <w:r>
        <w:rPr>
          <w:rFonts w:ascii="Arial" w:cs="Arial" w:eastAsia="Arial" w:hAnsi="Arial"/>
          <w:sz w:val="16"/>
          <w:szCs w:val="16"/>
          <w:b w:val="1"/>
          <w:bCs w:val="1"/>
          <w:color w:val="auto"/>
        </w:rPr>
        <w:t>CONDENSED CONSOLIDATED STATEMENTS OF CHANGES IN STOCKHOLDERS’ EQUITY</w:t>
      </w:r>
    </w:p>
    <w:p>
      <w:pPr>
        <w:spacing w:after="0" w:line="29"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FOR THE SIX MONTH PERIOD ENDED JUNE 30, 2015</w:t>
      </w:r>
    </w:p>
    <w:p>
      <w:pPr>
        <w:spacing w:after="0" w:line="18"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(UNAUDITED)</w:t>
      </w:r>
    </w:p>
    <w:p>
      <w:pPr>
        <w:spacing w:after="0" w:line="18"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(dollars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8"/>
              </w:rPr>
              <w:t>Accumulated</w:t>
            </w:r>
          </w:p>
        </w:tc>
        <w:tc>
          <w:tcPr>
            <w:tcW w:w="1740" w:type="dxa"/>
            <w:vAlign w:val="bottom"/>
            <w:gridSpan w:val="5"/>
            <w:vMerge w:val="restart"/>
          </w:tcPr>
          <w:p>
            <w:pPr>
              <w:jc w:val="center"/>
              <w:ind w:right="140"/>
              <w:spacing w:after="0"/>
              <w:rPr>
                <w:sz w:val="20"/>
                <w:szCs w:val="20"/>
                <w:color w:val="auto"/>
              </w:rPr>
            </w:pPr>
            <w:r>
              <w:rPr>
                <w:rFonts w:ascii="Arial" w:cs="Arial" w:eastAsia="Arial" w:hAnsi="Arial"/>
                <w:sz w:val="13"/>
                <w:szCs w:val="13"/>
                <w:b w:val="1"/>
                <w:bCs w:val="1"/>
                <w:color w:val="auto"/>
                <w:w w:val="83"/>
              </w:rPr>
              <w:t>Class A</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1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gridSpan w:val="2"/>
            <w:vMerge w:val="restart"/>
          </w:tcPr>
          <w:p>
            <w:pPr>
              <w:jc w:val="center"/>
              <w:ind w:right="240"/>
              <w:spacing w:after="0" w:line="139" w:lineRule="exact"/>
              <w:rPr>
                <w:sz w:val="20"/>
                <w:szCs w:val="20"/>
                <w:color w:val="auto"/>
              </w:rPr>
            </w:pPr>
            <w:r>
              <w:rPr>
                <w:rFonts w:ascii="Arial" w:cs="Arial" w:eastAsia="Arial" w:hAnsi="Arial"/>
                <w:sz w:val="13"/>
                <w:szCs w:val="13"/>
                <w:b w:val="1"/>
                <w:bCs w:val="1"/>
                <w:color w:val="auto"/>
                <w:w w:val="92"/>
              </w:rPr>
              <w:t>Other</w:t>
            </w:r>
          </w:p>
        </w:tc>
        <w:tc>
          <w:tcPr>
            <w:tcW w:w="174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vMerge w:val="restart"/>
          </w:tcPr>
          <w:p>
            <w:pPr>
              <w:jc w:val="center"/>
              <w:ind w:right="240"/>
              <w:spacing w:after="0" w:line="139" w:lineRule="exact"/>
              <w:rPr>
                <w:sz w:val="20"/>
                <w:szCs w:val="20"/>
                <w:color w:val="auto"/>
              </w:rPr>
            </w:pPr>
            <w:r>
              <w:rPr>
                <w:rFonts w:ascii="Arial" w:cs="Arial" w:eastAsia="Arial" w:hAnsi="Arial"/>
                <w:sz w:val="13"/>
                <w:szCs w:val="13"/>
                <w:b w:val="1"/>
                <w:bCs w:val="1"/>
                <w:color w:val="auto"/>
                <w:w w:val="89"/>
              </w:rPr>
              <w:t>Total</w:t>
            </w: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1880" w:type="dxa"/>
            <w:vAlign w:val="bottom"/>
          </w:tcPr>
          <w:p>
            <w:pPr>
              <w:spacing w:after="0"/>
              <w:rPr>
                <w:sz w:val="4"/>
                <w:szCs w:val="4"/>
                <w:color w:val="auto"/>
              </w:rPr>
            </w:pPr>
          </w:p>
        </w:tc>
        <w:tc>
          <w:tcPr>
            <w:tcW w:w="700" w:type="dxa"/>
            <w:vAlign w:val="bottom"/>
            <w:gridSpan w:val="3"/>
            <w:vMerge w:val="restart"/>
          </w:tcPr>
          <w:p>
            <w:pPr>
              <w:jc w:val="right"/>
              <w:spacing w:after="0" w:line="139" w:lineRule="exact"/>
              <w:rPr>
                <w:sz w:val="20"/>
                <w:szCs w:val="20"/>
                <w:color w:val="auto"/>
              </w:rPr>
            </w:pPr>
            <w:r>
              <w:rPr>
                <w:rFonts w:ascii="Arial" w:cs="Arial" w:eastAsia="Arial" w:hAnsi="Arial"/>
                <w:sz w:val="13"/>
                <w:szCs w:val="13"/>
                <w:b w:val="1"/>
                <w:bCs w:val="1"/>
                <w:color w:val="auto"/>
              </w:rPr>
              <w:t>Series A</w:t>
            </w: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740" w:type="dxa"/>
            <w:vAlign w:val="bottom"/>
            <w:gridSpan w:val="5"/>
            <w:vMerge w:val="restart"/>
          </w:tcPr>
          <w:p>
            <w:pPr>
              <w:jc w:val="center"/>
              <w:ind w:right="140"/>
              <w:spacing w:after="0" w:line="139" w:lineRule="exact"/>
              <w:rPr>
                <w:sz w:val="20"/>
                <w:szCs w:val="20"/>
                <w:color w:val="auto"/>
              </w:rPr>
            </w:pPr>
            <w:r>
              <w:rPr>
                <w:rFonts w:ascii="Arial" w:cs="Arial" w:eastAsia="Arial" w:hAnsi="Arial"/>
                <w:sz w:val="13"/>
                <w:szCs w:val="13"/>
                <w:b w:val="1"/>
                <w:bCs w:val="1"/>
                <w:color w:val="auto"/>
                <w:w w:val="88"/>
              </w:rPr>
              <w:t>Common Stock</w:t>
            </w:r>
          </w:p>
        </w:tc>
        <w:tc>
          <w:tcPr>
            <w:tcW w:w="1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188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gridSpan w:val="2"/>
            <w:vMerge w:val="restart"/>
          </w:tcPr>
          <w:p>
            <w:pPr>
              <w:jc w:val="center"/>
              <w:ind w:right="140"/>
              <w:spacing w:after="0" w:line="139" w:lineRule="exact"/>
              <w:rPr>
                <w:sz w:val="20"/>
                <w:szCs w:val="20"/>
                <w:color w:val="auto"/>
              </w:rPr>
            </w:pPr>
            <w:r>
              <w:rPr>
                <w:rFonts w:ascii="Arial" w:cs="Arial" w:eastAsia="Arial" w:hAnsi="Arial"/>
                <w:sz w:val="13"/>
                <w:szCs w:val="13"/>
                <w:b w:val="1"/>
                <w:bCs w:val="1"/>
                <w:color w:val="auto"/>
                <w:w w:val="91"/>
              </w:rPr>
              <w:t>Additional</w:t>
            </w: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gridSpan w:val="3"/>
            <w:vMerge w:val="restart"/>
          </w:tcPr>
          <w:p>
            <w:pPr>
              <w:jc w:val="center"/>
              <w:ind w:right="140"/>
              <w:spacing w:after="0" w:line="139" w:lineRule="exact"/>
              <w:rPr>
                <w:sz w:val="20"/>
                <w:szCs w:val="20"/>
                <w:color w:val="auto"/>
              </w:rPr>
            </w:pPr>
            <w:r>
              <w:rPr>
                <w:rFonts w:ascii="Arial" w:cs="Arial" w:eastAsia="Arial" w:hAnsi="Arial"/>
                <w:sz w:val="13"/>
                <w:szCs w:val="13"/>
                <w:b w:val="1"/>
                <w:bCs w:val="1"/>
                <w:color w:val="auto"/>
                <w:w w:val="86"/>
              </w:rPr>
              <w:t>Comprehensive</w:t>
            </w:r>
          </w:p>
        </w:tc>
        <w:tc>
          <w:tcPr>
            <w:tcW w:w="1740" w:type="dxa"/>
            <w:vAlign w:val="bottom"/>
            <w:gridSpan w:val="5"/>
            <w:vMerge w:val="continue"/>
          </w:tcPr>
          <w:p>
            <w:pPr>
              <w:spacing w:after="0"/>
              <w:rPr>
                <w:sz w:val="7"/>
                <w:szCs w:val="7"/>
                <w:color w:val="auto"/>
              </w:rPr>
            </w:pPr>
          </w:p>
        </w:tc>
        <w:tc>
          <w:tcPr>
            <w:tcW w:w="840" w:type="dxa"/>
            <w:vAlign w:val="bottom"/>
            <w:gridSpan w:val="3"/>
            <w:vMerge w:val="restart"/>
          </w:tcPr>
          <w:p>
            <w:pPr>
              <w:jc w:val="center"/>
              <w:ind w:right="100"/>
              <w:spacing w:after="0" w:line="139" w:lineRule="exact"/>
              <w:rPr>
                <w:sz w:val="20"/>
                <w:szCs w:val="20"/>
                <w:color w:val="auto"/>
              </w:rPr>
            </w:pPr>
            <w:r>
              <w:rPr>
                <w:rFonts w:ascii="Arial" w:cs="Arial" w:eastAsia="Arial" w:hAnsi="Arial"/>
                <w:sz w:val="13"/>
                <w:szCs w:val="13"/>
                <w:b w:val="1"/>
                <w:bCs w:val="1"/>
                <w:color w:val="auto"/>
                <w:w w:val="94"/>
              </w:rPr>
              <w:t>Lazard Ltd</w:t>
            </w: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vMerge w:val="restart"/>
          </w:tcPr>
          <w:p>
            <w:pPr>
              <w:jc w:val="right"/>
              <w:ind w:right="320"/>
              <w:spacing w:after="0" w:line="13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51"/>
        </w:trPr>
        <w:tc>
          <w:tcPr>
            <w:tcW w:w="1880" w:type="dxa"/>
            <w:vAlign w:val="bottom"/>
          </w:tcPr>
          <w:p>
            <w:pPr>
              <w:spacing w:after="0"/>
              <w:rPr>
                <w:sz w:val="4"/>
                <w:szCs w:val="4"/>
                <w:color w:val="auto"/>
              </w:rPr>
            </w:pPr>
          </w:p>
        </w:tc>
        <w:tc>
          <w:tcPr>
            <w:tcW w:w="860" w:type="dxa"/>
            <w:vAlign w:val="bottom"/>
            <w:gridSpan w:val="4"/>
            <w:vMerge w:val="restart"/>
          </w:tcPr>
          <w:p>
            <w:pPr>
              <w:jc w:val="right"/>
              <w:spacing w:after="0" w:line="132" w:lineRule="exact"/>
              <w:rPr>
                <w:sz w:val="20"/>
                <w:szCs w:val="20"/>
                <w:color w:val="auto"/>
              </w:rPr>
            </w:pPr>
            <w:r>
              <w:rPr>
                <w:rFonts w:ascii="Arial" w:cs="Arial" w:eastAsia="Arial" w:hAnsi="Arial"/>
                <w:sz w:val="13"/>
                <w:szCs w:val="13"/>
                <w:b w:val="1"/>
                <w:bCs w:val="1"/>
                <w:color w:val="auto"/>
                <w:w w:val="86"/>
              </w:rPr>
              <w:t>Preferred Stock</w:t>
            </w:r>
          </w:p>
        </w:tc>
        <w:tc>
          <w:tcPr>
            <w:tcW w:w="140" w:type="dxa"/>
            <w:vAlign w:val="bottom"/>
          </w:tcPr>
          <w:p>
            <w:pPr>
              <w:spacing w:after="0"/>
              <w:rPr>
                <w:sz w:val="4"/>
                <w:szCs w:val="4"/>
                <w:color w:val="auto"/>
              </w:rPr>
            </w:pPr>
          </w:p>
        </w:tc>
        <w:tc>
          <w:tcPr>
            <w:tcW w:w="1460" w:type="dxa"/>
            <w:vAlign w:val="bottom"/>
            <w:gridSpan w:val="3"/>
            <w:vMerge w:val="restart"/>
          </w:tcPr>
          <w:p>
            <w:pPr>
              <w:ind w:left="320"/>
              <w:spacing w:after="0" w:line="132" w:lineRule="exact"/>
              <w:rPr>
                <w:sz w:val="20"/>
                <w:szCs w:val="20"/>
                <w:color w:val="auto"/>
              </w:rPr>
            </w:pPr>
            <w:r>
              <w:rPr>
                <w:rFonts w:ascii="Arial" w:cs="Arial" w:eastAsia="Arial" w:hAnsi="Arial"/>
                <w:sz w:val="13"/>
                <w:szCs w:val="13"/>
                <w:b w:val="1"/>
                <w:bCs w:val="1"/>
                <w:color w:val="auto"/>
              </w:rPr>
              <w:t>Common Stock</w:t>
            </w: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1600" w:type="dxa"/>
            <w:vAlign w:val="bottom"/>
            <w:gridSpan w:val="4"/>
            <w:vMerge w:val="restart"/>
          </w:tcPr>
          <w:p>
            <w:pPr>
              <w:jc w:val="center"/>
              <w:spacing w:after="0" w:line="132" w:lineRule="exact"/>
              <w:rPr>
                <w:sz w:val="20"/>
                <w:szCs w:val="20"/>
                <w:color w:val="auto"/>
              </w:rPr>
            </w:pPr>
            <w:r>
              <w:rPr>
                <w:rFonts w:ascii="Arial" w:cs="Arial" w:eastAsia="Arial" w:hAnsi="Arial"/>
                <w:sz w:val="13"/>
                <w:szCs w:val="13"/>
                <w:b w:val="1"/>
                <w:bCs w:val="1"/>
                <w:color w:val="auto"/>
                <w:w w:val="86"/>
              </w:rPr>
              <w:t>Held By Subsidiaries</w:t>
            </w:r>
          </w:p>
        </w:tc>
        <w:tc>
          <w:tcPr>
            <w:tcW w:w="14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1880" w:type="dxa"/>
            <w:vAlign w:val="bottom"/>
          </w:tcPr>
          <w:p>
            <w:pPr>
              <w:spacing w:after="0"/>
              <w:rPr>
                <w:sz w:val="10"/>
                <w:szCs w:val="10"/>
                <w:color w:val="auto"/>
              </w:rPr>
            </w:pPr>
          </w:p>
        </w:tc>
        <w:tc>
          <w:tcPr>
            <w:tcW w:w="860" w:type="dxa"/>
            <w:vAlign w:val="bottom"/>
            <w:tcBorders>
              <w:bottom w:val="single" w:sz="8" w:color="auto"/>
            </w:tcBorders>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tcBorders>
              <w:bottom w:val="single" w:sz="8" w:color="auto"/>
            </w:tcBorders>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6"/>
              </w:rPr>
              <w:t>Paid-In-</w:t>
            </w:r>
          </w:p>
        </w:tc>
        <w:tc>
          <w:tcPr>
            <w:tcW w:w="82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Retained</w:t>
            </w:r>
          </w:p>
        </w:tc>
        <w:tc>
          <w:tcPr>
            <w:tcW w:w="98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87"/>
              </w:rPr>
              <w:t>Income (Loss),</w:t>
            </w:r>
          </w:p>
        </w:tc>
        <w:tc>
          <w:tcPr>
            <w:tcW w:w="1600" w:type="dxa"/>
            <w:vAlign w:val="bottom"/>
            <w:tcBorders>
              <w:bottom w:val="single" w:sz="8" w:color="auto"/>
            </w:tcBorders>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86"/>
              </w:rPr>
              <w:t>Stockholders’</w:t>
            </w:r>
          </w:p>
        </w:tc>
        <w:tc>
          <w:tcPr>
            <w:tcW w:w="40" w:type="dxa"/>
            <w:vAlign w:val="bottom"/>
          </w:tcPr>
          <w:p>
            <w:pPr>
              <w:spacing w:after="0"/>
              <w:rPr>
                <w:sz w:val="10"/>
                <w:szCs w:val="10"/>
                <w:color w:val="auto"/>
              </w:rPr>
            </w:pPr>
          </w:p>
        </w:tc>
        <w:tc>
          <w:tcPr>
            <w:tcW w:w="9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7"/>
              </w:rPr>
              <w:t>Noncontrolling</w:t>
            </w:r>
          </w:p>
        </w:tc>
        <w:tc>
          <w:tcPr>
            <w:tcW w:w="40" w:type="dxa"/>
            <w:vAlign w:val="bottom"/>
          </w:tcPr>
          <w:p>
            <w:pPr>
              <w:spacing w:after="0"/>
              <w:rPr>
                <w:sz w:val="10"/>
                <w:szCs w:val="10"/>
                <w:color w:val="auto"/>
              </w:rPr>
            </w:pPr>
          </w:p>
        </w:tc>
        <w:tc>
          <w:tcPr>
            <w:tcW w:w="8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152"/>
        </w:trPr>
        <w:tc>
          <w:tcPr>
            <w:tcW w:w="18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w w:val="92"/>
              </w:rPr>
              <w:t>Shares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jc w:val="right"/>
              <w:ind w:right="4"/>
              <w:spacing w:after="0"/>
              <w:rPr>
                <w:sz w:val="20"/>
                <w:szCs w:val="20"/>
                <w:color w:val="auto"/>
              </w:rPr>
            </w:pPr>
            <w:r>
              <w:rPr>
                <w:rFonts w:ascii="Arial" w:cs="Arial" w:eastAsia="Arial" w:hAnsi="Arial"/>
                <w:sz w:val="13"/>
                <w:szCs w:val="13"/>
                <w:b w:val="1"/>
                <w:bCs w:val="1"/>
                <w:color w:val="auto"/>
                <w:w w:val="82"/>
              </w:rPr>
              <w:t>$</w:t>
            </w:r>
          </w:p>
        </w:tc>
        <w:tc>
          <w:tcPr>
            <w:tcW w:w="140" w:type="dxa"/>
            <w:vAlign w:val="bottom"/>
          </w:tcPr>
          <w:p>
            <w:pPr>
              <w:spacing w:after="0"/>
              <w:rPr>
                <w:sz w:val="13"/>
                <w:szCs w:val="13"/>
                <w:color w:val="auto"/>
              </w:rPr>
            </w:pPr>
          </w:p>
        </w:tc>
        <w:tc>
          <w:tcPr>
            <w:tcW w:w="860" w:type="dxa"/>
            <w:vAlign w:val="bottom"/>
          </w:tcPr>
          <w:p>
            <w:pPr>
              <w:jc w:val="right"/>
              <w:ind w:right="167"/>
              <w:spacing w:after="0"/>
              <w:rPr>
                <w:sz w:val="20"/>
                <w:szCs w:val="20"/>
                <w:color w:val="auto"/>
              </w:rPr>
            </w:pPr>
            <w:r>
              <w:rPr>
                <w:rFonts w:ascii="Arial" w:cs="Arial" w:eastAsia="Arial" w:hAnsi="Arial"/>
                <w:sz w:val="13"/>
                <w:szCs w:val="13"/>
                <w:b w:val="1"/>
                <w:bCs w:val="1"/>
                <w:color w:val="auto"/>
              </w:rPr>
              <w:t>Shares</w:t>
            </w:r>
          </w:p>
        </w:tc>
        <w:tc>
          <w:tcPr>
            <w:tcW w:w="600" w:type="dxa"/>
            <w:vAlign w:val="bottom"/>
            <w:gridSpan w:val="2"/>
          </w:tcPr>
          <w:p>
            <w:pPr>
              <w:jc w:val="center"/>
              <w:ind w:left="77"/>
              <w:spacing w:after="0"/>
              <w:rPr>
                <w:sz w:val="20"/>
                <w:szCs w:val="20"/>
                <w:color w:val="auto"/>
              </w:rPr>
            </w:pPr>
            <w:r>
              <w:rPr>
                <w:rFonts w:ascii="Arial" w:cs="Arial" w:eastAsia="Arial" w:hAnsi="Arial"/>
                <w:sz w:val="13"/>
                <w:szCs w:val="13"/>
                <w:b w:val="1"/>
                <w:bCs w:val="1"/>
                <w:color w:val="auto"/>
                <w:w w:val="82"/>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Capital</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Net of Tax</w:t>
            </w:r>
          </w:p>
        </w:tc>
        <w:tc>
          <w:tcPr>
            <w:tcW w:w="8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Shares</w:t>
            </w:r>
          </w:p>
        </w:tc>
        <w:tc>
          <w:tcPr>
            <w:tcW w:w="740" w:type="dxa"/>
            <w:vAlign w:val="bottom"/>
            <w:gridSpan w:val="2"/>
          </w:tcPr>
          <w:p>
            <w:pPr>
              <w:jc w:val="right"/>
              <w:ind w:right="238"/>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Equity</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2"/>
              </w:rPr>
              <w:t>Interests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95"/>
        </w:trPr>
        <w:tc>
          <w:tcPr>
            <w:tcW w:w="1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w w:val="93"/>
                <w:shd w:val="clear" w:color="auto" w:fill="CCEEFF"/>
              </w:rPr>
              <w:t>Balance – January 1, 2015</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shd w:val="clear" w:color="auto" w:fill="CCEEFF"/>
              </w:rPr>
              <w:t>7,921</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shd w:val="clear" w:color="auto" w:fill="CCEEFF"/>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shd w:val="clear" w:color="auto" w:fill="CCEEFF"/>
              </w:rPr>
              <w:t>–</w:t>
            </w:r>
          </w:p>
        </w:tc>
        <w:tc>
          <w:tcPr>
            <w:tcW w:w="1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4"/>
                <w:shd w:val="clear" w:color="auto" w:fill="CCEEFF"/>
              </w:rPr>
              <w:t>129,766,091</w:t>
            </w:r>
          </w:p>
        </w:tc>
        <w:tc>
          <w:tcPr>
            <w:tcW w:w="1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3"/>
                <w:shd w:val="clear" w:color="auto" w:fill="CCEEFF"/>
              </w:rPr>
              <w:t>$1,298</w:t>
            </w: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5"/>
                <w:shd w:val="clear" w:color="auto" w:fill="CCEEFF"/>
              </w:rPr>
              <w:t>$ 702,800</w:t>
            </w:r>
          </w:p>
        </w:tc>
        <w:tc>
          <w:tcPr>
            <w:tcW w:w="1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2"/>
                <w:shd w:val="clear" w:color="auto" w:fill="CCEEFF"/>
              </w:rPr>
              <w:t>$ 464,655</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shd w:val="clear" w:color="auto" w:fill="CCEEFF"/>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shd w:val="clear" w:color="auto" w:fill="CCEEFF"/>
              </w:rPr>
              <w:t>(200,766)</w:t>
            </w:r>
          </w:p>
        </w:tc>
        <w:tc>
          <w:tcPr>
            <w:tcW w:w="1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shd w:val="clear" w:color="auto" w:fill="CCEEFF"/>
              </w:rPr>
              <w:t>7,450,745</w:t>
            </w: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5"/>
                <w:shd w:val="clear" w:color="auto" w:fill="CCEEFF"/>
              </w:rPr>
              <w:t>$(261,243)</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shd w:val="clear" w:color="auto" w:fill="CCEEFF"/>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shd w:val="clear" w:color="auto" w:fill="CCEEFF"/>
              </w:rPr>
              <w:t>706,744</w:t>
            </w: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shd w:val="clear" w:color="auto" w:fill="CCEEFF"/>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shd w:val="clear" w:color="auto" w:fill="CCEEFF"/>
              </w:rPr>
              <w:t>63,313</w:t>
            </w: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shd w:val="clear" w:color="auto" w:fill="CCEEFF"/>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shd w:val="clear" w:color="auto" w:fill="CCEEFF"/>
              </w:rPr>
              <w:t>770,057</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80" w:type="dxa"/>
            <w:vAlign w:val="bottom"/>
          </w:tcPr>
          <w:p>
            <w:pPr>
              <w:spacing w:after="0"/>
              <w:rPr>
                <w:sz w:val="20"/>
                <w:szCs w:val="20"/>
                <w:color w:val="auto"/>
              </w:rPr>
            </w:pPr>
            <w:r>
              <w:rPr>
                <w:rFonts w:ascii="Arial" w:cs="Arial" w:eastAsia="Arial" w:hAnsi="Arial"/>
                <w:sz w:val="16"/>
                <w:szCs w:val="16"/>
                <w:color w:val="auto"/>
              </w:rPr>
              <w:t>Comprehensive income</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880" w:type="dxa"/>
            <w:vAlign w:val="bottom"/>
          </w:tcPr>
          <w:p>
            <w:pPr>
              <w:ind w:left="200"/>
              <w:spacing w:after="0"/>
              <w:rPr>
                <w:sz w:val="20"/>
                <w:szCs w:val="20"/>
                <w:color w:val="auto"/>
              </w:rPr>
            </w:pPr>
            <w:r>
              <w:rPr>
                <w:rFonts w:ascii="Arial" w:cs="Arial" w:eastAsia="Arial" w:hAnsi="Arial"/>
                <w:sz w:val="16"/>
                <w:szCs w:val="16"/>
                <w:color w:val="auto"/>
              </w:rPr>
              <w:t>(loss):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income</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430,066</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430,066</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7,735</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437,801</w:t>
            </w:r>
          </w:p>
        </w:tc>
        <w:tc>
          <w:tcPr>
            <w:tcW w:w="0" w:type="dxa"/>
            <w:vAlign w:val="bottom"/>
          </w:tcPr>
          <w:p>
            <w:pPr>
              <w:spacing w:after="0"/>
              <w:rPr>
                <w:sz w:val="1"/>
                <w:szCs w:val="1"/>
                <w:color w:val="auto"/>
              </w:rPr>
            </w:pPr>
          </w:p>
        </w:tc>
      </w:tr>
      <w:tr>
        <w:trPr>
          <w:trHeight w:val="194"/>
        </w:trPr>
        <w:tc>
          <w:tcPr>
            <w:tcW w:w="1880" w:type="dxa"/>
            <w:vAlign w:val="bottom"/>
          </w:tcPr>
          <w:p>
            <w:pPr>
              <w:ind w:left="200"/>
              <w:spacing w:after="0"/>
              <w:rPr>
                <w:sz w:val="20"/>
                <w:szCs w:val="20"/>
                <w:color w:val="auto"/>
              </w:rPr>
            </w:pPr>
            <w:r>
              <w:rPr>
                <w:rFonts w:ascii="Arial" w:cs="Arial" w:eastAsia="Arial" w:hAnsi="Arial"/>
                <w:sz w:val="16"/>
                <w:szCs w:val="16"/>
                <w:color w:val="auto"/>
              </w:rPr>
              <w:t>Other comprehensive</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880" w:type="dxa"/>
            <w:vAlign w:val="bottom"/>
          </w:tcPr>
          <w:p>
            <w:pPr>
              <w:ind w:left="400"/>
              <w:spacing w:after="0"/>
              <w:rPr>
                <w:sz w:val="20"/>
                <w:szCs w:val="20"/>
                <w:color w:val="auto"/>
              </w:rPr>
            </w:pPr>
            <w:r>
              <w:rPr>
                <w:rFonts w:ascii="Arial" w:cs="Arial" w:eastAsia="Arial" w:hAnsi="Arial"/>
                <w:sz w:val="16"/>
                <w:szCs w:val="16"/>
                <w:color w:val="auto"/>
              </w:rPr>
              <w:t>loss - net of tax</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(34,583)</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(34,583)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(34,583)</w:t>
            </w:r>
          </w:p>
        </w:tc>
        <w:tc>
          <w:tcPr>
            <w:tcW w:w="0" w:type="dxa"/>
            <w:vAlign w:val="bottom"/>
          </w:tcPr>
          <w:p>
            <w:pPr>
              <w:spacing w:after="0"/>
              <w:rPr>
                <w:sz w:val="1"/>
                <w:szCs w:val="1"/>
                <w:color w:val="auto"/>
              </w:rPr>
            </w:pPr>
          </w:p>
        </w:tc>
      </w:tr>
      <w:tr>
        <w:trPr>
          <w:trHeight w:val="196"/>
        </w:trPr>
        <w:tc>
          <w:tcPr>
            <w:tcW w:w="188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share-</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based incentive</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compensation</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122,793</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122,793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122,793</w:t>
            </w:r>
          </w:p>
        </w:tc>
        <w:tc>
          <w:tcPr>
            <w:tcW w:w="0" w:type="dxa"/>
            <w:vAlign w:val="bottom"/>
          </w:tcPr>
          <w:p>
            <w:pPr>
              <w:spacing w:after="0"/>
              <w:rPr>
                <w:sz w:val="1"/>
                <w:szCs w:val="1"/>
                <w:color w:val="auto"/>
              </w:rPr>
            </w:pPr>
          </w:p>
        </w:tc>
      </w:tr>
      <w:tr>
        <w:trPr>
          <w:trHeight w:val="202"/>
        </w:trPr>
        <w:tc>
          <w:tcPr>
            <w:tcW w:w="1880" w:type="dxa"/>
            <w:vAlign w:val="bottom"/>
          </w:tcPr>
          <w:p>
            <w:pPr>
              <w:spacing w:after="0"/>
              <w:rPr>
                <w:sz w:val="20"/>
                <w:szCs w:val="20"/>
                <w:color w:val="auto"/>
              </w:rPr>
            </w:pPr>
            <w:r>
              <w:rPr>
                <w:rFonts w:ascii="Arial" w:cs="Arial" w:eastAsia="Arial" w:hAnsi="Arial"/>
                <w:sz w:val="16"/>
                <w:szCs w:val="16"/>
                <w:color w:val="auto"/>
              </w:rPr>
              <w:t>Dividend-equivalents</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6"/>
                <w:szCs w:val="16"/>
                <w:color w:val="auto"/>
              </w:rPr>
              <w:t>26,461</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(28,085)</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(1,624)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(1,624)</w:t>
            </w:r>
          </w:p>
        </w:tc>
        <w:tc>
          <w:tcPr>
            <w:tcW w:w="0" w:type="dxa"/>
            <w:vAlign w:val="bottom"/>
          </w:tcPr>
          <w:p>
            <w:pPr>
              <w:spacing w:after="0"/>
              <w:rPr>
                <w:sz w:val="1"/>
                <w:szCs w:val="1"/>
                <w:color w:val="auto"/>
              </w:rPr>
            </w:pPr>
          </w:p>
        </w:tc>
      </w:tr>
      <w:tr>
        <w:trPr>
          <w:trHeight w:val="194"/>
        </w:trPr>
        <w:tc>
          <w:tcPr>
            <w:tcW w:w="1880" w:type="dxa"/>
            <w:vAlign w:val="bottom"/>
            <w:shd w:val="clear" w:color="auto" w:fill="CCEEFF"/>
          </w:tcPr>
          <w:p>
            <w:pPr>
              <w:spacing w:after="0"/>
              <w:rPr>
                <w:sz w:val="20"/>
                <w:szCs w:val="20"/>
                <w:color w:val="auto"/>
              </w:rPr>
            </w:pPr>
            <w:r>
              <w:rPr>
                <w:rFonts w:ascii="Arial" w:cs="Arial" w:eastAsia="Arial" w:hAnsi="Arial"/>
                <w:sz w:val="16"/>
                <w:szCs w:val="16"/>
                <w:color w:val="auto"/>
              </w:rPr>
              <w:t>Class A common stock</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dividends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(202,635)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6"/>
              </w:rPr>
              <w:t>(202,635)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6"/>
              </w:rPr>
              <w:t>(202,635)</w:t>
            </w:r>
          </w:p>
        </w:tc>
        <w:tc>
          <w:tcPr>
            <w:tcW w:w="0" w:type="dxa"/>
            <w:vAlign w:val="bottom"/>
          </w:tcPr>
          <w:p>
            <w:pPr>
              <w:spacing w:after="0"/>
              <w:rPr>
                <w:sz w:val="1"/>
                <w:szCs w:val="1"/>
                <w:color w:val="auto"/>
              </w:rPr>
            </w:pPr>
          </w:p>
        </w:tc>
      </w:tr>
      <w:tr>
        <w:trPr>
          <w:trHeight w:val="194"/>
        </w:trPr>
        <w:tc>
          <w:tcPr>
            <w:tcW w:w="1880" w:type="dxa"/>
            <w:vAlign w:val="bottom"/>
          </w:tcPr>
          <w:p>
            <w:pPr>
              <w:spacing w:after="0"/>
              <w:rPr>
                <w:sz w:val="20"/>
                <w:szCs w:val="20"/>
                <w:color w:val="auto"/>
              </w:rPr>
            </w:pPr>
            <w:r>
              <w:rPr>
                <w:rFonts w:ascii="Arial" w:cs="Arial" w:eastAsia="Arial" w:hAnsi="Arial"/>
                <w:sz w:val="16"/>
                <w:szCs w:val="16"/>
                <w:color w:val="auto"/>
              </w:rPr>
              <w:t>Purchase of Class A</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88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2,306,694</w:t>
            </w:r>
          </w:p>
        </w:tc>
        <w:tc>
          <w:tcPr>
            <w:tcW w:w="880" w:type="dxa"/>
            <w:vAlign w:val="bottom"/>
            <w:gridSpan w:val="3"/>
          </w:tcPr>
          <w:p>
            <w:pPr>
              <w:jc w:val="right"/>
              <w:ind w:right="100"/>
              <w:spacing w:after="0"/>
              <w:rPr>
                <w:sz w:val="20"/>
                <w:szCs w:val="20"/>
                <w:color w:val="auto"/>
              </w:rPr>
            </w:pPr>
            <w:r>
              <w:rPr>
                <w:rFonts w:ascii="Arial" w:cs="Arial" w:eastAsia="Arial" w:hAnsi="Arial"/>
                <w:sz w:val="16"/>
                <w:szCs w:val="16"/>
                <w:color w:val="auto"/>
              </w:rPr>
              <w:t>(117,733)</w:t>
            </w: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w w:val="96"/>
              </w:rPr>
              <w:t>(117,733)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w w:val="96"/>
              </w:rPr>
              <w:t>(117,733)</w:t>
            </w:r>
          </w:p>
        </w:tc>
        <w:tc>
          <w:tcPr>
            <w:tcW w:w="0" w:type="dxa"/>
            <w:vAlign w:val="bottom"/>
          </w:tcPr>
          <w:p>
            <w:pPr>
              <w:spacing w:after="0"/>
              <w:rPr>
                <w:sz w:val="1"/>
                <w:szCs w:val="1"/>
                <w:color w:val="auto"/>
              </w:rPr>
            </w:pPr>
          </w:p>
        </w:tc>
      </w:tr>
      <w:tr>
        <w:trPr>
          <w:trHeight w:val="196"/>
        </w:trPr>
        <w:tc>
          <w:tcPr>
            <w:tcW w:w="1880" w:type="dxa"/>
            <w:vAlign w:val="bottom"/>
            <w:shd w:val="clear" w:color="auto" w:fill="CCEEFF"/>
          </w:tcPr>
          <w:p>
            <w:pPr>
              <w:spacing w:after="0"/>
              <w:rPr>
                <w:sz w:val="20"/>
                <w:szCs w:val="20"/>
                <w:color w:val="auto"/>
              </w:rPr>
            </w:pPr>
            <w:r>
              <w:rPr>
                <w:rFonts w:ascii="Arial" w:cs="Arial" w:eastAsia="Arial" w:hAnsi="Arial"/>
                <w:sz w:val="16"/>
                <w:szCs w:val="16"/>
                <w:color w:val="auto"/>
              </w:rPr>
              <w:t>Delivery of Class A</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common stock in</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connection with share-</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based incentive</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compensation and</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related tax benefit of</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$9,495</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(323,588)</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7"/>
              </w:rPr>
              <w:t>(6,051,262)</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230,449</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(93,139)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(93,139)</w:t>
            </w:r>
          </w:p>
        </w:tc>
        <w:tc>
          <w:tcPr>
            <w:tcW w:w="0" w:type="dxa"/>
            <w:vAlign w:val="bottom"/>
          </w:tcPr>
          <w:p>
            <w:pPr>
              <w:spacing w:after="0"/>
              <w:rPr>
                <w:sz w:val="1"/>
                <w:szCs w:val="1"/>
                <w:color w:val="auto"/>
              </w:rPr>
            </w:pPr>
          </w:p>
        </w:tc>
      </w:tr>
      <w:tr>
        <w:trPr>
          <w:trHeight w:val="194"/>
        </w:trPr>
        <w:tc>
          <w:tcPr>
            <w:tcW w:w="1880" w:type="dxa"/>
            <w:vAlign w:val="bottom"/>
          </w:tcPr>
          <w:p>
            <w:pPr>
              <w:spacing w:after="0"/>
              <w:rPr>
                <w:sz w:val="20"/>
                <w:szCs w:val="20"/>
                <w:color w:val="auto"/>
              </w:rPr>
            </w:pPr>
            <w:r>
              <w:rPr>
                <w:rFonts w:ascii="Arial" w:cs="Arial" w:eastAsia="Arial" w:hAnsi="Arial"/>
                <w:sz w:val="16"/>
                <w:szCs w:val="16"/>
                <w:color w:val="auto"/>
              </w:rPr>
              <w:t>Business acquisitions and</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880" w:type="dxa"/>
            <w:vAlign w:val="bottom"/>
          </w:tcPr>
          <w:p>
            <w:pPr>
              <w:ind w:left="200"/>
              <w:spacing w:after="0"/>
              <w:rPr>
                <w:sz w:val="20"/>
                <w:szCs w:val="20"/>
                <w:color w:val="auto"/>
              </w:rPr>
            </w:pPr>
            <w:r>
              <w:rPr>
                <w:rFonts w:ascii="Arial" w:cs="Arial" w:eastAsia="Arial" w:hAnsi="Arial"/>
                <w:sz w:val="16"/>
                <w:szCs w:val="16"/>
                <w:color w:val="auto"/>
              </w:rPr>
              <w:t>related equity</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80" w:type="dxa"/>
            <w:vAlign w:val="bottom"/>
          </w:tcPr>
          <w:p>
            <w:pPr>
              <w:ind w:left="200"/>
              <w:spacing w:after="0"/>
              <w:rPr>
                <w:sz w:val="20"/>
                <w:szCs w:val="20"/>
                <w:color w:val="auto"/>
              </w:rPr>
            </w:pPr>
            <w:r>
              <w:rPr>
                <w:rFonts w:ascii="Arial" w:cs="Arial" w:eastAsia="Arial" w:hAnsi="Arial"/>
                <w:sz w:val="16"/>
                <w:szCs w:val="16"/>
                <w:color w:val="auto"/>
              </w:rPr>
              <w:t>transactions: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Class A common stock</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8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issuable (including</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8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related amortization)</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315</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194"/>
        </w:trPr>
        <w:tc>
          <w:tcPr>
            <w:tcW w:w="1880" w:type="dxa"/>
            <w:vAlign w:val="bottom"/>
          </w:tcPr>
          <w:p>
            <w:pPr>
              <w:ind w:left="200"/>
              <w:spacing w:after="0"/>
              <w:rPr>
                <w:sz w:val="20"/>
                <w:szCs w:val="20"/>
                <w:color w:val="auto"/>
              </w:rPr>
            </w:pPr>
            <w:r>
              <w:rPr>
                <w:rFonts w:ascii="Arial" w:cs="Arial" w:eastAsia="Arial" w:hAnsi="Arial"/>
                <w:sz w:val="16"/>
                <w:szCs w:val="16"/>
                <w:color w:val="auto"/>
              </w:rPr>
              <w:t>Delivery of Class A</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880" w:type="dxa"/>
            <w:vAlign w:val="bottom"/>
          </w:tcPr>
          <w:p>
            <w:pPr>
              <w:ind w:left="400"/>
              <w:spacing w:after="0"/>
              <w:rPr>
                <w:sz w:val="20"/>
                <w:szCs w:val="20"/>
                <w:color w:val="auto"/>
              </w:rPr>
            </w:pPr>
            <w:r>
              <w:rPr>
                <w:rFonts w:ascii="Arial" w:cs="Arial" w:eastAsia="Arial" w:hAnsi="Arial"/>
                <w:sz w:val="16"/>
                <w:szCs w:val="16"/>
                <w:color w:val="auto"/>
              </w:rPr>
              <w:t>common stock</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6"/>
                <w:szCs w:val="16"/>
                <w:color w:val="auto"/>
              </w:rPr>
              <w:t>(1,327)</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(27,316)</w:t>
            </w:r>
          </w:p>
        </w:tc>
        <w:tc>
          <w:tcPr>
            <w:tcW w:w="880" w:type="dxa"/>
            <w:vAlign w:val="bottom"/>
            <w:gridSpan w:val="3"/>
          </w:tcPr>
          <w:p>
            <w:pPr>
              <w:jc w:val="right"/>
              <w:ind w:right="140"/>
              <w:spacing w:after="0"/>
              <w:rPr>
                <w:sz w:val="20"/>
                <w:szCs w:val="20"/>
                <w:color w:val="auto"/>
              </w:rPr>
            </w:pPr>
            <w:r>
              <w:rPr>
                <w:rFonts w:ascii="Arial" w:cs="Arial" w:eastAsia="Arial" w:hAnsi="Arial"/>
                <w:sz w:val="16"/>
                <w:szCs w:val="16"/>
                <w:color w:val="auto"/>
              </w:rPr>
              <w:t>1,327</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4"/>
        </w:trPr>
        <w:tc>
          <w:tcPr>
            <w:tcW w:w="1880" w:type="dxa"/>
            <w:vAlign w:val="bottom"/>
            <w:shd w:val="clear" w:color="auto" w:fill="CCEEFF"/>
          </w:tcPr>
          <w:p>
            <w:pPr>
              <w:spacing w:after="0"/>
              <w:rPr>
                <w:sz w:val="20"/>
                <w:szCs w:val="20"/>
                <w:color w:val="auto"/>
              </w:rPr>
            </w:pPr>
            <w:r>
              <w:rPr>
                <w:rFonts w:ascii="Arial" w:cs="Arial" w:eastAsia="Arial" w:hAnsi="Arial"/>
                <w:sz w:val="16"/>
                <w:szCs w:val="16"/>
                <w:color w:val="auto"/>
              </w:rPr>
              <w:t>Distributions to</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88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8"/>
              </w:rPr>
              <w:t>noncontrolling interests,</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(11,883)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(11,883)</w:t>
            </w:r>
          </w:p>
        </w:tc>
        <w:tc>
          <w:tcPr>
            <w:tcW w:w="0" w:type="dxa"/>
            <w:vAlign w:val="bottom"/>
          </w:tcPr>
          <w:p>
            <w:pPr>
              <w:spacing w:after="0"/>
              <w:rPr>
                <w:sz w:val="1"/>
                <w:szCs w:val="1"/>
                <w:color w:val="auto"/>
              </w:rPr>
            </w:pPr>
          </w:p>
        </w:tc>
      </w:tr>
      <w:tr>
        <w:trPr>
          <w:trHeight w:val="213"/>
        </w:trPr>
        <w:tc>
          <w:tcPr>
            <w:tcW w:w="1880" w:type="dxa"/>
            <w:vAlign w:val="bottom"/>
          </w:tcPr>
          <w:p>
            <w:pPr>
              <w:spacing w:after="0"/>
              <w:rPr>
                <w:sz w:val="20"/>
                <w:szCs w:val="20"/>
                <w:color w:val="auto"/>
              </w:rPr>
            </w:pPr>
            <w:r>
              <w:rPr>
                <w:rFonts w:ascii="Arial" w:cs="Arial" w:eastAsia="Arial" w:hAnsi="Arial"/>
                <w:sz w:val="16"/>
                <w:szCs w:val="16"/>
                <w:b w:val="1"/>
                <w:bCs w:val="1"/>
                <w:color w:val="auto"/>
              </w:rPr>
              <w:t>Balance – June 30, 2015</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7,921</w:t>
            </w: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129,766,091</w:t>
            </w:r>
          </w:p>
        </w:tc>
        <w:tc>
          <w:tcPr>
            <w:tcW w:w="14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$1,298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$ 527,454</w:t>
            </w:r>
          </w:p>
        </w:tc>
        <w:tc>
          <w:tcPr>
            <w:tcW w:w="1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$ 664,001</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(235,349)</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3,678,861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5"/>
              </w:rPr>
              <w:t>$(147,200)</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810,204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59,165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869,369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See notes to condensed consolidated financial statements.</w:t>
      </w:r>
    </w:p>
    <w:p>
      <w:pPr>
        <w:spacing w:after="0" w:line="158"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520"/>
          </w:cols>
          <w:pgMar w:left="240" w:top="440" w:right="13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LAZARD LTD</w:t>
      </w:r>
    </w:p>
    <w:p>
      <w:pPr>
        <w:spacing w:after="0" w:line="94" w:lineRule="exact"/>
        <w:rPr>
          <w:sz w:val="20"/>
          <w:szCs w:val="20"/>
          <w:color w:val="auto"/>
        </w:rPr>
      </w:pPr>
    </w:p>
    <w:p>
      <w:pPr>
        <w:ind w:left="3020"/>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thousands, except for per share data, unless otherwise noted)</w:t>
      </w:r>
    </w:p>
    <w:p>
      <w:pPr>
        <w:spacing w:after="0" w:line="202" w:lineRule="exact"/>
        <w:rPr>
          <w:sz w:val="20"/>
          <w:szCs w:val="20"/>
          <w:color w:val="auto"/>
        </w:rPr>
      </w:pPr>
    </w:p>
    <w:p>
      <w:pPr>
        <w:ind w:right="7280" w:firstLine="1"/>
        <w:spacing w:after="0" w:line="363" w:lineRule="auto"/>
        <w:tabs>
          <w:tab w:leader="none" w:pos="456" w:val="left"/>
        </w:tabs>
        <w:numPr>
          <w:ilvl w:val="0"/>
          <w:numId w:val="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ORGANIZATION AND BASIS OF PRESENTATION Organization</w:t>
      </w:r>
    </w:p>
    <w:p>
      <w:pPr>
        <w:jc w:val="both"/>
        <w:ind w:right="260" w:firstLine="457"/>
        <w:spacing w:after="0" w:line="298" w:lineRule="auto"/>
        <w:rPr>
          <w:sz w:val="20"/>
          <w:szCs w:val="20"/>
          <w:color w:val="auto"/>
        </w:rPr>
      </w:pPr>
      <w:r>
        <w:rPr>
          <w:rFonts w:ascii="Arial" w:cs="Arial" w:eastAsia="Arial" w:hAnsi="Arial"/>
          <w:sz w:val="15"/>
          <w:szCs w:val="15"/>
          <w:color w:val="auto"/>
        </w:rPr>
        <w:t>Lazard Ltd, a Bermuda holding company, and its subsidiaries (collectively referred to as “Lazard Ltd”, “Lazard”, “we” or the “Company”), including Lazard Ltd’s indirect investment in Lazard Group LLC, a Delaware limited liability company (collectively referred to, together with its subsidiaries, as “Lazard Group”),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05" w:lineRule="exact"/>
        <w:rPr>
          <w:sz w:val="20"/>
          <w:szCs w:val="20"/>
          <w:color w:val="auto"/>
        </w:rPr>
      </w:pPr>
    </w:p>
    <w:p>
      <w:pPr>
        <w:ind w:firstLine="457"/>
        <w:spacing w:after="0" w:line="287" w:lineRule="auto"/>
        <w:rPr>
          <w:sz w:val="20"/>
          <w:szCs w:val="20"/>
          <w:color w:val="auto"/>
        </w:rPr>
      </w:pPr>
      <w:r>
        <w:rPr>
          <w:rFonts w:ascii="Arial" w:cs="Arial" w:eastAsia="Arial" w:hAnsi="Arial"/>
          <w:sz w:val="15"/>
          <w:szCs w:val="15"/>
          <w:color w:val="auto"/>
        </w:rPr>
        <w:t>Lazard Ltd indirectly held 100% of all outstanding Lazard Group common membership interests as of June 30, 2015 and December 31, 2014. Lazard Ltd, through its control of the managing members of Lazard Group, controls Lazard Group, which is governed by an Operating Agreement dated as of May 10, 2005, as amended (the “Operating Agreement”). LAZ-MD Holdings LLC (“LAZ-MD Holdings”), an entity formerly owned by Lazard Group’s current and former managing directors, held approximately 0.5% of the outstanding Lazard Group common membership interests as of January 1, 2014. As of January 1, 2014, LAZ-MD Holdings was also the sole owner of the one issued and outstanding share of Lazard Ltd’s Class B common stock (the “Class B common stock”). In May 2014, the remaining outstanding Lazard Group common membership interests held by LAZ-MD Holdings were exchanged for shares of the Company’s Class A common stock, par value $0.01 per share (“Class A common stock”), and the sole issued and outstanding share of the Company’s Class B common stock was automatically converted into one share of the Company’s Class A common stock pursuant to the provisions of the Company’s bye-laws, resulting in only one outstanding class of common stock (the “Final Exchange of LAZ-MD Interests”). Following the Final Exchange of LAZ-MD Interests, Lazard Group became a wholly-owned indirect subsidiary of Lazard Ltd.</w:t>
      </w:r>
    </w:p>
    <w:p>
      <w:pPr>
        <w:spacing w:after="0" w:line="117" w:lineRule="exact"/>
        <w:rPr>
          <w:sz w:val="20"/>
          <w:szCs w:val="20"/>
          <w:color w:val="auto"/>
        </w:rPr>
      </w:pPr>
    </w:p>
    <w:p>
      <w:pPr>
        <w:ind w:right="480" w:firstLine="457"/>
        <w:spacing w:after="0" w:line="296" w:lineRule="auto"/>
        <w:rPr>
          <w:sz w:val="20"/>
          <w:szCs w:val="20"/>
          <w:color w:val="auto"/>
        </w:rPr>
      </w:pPr>
      <w:r>
        <w:rPr>
          <w:rFonts w:ascii="Arial" w:cs="Arial" w:eastAsia="Arial" w:hAnsi="Arial"/>
          <w:sz w:val="16"/>
          <w:szCs w:val="16"/>
          <w:color w:val="auto"/>
        </w:rPr>
        <w:t>Lazard Ltd’s primary operating asset is its indirect ownership of the common membership interests of, and managing member interest in, Lazard Group, whose principal operating activities are included in two business segments:</w:t>
      </w:r>
    </w:p>
    <w:p>
      <w:pPr>
        <w:spacing w:after="0" w:line="27" w:lineRule="exact"/>
        <w:rPr>
          <w:sz w:val="20"/>
          <w:szCs w:val="20"/>
          <w:color w:val="auto"/>
        </w:rPr>
      </w:pPr>
    </w:p>
    <w:p>
      <w:pPr>
        <w:jc w:val="both"/>
        <w:ind w:left="920" w:right="200" w:hanging="349"/>
        <w:spacing w:after="0" w:line="280" w:lineRule="auto"/>
        <w:tabs>
          <w:tab w:leader="none" w:pos="920" w:val="left"/>
        </w:tabs>
        <w:numPr>
          <w:ilvl w:val="0"/>
          <w:numId w:val="5"/>
        </w:numPr>
        <w:rPr>
          <w:rFonts w:ascii="Arial" w:cs="Arial" w:eastAsia="Arial" w:hAnsi="Arial"/>
          <w:sz w:val="16"/>
          <w:szCs w:val="16"/>
          <w:color w:val="auto"/>
        </w:rPr>
      </w:pPr>
      <w:r>
        <w:rPr>
          <w:rFonts w:ascii="Arial" w:cs="Arial" w:eastAsia="Arial" w:hAnsi="Arial"/>
          <w:sz w:val="16"/>
          <w:szCs w:val="16"/>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and various other financial matters, and</w:t>
      </w:r>
    </w:p>
    <w:p>
      <w:pPr>
        <w:spacing w:after="0" w:line="39" w:lineRule="exact"/>
        <w:rPr>
          <w:rFonts w:ascii="Arial" w:cs="Arial" w:eastAsia="Arial" w:hAnsi="Arial"/>
          <w:sz w:val="16"/>
          <w:szCs w:val="16"/>
          <w:color w:val="auto"/>
        </w:rPr>
      </w:pPr>
    </w:p>
    <w:p>
      <w:pPr>
        <w:ind w:left="920" w:right="360" w:hanging="349"/>
        <w:spacing w:after="0" w:line="280" w:lineRule="auto"/>
        <w:tabs>
          <w:tab w:leader="none" w:pos="92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15" w:lineRule="exact"/>
        <w:rPr>
          <w:sz w:val="20"/>
          <w:szCs w:val="20"/>
          <w:color w:val="auto"/>
        </w:rPr>
      </w:pPr>
    </w:p>
    <w:p>
      <w:pPr>
        <w:ind w:right="200" w:firstLine="457"/>
        <w:spacing w:after="0" w:line="296" w:lineRule="auto"/>
        <w:rPr>
          <w:sz w:val="20"/>
          <w:szCs w:val="20"/>
          <w:color w:val="auto"/>
        </w:rPr>
      </w:pPr>
      <w:r>
        <w:rPr>
          <w:rFonts w:ascii="Arial" w:cs="Arial" w:eastAsia="Arial" w:hAnsi="Arial"/>
          <w:sz w:val="16"/>
          <w:szCs w:val="16"/>
          <w:color w:val="auto"/>
        </w:rPr>
        <w:t>In addition, we record selected other activities in our Corporate segment, including management of cash, investments, deferred tax assets, outstanding indebtedness and assets associated with Lazard Group’s Paris-based subsidiary Lazard Frères Banque SA (“LFB”).</w:t>
      </w:r>
    </w:p>
    <w:p>
      <w:pPr>
        <w:spacing w:after="0" w:line="103" w:lineRule="exact"/>
        <w:rPr>
          <w:sz w:val="20"/>
          <w:szCs w:val="20"/>
          <w:color w:val="auto"/>
        </w:rPr>
      </w:pPr>
    </w:p>
    <w:p>
      <w:pPr>
        <w:jc w:val="both"/>
        <w:ind w:right="380" w:firstLine="457"/>
        <w:spacing w:after="0" w:line="280" w:lineRule="auto"/>
        <w:rPr>
          <w:sz w:val="20"/>
          <w:szCs w:val="20"/>
          <w:color w:val="auto"/>
        </w:rPr>
      </w:pPr>
      <w:r>
        <w:rPr>
          <w:rFonts w:ascii="Arial" w:cs="Arial" w:eastAsia="Arial" w:hAnsi="Arial"/>
          <w:sz w:val="16"/>
          <w:szCs w:val="16"/>
          <w:color w:val="auto"/>
        </w:rPr>
        <w:t>LFB is a registered bank regulated by the Autorité de Contrôle Prudentiel et de Résolution (“ACPR”). It is engaged primarily in commercial and private banking services for clients and funds managed by Lazard Frères Gestion SAS (“LFG”) and other clients, investment banking activities, including participation in underwritten offerings of securities in France, and asset-liability management.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440" w:right="23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LAZARD LTD</w:t>
      </w:r>
    </w:p>
    <w:p>
      <w:pPr>
        <w:spacing w:after="0" w:line="94"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auto"/>
        </w:rPr>
        <w:t>NOTES TO CONDENSED CONSOLIDATED FINANCIAL STATEMENTS—(Continued)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except for per share data, unless otherwise noted)</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94" w:lineRule="exact"/>
        <w:rPr>
          <w:sz w:val="20"/>
          <w:szCs w:val="20"/>
          <w:color w:val="auto"/>
        </w:rPr>
      </w:pPr>
    </w:p>
    <w:p>
      <w:pPr>
        <w:ind w:right="20" w:firstLine="457"/>
        <w:spacing w:after="0" w:line="268" w:lineRule="auto"/>
        <w:rPr>
          <w:sz w:val="20"/>
          <w:szCs w:val="20"/>
          <w:color w:val="auto"/>
        </w:rPr>
      </w:pPr>
      <w:r>
        <w:rPr>
          <w:rFonts w:ascii="Arial" w:cs="Arial" w:eastAsia="Arial" w:hAnsi="Arial"/>
          <w:sz w:val="16"/>
          <w:szCs w:val="16"/>
          <w:color w:val="auto"/>
        </w:rPr>
        <w:t>The accompanying condensed consolidated financial statements of Lazard Ltd have been prepared pursuant to the rules and regulations of the United States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Ltd’s Annual Report on Form 10-K for the year ended December 31, 2014 (the “Form 10-K”). The accompanying December 31, 2014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w:t>
      </w:r>
    </w:p>
    <w:p>
      <w:pPr>
        <w:spacing w:after="0" w:line="128" w:lineRule="exact"/>
        <w:rPr>
          <w:sz w:val="20"/>
          <w:szCs w:val="20"/>
          <w:color w:val="auto"/>
        </w:rPr>
      </w:pPr>
    </w:p>
    <w:p>
      <w:pPr>
        <w:ind w:firstLine="457"/>
        <w:spacing w:after="0" w:line="298" w:lineRule="auto"/>
        <w:rPr>
          <w:sz w:val="20"/>
          <w:szCs w:val="20"/>
          <w:color w:val="auto"/>
        </w:rPr>
      </w:pPr>
      <w:r>
        <w:rPr>
          <w:rFonts w:ascii="Arial" w:cs="Arial" w:eastAsia="Arial" w:hAnsi="Arial"/>
          <w:sz w:val="15"/>
          <w:szCs w:val="15"/>
          <w:color w:val="auto"/>
        </w:rPr>
        <w:t>Preparing financial statements requires management to make estimates and assumptions that affect the amounts that are reported in the financial statements and the accompanying disclosures. For example, discretionary compensation and benefits expense for interim periods is accrued based on the year-to-date amount of revenue earned, and an assumed annual ratio of compensation and benefits expense to revenue, with the applicable amounts adjusted for certain items. Although these estimates are based on management’s knowledge of current events and actions that Lazard may undertake in the future, actual results may differ materially from the estimates.</w:t>
      </w:r>
    </w:p>
    <w:p>
      <w:pPr>
        <w:spacing w:after="0" w:line="105" w:lineRule="exact"/>
        <w:rPr>
          <w:sz w:val="20"/>
          <w:szCs w:val="20"/>
          <w:color w:val="auto"/>
        </w:rPr>
      </w:pPr>
    </w:p>
    <w:p>
      <w:pPr>
        <w:ind w:right="180" w:firstLine="457"/>
        <w:spacing w:after="0" w:line="296" w:lineRule="auto"/>
        <w:rPr>
          <w:sz w:val="20"/>
          <w:szCs w:val="20"/>
          <w:color w:val="auto"/>
        </w:rPr>
      </w:pPr>
      <w:r>
        <w:rPr>
          <w:rFonts w:ascii="Arial" w:cs="Arial" w:eastAsia="Arial" w:hAnsi="Arial"/>
          <w:sz w:val="16"/>
          <w:szCs w:val="16"/>
          <w:color w:val="auto"/>
        </w:rPr>
        <w:t>The consolidated results of operations for the three month and six month periods ended June 30, 2015 are not necessarily indicative of the results to be expected for any future interim or annual period.</w:t>
      </w:r>
    </w:p>
    <w:p>
      <w:pPr>
        <w:spacing w:after="0" w:line="103" w:lineRule="exact"/>
        <w:rPr>
          <w:sz w:val="20"/>
          <w:szCs w:val="20"/>
          <w:color w:val="auto"/>
        </w:rPr>
      </w:pPr>
    </w:p>
    <w:p>
      <w:pPr>
        <w:ind w:firstLine="457"/>
        <w:spacing w:after="0" w:line="272" w:lineRule="auto"/>
        <w:rPr>
          <w:sz w:val="20"/>
          <w:szCs w:val="20"/>
          <w:color w:val="auto"/>
        </w:rPr>
      </w:pPr>
      <w:r>
        <w:rPr>
          <w:rFonts w:ascii="Arial" w:cs="Arial" w:eastAsia="Arial" w:hAnsi="Arial"/>
          <w:sz w:val="16"/>
          <w:szCs w:val="16"/>
          <w:color w:val="auto"/>
        </w:rPr>
        <w:t>The condensed consolidated financial statements include Lazard Ltd,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LFG, and Maison Lazard SAS and its subsidiaries; and Lazard &amp; Co., Limited (“LCL”), through Lazard &amp; Co., Holdings Limited (“LCH”), an English private limited company, together with their jointly owned affiliates and subsidiaries.</w:t>
      </w:r>
    </w:p>
    <w:p>
      <w:pPr>
        <w:spacing w:after="0" w:line="121" w:lineRule="exact"/>
        <w:rPr>
          <w:sz w:val="20"/>
          <w:szCs w:val="20"/>
          <w:color w:val="auto"/>
        </w:rPr>
      </w:pPr>
    </w:p>
    <w:p>
      <w:pPr>
        <w:ind w:right="80" w:firstLine="457"/>
        <w:spacing w:after="0" w:line="270" w:lineRule="auto"/>
        <w:rPr>
          <w:sz w:val="20"/>
          <w:szCs w:val="20"/>
          <w:color w:val="auto"/>
        </w:rPr>
      </w:pPr>
      <w:r>
        <w:rPr>
          <w:rFonts w:ascii="Arial" w:cs="Arial" w:eastAsia="Arial" w:hAnsi="Arial"/>
          <w:sz w:val="16"/>
          <w:szCs w:val="16"/>
          <w:color w:val="auto"/>
        </w:rPr>
        <w:t>The Company’s policy is to consolidate entities in which it has a controlling financial interest. The Company consolidates (i) a voting interest entity (“VOE”) where the Company either holds a majority of the voting interest in such entity or is the general partner in such entity and the third-party investors do not have the right to replace the general partner and (ii) a variable interest entity (“VIE”) where the Company absorbs a majority of the expected losses, expected residual returns, or both, of such entity. When the Company does not have a controlling interest in an entity, but exerts significant influence over such entity’s operating and financial decisions, the Company applies the equity method of accounting in which it records in earnings its share of earnings or losses of the entity. Intercompany transactions and balances have been eliminated.</w:t>
      </w:r>
    </w:p>
    <w:p>
      <w:pPr>
        <w:spacing w:after="0" w:line="125" w:lineRule="exact"/>
        <w:rPr>
          <w:sz w:val="20"/>
          <w:szCs w:val="20"/>
          <w:color w:val="auto"/>
        </w:rPr>
      </w:pPr>
    </w:p>
    <w:p>
      <w:pPr>
        <w:ind w:right="220" w:firstLine="457"/>
        <w:spacing w:after="0" w:line="331" w:lineRule="auto"/>
        <w:rPr>
          <w:sz w:val="20"/>
          <w:szCs w:val="20"/>
          <w:color w:val="auto"/>
        </w:rPr>
      </w:pPr>
      <w:r>
        <w:rPr>
          <w:rFonts w:ascii="Arial" w:cs="Arial" w:eastAsia="Arial" w:hAnsi="Arial"/>
          <w:sz w:val="15"/>
          <w:szCs w:val="15"/>
          <w:color w:val="auto"/>
        </w:rPr>
        <w:t>Certain prior period amounts have been reclassified to conform to the current period presentation, primarily by separately presenting deferred tax assets and the tax receivable agreement obligation in the condensed consolidated statements of financial condition and the condensed consolidated statements of cash flows.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440" w:right="23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LAZARD LTD</w:t>
      </w:r>
    </w:p>
    <w:p>
      <w:pPr>
        <w:spacing w:after="0" w:line="94"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auto"/>
        </w:rPr>
        <w:t>NOTES TO CONDENSED CONSOLIDATED FINANCIAL STATEMENTS—(Continued)</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thousands, except for per share data, unless otherwise noted)</w:t>
      </w:r>
    </w:p>
    <w:p>
      <w:pPr>
        <w:spacing w:after="0" w:line="152" w:lineRule="exact"/>
        <w:rPr>
          <w:sz w:val="20"/>
          <w:szCs w:val="20"/>
          <w:color w:val="auto"/>
        </w:rPr>
      </w:pPr>
    </w:p>
    <w:p>
      <w:pPr>
        <w:ind w:left="460" w:hanging="459"/>
        <w:spacing w:after="0"/>
        <w:tabs>
          <w:tab w:leader="none" w:pos="460" w:val="left"/>
        </w:tabs>
        <w:numPr>
          <w:ilvl w:val="0"/>
          <w:numId w:val="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RECENT ACCOUNTING DEVELOPMENTS</w:t>
      </w:r>
    </w:p>
    <w:p>
      <w:pPr>
        <w:spacing w:after="0" w:line="94" w:lineRule="exact"/>
        <w:rPr>
          <w:sz w:val="20"/>
          <w:szCs w:val="20"/>
          <w:color w:val="auto"/>
        </w:rPr>
      </w:pPr>
    </w:p>
    <w:p>
      <w:pPr>
        <w:ind w:firstLine="457"/>
        <w:spacing w:after="0" w:line="270" w:lineRule="auto"/>
        <w:rPr>
          <w:sz w:val="20"/>
          <w:szCs w:val="20"/>
          <w:color w:val="auto"/>
        </w:rPr>
      </w:pP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—In May 2014, the Financial Accounting Standards Board (the “FASB”) issued comprehensive new revenue recognition</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The guidance requires a company to recognize revenue when it transfers promised services to customers in an amount that reflects the consideration to which the company expects to be entitled in exchange for those services and requires enhanced disclosures. The new guidance is effective for annual and interim periods beginning after December 15, 2016, and early adoption is not permitted. On July 9, 2015, the FASB approved the deferral of the effective date of the new revenue guidance by one year to annual reporting periods beginning after December 15, 2017, with early adoption being permitted for annual periods beginning after December 15, 2016. The Company is currently evaluating the new guidance.</w:t>
      </w:r>
    </w:p>
    <w:p>
      <w:pPr>
        <w:spacing w:after="0" w:line="125" w:lineRule="exact"/>
        <w:rPr>
          <w:sz w:val="20"/>
          <w:szCs w:val="20"/>
          <w:color w:val="auto"/>
        </w:rPr>
      </w:pPr>
    </w:p>
    <w:p>
      <w:pPr>
        <w:ind w:right="40" w:firstLine="457"/>
        <w:spacing w:after="0" w:line="298" w:lineRule="auto"/>
        <w:rPr>
          <w:sz w:val="20"/>
          <w:szCs w:val="20"/>
          <w:color w:val="auto"/>
        </w:rPr>
      </w:pPr>
      <w:r>
        <w:rPr>
          <w:rFonts w:ascii="Arial" w:cs="Arial" w:eastAsia="Arial" w:hAnsi="Arial"/>
          <w:sz w:val="15"/>
          <w:szCs w:val="15"/>
          <w:i w:val="1"/>
          <w:iCs w:val="1"/>
          <w:color w:val="auto"/>
        </w:rPr>
        <w:t>Amendments to the Consolidation Analysis</w:t>
      </w:r>
      <w:r>
        <w:rPr>
          <w:rFonts w:ascii="Arial" w:cs="Arial" w:eastAsia="Arial" w:hAnsi="Arial"/>
          <w:sz w:val="15"/>
          <w:szCs w:val="15"/>
          <w:color w:val="auto"/>
        </w:rPr>
        <w:t>—In February 2015, the FASB issued updated guidance for the consolidation of certain legal entities. The updated</w:t>
      </w:r>
      <w:r>
        <w:rPr>
          <w:rFonts w:ascii="Arial" w:cs="Arial" w:eastAsia="Arial" w:hAnsi="Arial"/>
          <w:sz w:val="15"/>
          <w:szCs w:val="15"/>
          <w:i w:val="1"/>
          <w:iCs w:val="1"/>
          <w:color w:val="auto"/>
        </w:rPr>
        <w:t xml:space="preserve"> </w:t>
      </w:r>
      <w:r>
        <w:rPr>
          <w:rFonts w:ascii="Arial" w:cs="Arial" w:eastAsia="Arial" w:hAnsi="Arial"/>
          <w:sz w:val="15"/>
          <w:szCs w:val="15"/>
          <w:color w:val="auto"/>
        </w:rPr>
        <w:t>guidance eliminates the deferral of certain consolidation standards for entities considered to be investment companies and modifies the evaluation of whether limited partnerships and similar legal entities are VIEs or VOEs. The new guidance is effective for annual reporting periods beginning after December 15, 2015, with early adoption permitted. The Company does not expect that the adoption of this guidance will have a material impact on our consolidated financial statements or related disclosures.</w:t>
      </w:r>
    </w:p>
    <w:p>
      <w:pPr>
        <w:spacing w:after="0" w:line="105" w:lineRule="exact"/>
        <w:rPr>
          <w:sz w:val="20"/>
          <w:szCs w:val="20"/>
          <w:color w:val="auto"/>
        </w:rPr>
      </w:pPr>
    </w:p>
    <w:p>
      <w:pPr>
        <w:ind w:right="140" w:firstLine="457"/>
        <w:spacing w:after="0" w:line="325" w:lineRule="auto"/>
        <w:rPr>
          <w:sz w:val="20"/>
          <w:szCs w:val="20"/>
          <w:color w:val="auto"/>
        </w:rPr>
      </w:pPr>
      <w:r>
        <w:rPr>
          <w:rFonts w:ascii="Arial" w:cs="Arial" w:eastAsia="Arial" w:hAnsi="Arial"/>
          <w:sz w:val="14"/>
          <w:szCs w:val="14"/>
          <w:i w:val="1"/>
          <w:iCs w:val="1"/>
          <w:color w:val="auto"/>
        </w:rPr>
        <w:t>Interest—Imputation of Interest</w:t>
      </w:r>
      <w:r>
        <w:rPr>
          <w:rFonts w:ascii="Arial" w:cs="Arial" w:eastAsia="Arial" w:hAnsi="Arial"/>
          <w:sz w:val="14"/>
          <w:szCs w:val="14"/>
          <w:color w:val="auto"/>
        </w:rPr>
        <w:t>—In April 2015, the FASB issued updated guidance which requires a company to classify debt issuance costs related to a recognized</w:t>
      </w:r>
      <w:r>
        <w:rPr>
          <w:rFonts w:ascii="Arial" w:cs="Arial" w:eastAsia="Arial" w:hAnsi="Arial"/>
          <w:sz w:val="14"/>
          <w:szCs w:val="14"/>
          <w:i w:val="1"/>
          <w:iCs w:val="1"/>
          <w:color w:val="auto"/>
        </w:rPr>
        <w:t xml:space="preserve"> </w:t>
      </w:r>
      <w:r>
        <w:rPr>
          <w:rFonts w:ascii="Arial" w:cs="Arial" w:eastAsia="Arial" w:hAnsi="Arial"/>
          <w:sz w:val="14"/>
          <w:szCs w:val="14"/>
          <w:color w:val="auto"/>
        </w:rPr>
        <w:t>debt liability in the balance sheet as a direct deduction from the carrying amount of that debt liability, consistent with debt discounts. The new guidance is effective for financial statements issued for fiscal years beginning after December 15, 2015, with early adoption permitted. The new guidance is to be applied on a retrospective basis. The Company does not expect that the adoption of this guidance will have a material impact on our consolidated financial statements or related disclosures.</w:t>
      </w:r>
    </w:p>
    <w:p>
      <w:pPr>
        <w:spacing w:after="0" w:line="90" w:lineRule="exact"/>
        <w:rPr>
          <w:sz w:val="20"/>
          <w:szCs w:val="20"/>
          <w:color w:val="auto"/>
        </w:rPr>
      </w:pPr>
    </w:p>
    <w:p>
      <w:pPr>
        <w:ind w:right="200" w:firstLine="457"/>
        <w:spacing w:after="0" w:line="319" w:lineRule="auto"/>
        <w:rPr>
          <w:sz w:val="20"/>
          <w:szCs w:val="20"/>
          <w:color w:val="auto"/>
        </w:rPr>
      </w:pPr>
      <w:r>
        <w:rPr>
          <w:rFonts w:ascii="Arial" w:cs="Arial" w:eastAsia="Arial" w:hAnsi="Arial"/>
          <w:sz w:val="14"/>
          <w:szCs w:val="14"/>
          <w:i w:val="1"/>
          <w:iCs w:val="1"/>
          <w:color w:val="auto"/>
        </w:rPr>
        <w:t>Fair Value Measurement</w:t>
      </w:r>
      <w:r>
        <w:rPr>
          <w:rFonts w:ascii="Arial" w:cs="Arial" w:eastAsia="Arial" w:hAnsi="Arial"/>
          <w:sz w:val="14"/>
          <w:szCs w:val="14"/>
          <w:color w:val="auto"/>
        </w:rPr>
        <w:t>—In May 2015, the FASB issued updated guidance for the classification and disclosure of certain investments using the net asset value</w:t>
      </w:r>
      <w:r>
        <w:rPr>
          <w:rFonts w:ascii="Arial" w:cs="Arial" w:eastAsia="Arial" w:hAnsi="Arial"/>
          <w:sz w:val="14"/>
          <w:szCs w:val="14"/>
          <w:i w:val="1"/>
          <w:iCs w:val="1"/>
          <w:color w:val="auto"/>
        </w:rPr>
        <w:t xml:space="preserve"> </w:t>
      </w:r>
      <w:r>
        <w:rPr>
          <w:rFonts w:ascii="Arial" w:cs="Arial" w:eastAsia="Arial" w:hAnsi="Arial"/>
          <w:sz w:val="14"/>
          <w:szCs w:val="14"/>
          <w:color w:val="auto"/>
        </w:rPr>
        <w:t>(“NAV”), as a practical expedient, to measure the fair value of the investment. The guidance requires a company to remove from within the fair value hierarchy all investments for which fair value is measured using NAV. The new guidance is effective for financial statements issued for fiscal years beginning after December 15, 2015, with early adoption permitted. The new guidance is to be applied on a retrospective basis. The Company does not expect that the adoption of this guidance will have a material impact on our consolidated financial statements, but does expect that this guidance will affect the disclosures related to investments and fair value measurements.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440" w:right="23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LAZARD LTD</w:t>
      </w:r>
    </w:p>
    <w:p>
      <w:pPr>
        <w:spacing w:after="0" w:line="94"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auto"/>
        </w:rPr>
        <w:t>NOTES TO CONDENSED CONSOLIDATED FINANCIAL STATEMENTS—(Continued)</w:t>
      </w: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(UNAUDITED)</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(dollars in thousands, except for per share data, unless otherwise noted)</w:t>
      </w:r>
    </w:p>
    <w:p>
      <w:pPr>
        <w:spacing w:after="0" w:line="152" w:lineRule="exact"/>
        <w:rPr>
          <w:sz w:val="20"/>
          <w:szCs w:val="20"/>
          <w:color w:val="auto"/>
        </w:rPr>
      </w:pPr>
    </w:p>
    <w:p>
      <w:pPr>
        <w:ind w:left="460" w:hanging="459"/>
        <w:spacing w:after="0"/>
        <w:tabs>
          <w:tab w:leader="none" w:pos="460" w:val="left"/>
        </w:tabs>
        <w:numPr>
          <w:ilvl w:val="0"/>
          <w:numId w:val="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RECEIVABLES</w:t>
      </w:r>
    </w:p>
    <w:p>
      <w:pPr>
        <w:spacing w:after="0" w:line="94" w:lineRule="exact"/>
        <w:rPr>
          <w:rFonts w:ascii="Arial" w:cs="Arial" w:eastAsia="Arial" w:hAnsi="Arial"/>
          <w:sz w:val="16"/>
          <w:szCs w:val="16"/>
          <w:b w:val="1"/>
          <w:bCs w:val="1"/>
          <w:i w:val="1"/>
          <w:iCs w:val="1"/>
          <w:color w:val="auto"/>
        </w:rPr>
      </w:pPr>
    </w:p>
    <w:p>
      <w:pPr>
        <w:ind w:left="460"/>
        <w:spacing w:after="0"/>
        <w:rPr>
          <w:rFonts w:ascii="Arial" w:cs="Arial" w:eastAsia="Arial" w:hAnsi="Arial"/>
          <w:sz w:val="16"/>
          <w:szCs w:val="16"/>
          <w:b w:val="1"/>
          <w:bCs w:val="1"/>
          <w:i w:val="1"/>
          <w:iCs w:val="1"/>
          <w:color w:val="auto"/>
        </w:rPr>
      </w:pPr>
      <w:r>
        <w:rPr>
          <w:rFonts w:ascii="Arial" w:cs="Arial" w:eastAsia="Arial" w:hAnsi="Arial"/>
          <w:sz w:val="16"/>
          <w:szCs w:val="16"/>
          <w:color w:val="auto"/>
        </w:rPr>
        <w:t>The Company’s receivables represent fee receivables and amounts due from customers and other receivables.</w:t>
      </w:r>
    </w:p>
    <w:p>
      <w:pPr>
        <w:spacing w:after="0" w:line="170" w:lineRule="exact"/>
        <w:rPr>
          <w:sz w:val="20"/>
          <w:szCs w:val="20"/>
          <w:color w:val="auto"/>
        </w:rPr>
      </w:pPr>
    </w:p>
    <w:p>
      <w:pPr>
        <w:ind w:firstLine="457"/>
        <w:spacing w:after="0" w:line="372" w:lineRule="auto"/>
        <w:rPr>
          <w:sz w:val="20"/>
          <w:szCs w:val="20"/>
          <w:color w:val="auto"/>
        </w:rPr>
      </w:pPr>
      <w:r>
        <w:rPr>
          <w:rFonts w:ascii="Arial" w:cs="Arial" w:eastAsia="Arial" w:hAnsi="Arial"/>
          <w:sz w:val="14"/>
          <w:szCs w:val="14"/>
          <w:color w:val="auto"/>
        </w:rPr>
        <w:t>Receivables are stated net of an estimated allowance for doubtful accounts, for past due amounts and for specific accounts deemed uncollectible, which may include situations where a fee is in dispute. Activity in the allowance for doubtful accounts for the three month and six month periods ended June 30, 2015 and 2014 was as follows:</w:t>
      </w:r>
    </w:p>
    <w:p>
      <w:pPr>
        <w:spacing w:after="0" w:line="81"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6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60" w:type="dxa"/>
            <w:vAlign w:val="bottom"/>
            <w:gridSpan w:val="4"/>
          </w:tcPr>
          <w:p>
            <w:pPr>
              <w:jc w:val="right"/>
              <w:ind w:right="580"/>
              <w:spacing w:after="0"/>
              <w:rPr>
                <w:sz w:val="20"/>
                <w:szCs w:val="20"/>
                <w:color w:val="auto"/>
              </w:rPr>
            </w:pPr>
            <w:r>
              <w:rPr>
                <w:rFonts w:ascii="Arial" w:cs="Arial" w:eastAsia="Arial" w:hAnsi="Arial"/>
                <w:sz w:val="13"/>
                <w:szCs w:val="13"/>
                <w:b w:val="1"/>
                <w:bCs w:val="1"/>
                <w:color w:val="auto"/>
              </w:rPr>
              <w:t>Three Months Ended</w:t>
            </w:r>
          </w:p>
        </w:tc>
        <w:tc>
          <w:tcPr>
            <w:tcW w:w="240" w:type="dxa"/>
            <w:vAlign w:val="bottom"/>
          </w:tcPr>
          <w:p>
            <w:pPr>
              <w:spacing w:after="0"/>
              <w:rPr>
                <w:sz w:val="13"/>
                <w:szCs w:val="13"/>
                <w:color w:val="auto"/>
              </w:rPr>
            </w:pPr>
          </w:p>
        </w:tc>
        <w:tc>
          <w:tcPr>
            <w:tcW w:w="1720" w:type="dxa"/>
            <w:vAlign w:val="bottom"/>
            <w:gridSpan w:val="5"/>
          </w:tcPr>
          <w:p>
            <w:pPr>
              <w:jc w:val="right"/>
              <w:ind w:right="42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52"/>
        </w:trPr>
        <w:tc>
          <w:tcPr>
            <w:tcW w:w="6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20" w:type="dxa"/>
            <w:vAlign w:val="bottom"/>
            <w:gridSpan w:val="3"/>
          </w:tcPr>
          <w:p>
            <w:pPr>
              <w:jc w:val="right"/>
              <w:ind w:right="900"/>
              <w:spacing w:after="0"/>
              <w:rPr>
                <w:sz w:val="20"/>
                <w:szCs w:val="20"/>
                <w:color w:val="auto"/>
              </w:rPr>
            </w:pPr>
            <w:r>
              <w:rPr>
                <w:rFonts w:ascii="Arial" w:cs="Arial" w:eastAsia="Arial" w:hAnsi="Arial"/>
                <w:sz w:val="13"/>
                <w:szCs w:val="13"/>
                <w:b w:val="1"/>
                <w:bCs w:val="1"/>
                <w:color w:val="auto"/>
                <w:w w:val="96"/>
              </w:rPr>
              <w:t>June 30,</w:t>
            </w: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w w:val="88"/>
              </w:rPr>
              <w:t>June 30,</w:t>
            </w: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6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top w:val="single" w:sz="8" w:color="auto"/>
            </w:tcBorders>
          </w:tcPr>
          <w:p>
            <w:pPr>
              <w:jc w:val="right"/>
              <w:ind w:right="87"/>
              <w:spacing w:after="0" w:line="132" w:lineRule="exact"/>
              <w:rPr>
                <w:sz w:val="20"/>
                <w:szCs w:val="20"/>
                <w:color w:val="auto"/>
              </w:rPr>
            </w:pPr>
            <w:r>
              <w:rPr>
                <w:rFonts w:ascii="Arial" w:cs="Arial" w:eastAsia="Arial" w:hAnsi="Arial"/>
                <w:sz w:val="13"/>
                <w:szCs w:val="13"/>
                <w:b w:val="1"/>
                <w:bCs w:val="1"/>
                <w:color w:val="auto"/>
              </w:rPr>
              <w:t>2015</w:t>
            </w:r>
          </w:p>
        </w:tc>
        <w:tc>
          <w:tcPr>
            <w:tcW w:w="1140" w:type="dxa"/>
            <w:vAlign w:val="bottom"/>
            <w:tcBorders>
              <w:top w:val="single" w:sz="8" w:color="auto"/>
            </w:tcBorders>
            <w:gridSpan w:val="2"/>
          </w:tcPr>
          <w:p>
            <w:pPr>
              <w:jc w:val="right"/>
              <w:ind w:right="58"/>
              <w:spacing w:after="0" w:line="132" w:lineRule="exact"/>
              <w:rPr>
                <w:sz w:val="20"/>
                <w:szCs w:val="20"/>
                <w:color w:val="auto"/>
              </w:rPr>
            </w:pPr>
            <w:r>
              <w:rPr>
                <w:rFonts w:ascii="Arial" w:cs="Arial" w:eastAsia="Arial" w:hAnsi="Arial"/>
                <w:sz w:val="13"/>
                <w:szCs w:val="13"/>
                <w:b w:val="1"/>
                <w:bCs w:val="1"/>
                <w:color w:val="auto"/>
              </w:rPr>
              <w:t>2014</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Borders>
              <w:top w:val="single" w:sz="8" w:color="auto"/>
            </w:tcBorders>
          </w:tcPr>
          <w:p>
            <w:pPr>
              <w:jc w:val="right"/>
              <w:ind w:right="67"/>
              <w:spacing w:after="0" w:line="132" w:lineRule="exact"/>
              <w:rPr>
                <w:sz w:val="20"/>
                <w:szCs w:val="20"/>
                <w:color w:val="auto"/>
              </w:rPr>
            </w:pPr>
            <w:r>
              <w:rPr>
                <w:rFonts w:ascii="Arial" w:cs="Arial" w:eastAsia="Arial" w:hAnsi="Arial"/>
                <w:sz w:val="13"/>
                <w:szCs w:val="13"/>
                <w:b w:val="1"/>
                <w:bCs w:val="1"/>
                <w:color w:val="auto"/>
              </w:rPr>
              <w:t>2015</w:t>
            </w:r>
          </w:p>
        </w:tc>
        <w:tc>
          <w:tcPr>
            <w:tcW w:w="5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right"/>
              <w:ind w:right="78"/>
              <w:spacing w:after="0" w:line="132" w:lineRule="exact"/>
              <w:rPr>
                <w:sz w:val="20"/>
                <w:szCs w:val="20"/>
                <w:color w:val="auto"/>
              </w:rPr>
            </w:pPr>
            <w:r>
              <w:rPr>
                <w:rFonts w:ascii="Arial" w:cs="Arial" w:eastAsia="Arial" w:hAnsi="Arial"/>
                <w:sz w:val="13"/>
                <w:szCs w:val="13"/>
                <w:b w:val="1"/>
                <w:bCs w:val="1"/>
                <w:color w:val="auto"/>
              </w:rPr>
              <w:t>2014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Beginning balance</w:t>
            </w:r>
          </w:p>
        </w:tc>
        <w:tc>
          <w:tcPr>
            <w:tcW w:w="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$18,459</w:t>
            </w:r>
          </w:p>
        </w:tc>
        <w:tc>
          <w:tcPr>
            <w:tcW w:w="6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$31,324</w:t>
            </w:r>
          </w:p>
        </w:tc>
        <w:tc>
          <w:tcPr>
            <w:tcW w:w="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$23,540</w:t>
            </w:r>
          </w:p>
        </w:tc>
        <w:tc>
          <w:tcPr>
            <w:tcW w:w="5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$28,777</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580" w:type="dxa"/>
            <w:vAlign w:val="bottom"/>
          </w:tcPr>
          <w:p>
            <w:pPr>
              <w:spacing w:after="0"/>
              <w:rPr>
                <w:sz w:val="20"/>
                <w:szCs w:val="20"/>
                <w:color w:val="auto"/>
              </w:rPr>
            </w:pPr>
            <w:r>
              <w:rPr>
                <w:rFonts w:ascii="Arial" w:cs="Arial" w:eastAsia="Arial" w:hAnsi="Arial"/>
                <w:sz w:val="16"/>
                <w:szCs w:val="16"/>
                <w:color w:val="auto"/>
              </w:rPr>
              <w:t>Bad debt expense, net of recoveries</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2,061</w:t>
            </w:r>
          </w:p>
        </w:tc>
        <w:tc>
          <w:tcPr>
            <w:tcW w:w="1420" w:type="dxa"/>
            <w:vAlign w:val="bottom"/>
            <w:gridSpan w:val="3"/>
          </w:tcPr>
          <w:p>
            <w:pPr>
              <w:jc w:val="right"/>
              <w:ind w:right="220"/>
              <w:spacing w:after="0"/>
              <w:rPr>
                <w:sz w:val="20"/>
                <w:szCs w:val="20"/>
                <w:color w:val="auto"/>
              </w:rPr>
            </w:pPr>
            <w:r>
              <w:rPr>
                <w:rFonts w:ascii="Arial" w:cs="Arial" w:eastAsia="Arial" w:hAnsi="Arial"/>
                <w:sz w:val="16"/>
                <w:szCs w:val="16"/>
                <w:color w:val="auto"/>
              </w:rPr>
              <w:t>(1,633)</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3,293</w:t>
            </w:r>
          </w:p>
        </w:tc>
        <w:tc>
          <w:tcPr>
            <w:tcW w:w="50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7,503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80" w:type="dxa"/>
            <w:vAlign w:val="bottom"/>
            <w:shd w:val="clear" w:color="auto" w:fill="CCEEFF"/>
          </w:tcPr>
          <w:p>
            <w:pPr>
              <w:spacing w:after="0"/>
              <w:rPr>
                <w:sz w:val="20"/>
                <w:szCs w:val="20"/>
                <w:color w:val="auto"/>
              </w:rPr>
            </w:pPr>
            <w:r>
              <w:rPr>
                <w:rFonts w:ascii="Arial" w:cs="Arial" w:eastAsia="Arial" w:hAnsi="Arial"/>
                <w:sz w:val="16"/>
                <w:szCs w:val="16"/>
                <w:color w:val="auto"/>
              </w:rPr>
              <w:t>Charge-offs, foreign currency translation and other adjustments</w:t>
            </w: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77"/>
              <w:spacing w:after="0"/>
              <w:rPr>
                <w:sz w:val="20"/>
                <w:szCs w:val="20"/>
                <w:color w:val="auto"/>
              </w:rPr>
            </w:pPr>
            <w:r>
              <w:rPr>
                <w:rFonts w:ascii="Arial" w:cs="Arial" w:eastAsia="Arial" w:hAnsi="Arial"/>
                <w:sz w:val="16"/>
                <w:szCs w:val="16"/>
                <w:color w:val="auto"/>
              </w:rPr>
              <w:t>(5,762)</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(6,337)</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6"/>
                <w:szCs w:val="16"/>
                <w:color w:val="auto"/>
              </w:rPr>
              <w:t>Ending balance</w:t>
            </w: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580" w:type="dxa"/>
            <w:vAlign w:val="bottom"/>
            <w:vMerge w:val="continue"/>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21,071</w:t>
            </w:r>
          </w:p>
        </w:tc>
        <w:tc>
          <w:tcPr>
            <w:tcW w:w="114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29,943</w:t>
            </w:r>
          </w:p>
        </w:tc>
        <w:tc>
          <w:tcPr>
            <w:tcW w:w="28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21,071</w:t>
            </w:r>
          </w:p>
        </w:tc>
        <w:tc>
          <w:tcPr>
            <w:tcW w:w="50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u w:val="single" w:color="auto"/>
                <w:color w:val="auto"/>
                <w:w w:val="93"/>
              </w:rPr>
              <w:t>$</w:t>
            </w:r>
            <w:r>
              <w:rPr>
                <w:rFonts w:ascii="Arial" w:cs="Arial" w:eastAsia="Arial" w:hAnsi="Arial"/>
                <w:sz w:val="16"/>
                <w:szCs w:val="16"/>
                <w:color w:val="auto"/>
                <w:w w:val="93"/>
              </w:rPr>
              <w:t>29,943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Bad debt expense, net of recoveries is included in “investment banking and other advisory fees” on the condensed consolidated statements of operations.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June 30, 2015 and December 31, 2014, the Company had receivables past due or deemed uncollectible of $22,833 and $24,578, respectively.</w:t>
      </w:r>
    </w:p>
    <w:p>
      <w:pPr>
        <w:spacing w:after="0" w:line="170" w:lineRule="exact"/>
        <w:rPr>
          <w:sz w:val="20"/>
          <w:szCs w:val="20"/>
          <w:color w:val="auto"/>
        </w:rPr>
      </w:pPr>
    </w:p>
    <w:p>
      <w:pPr>
        <w:jc w:val="both"/>
        <w:ind w:right="200" w:firstLine="457"/>
        <w:spacing w:after="0" w:line="280" w:lineRule="auto"/>
        <w:rPr>
          <w:sz w:val="20"/>
          <w:szCs w:val="20"/>
          <w:color w:val="auto"/>
        </w:rPr>
      </w:pPr>
      <w:r>
        <w:rPr>
          <w:rFonts w:ascii="Arial" w:cs="Arial" w:eastAsia="Arial" w:hAnsi="Arial"/>
          <w:sz w:val="16"/>
          <w:szCs w:val="16"/>
          <w:color w:val="auto"/>
        </w:rPr>
        <w:t>Of the Company’s fee receivables at June 30, 2015 and December 31, 2014, $81,302 and $86,221, respectively, represented interest-bearing financing receivables. Based upon our historical loss experience, the credit quality of the counterparties, and the lack of past due or uncollectible amounts, there was no allowance for doubtful accounts required at those dates related to such receivables.</w:t>
      </w:r>
    </w:p>
    <w:p>
      <w:pPr>
        <w:spacing w:after="0" w:line="115" w:lineRule="exact"/>
        <w:rPr>
          <w:sz w:val="20"/>
          <w:szCs w:val="20"/>
          <w:color w:val="auto"/>
        </w:rPr>
      </w:pPr>
    </w:p>
    <w:p>
      <w:pPr>
        <w:ind w:right="840" w:firstLine="457"/>
        <w:spacing w:after="0" w:line="296" w:lineRule="auto"/>
        <w:rPr>
          <w:sz w:val="20"/>
          <w:szCs w:val="20"/>
          <w:color w:val="auto"/>
        </w:rPr>
      </w:pPr>
      <w:r>
        <w:rPr>
          <w:rFonts w:ascii="Arial" w:cs="Arial" w:eastAsia="Arial" w:hAnsi="Arial"/>
          <w:sz w:val="16"/>
          <w:szCs w:val="16"/>
          <w:color w:val="auto"/>
        </w:rPr>
        <w:t>The aggregate carrying amount of our non-interest bearing receivables of $420,229 and $471,375 at June 30, 2015 and December 31, 2014, respectively, approximates fair value.</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360"/>
          </w:cols>
          <w:pgMar w:left="240" w:top="440" w:right="29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LAZARD LTD</w:t>
      </w:r>
    </w:p>
    <w:p>
      <w:pPr>
        <w:spacing w:after="0" w:line="94"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auto"/>
        </w:rPr>
        <w:t>NOTES TO CONDENSED CONSOLIDATED FINANCIAL STATEMENTS—(Continued)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except for per share data, unless otherwise noted)</w:t>
      </w:r>
    </w:p>
    <w:p>
      <w:pPr>
        <w:spacing w:after="0" w:line="152" w:lineRule="exact"/>
        <w:rPr>
          <w:sz w:val="20"/>
          <w:szCs w:val="20"/>
          <w:color w:val="auto"/>
        </w:rPr>
      </w:pPr>
    </w:p>
    <w:p>
      <w:pPr>
        <w:ind w:left="460" w:hanging="459"/>
        <w:spacing w:after="0"/>
        <w:tabs>
          <w:tab w:leader="none" w:pos="460" w:val="left"/>
        </w:tabs>
        <w:numPr>
          <w:ilvl w:val="0"/>
          <w:numId w:val="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INVESTMENTS</w:t>
      </w:r>
    </w:p>
    <w:p>
      <w:pPr>
        <w:spacing w:after="0" w:line="94" w:lineRule="exact"/>
        <w:rPr>
          <w:rFonts w:ascii="Arial" w:cs="Arial" w:eastAsia="Arial" w:hAnsi="Arial"/>
          <w:sz w:val="16"/>
          <w:szCs w:val="16"/>
          <w:b w:val="1"/>
          <w:bCs w:val="1"/>
          <w:i w:val="1"/>
          <w:iCs w:val="1"/>
          <w:color w:val="auto"/>
        </w:rPr>
      </w:pPr>
    </w:p>
    <w:p>
      <w:pPr>
        <w:ind w:left="460"/>
        <w:spacing w:after="0"/>
        <w:rPr>
          <w:rFonts w:ascii="Arial" w:cs="Arial" w:eastAsia="Arial" w:hAnsi="Arial"/>
          <w:sz w:val="16"/>
          <w:szCs w:val="16"/>
          <w:b w:val="1"/>
          <w:bCs w:val="1"/>
          <w:i w:val="1"/>
          <w:iCs w:val="1"/>
          <w:color w:val="auto"/>
        </w:rPr>
      </w:pPr>
      <w:r>
        <w:rPr>
          <w:rFonts w:ascii="Arial" w:cs="Arial" w:eastAsia="Arial" w:hAnsi="Arial"/>
          <w:sz w:val="16"/>
          <w:szCs w:val="16"/>
          <w:color w:val="auto"/>
        </w:rPr>
        <w:t>The Company’s investments and securities sold, not yet purchased, consist of the following at June 30, 2015 and December 31, 2014: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20"/>
              <w:spacing w:after="0"/>
              <w:rPr>
                <w:sz w:val="20"/>
                <w:szCs w:val="20"/>
                <w:color w:val="auto"/>
              </w:rPr>
            </w:pPr>
            <w:r>
              <w:rPr>
                <w:rFonts w:ascii="Arial" w:cs="Arial" w:eastAsia="Arial" w:hAnsi="Arial"/>
                <w:sz w:val="13"/>
                <w:szCs w:val="13"/>
                <w:b w:val="1"/>
                <w:bCs w:val="1"/>
                <w:color w:val="auto"/>
                <w:w w:val="84"/>
              </w:rPr>
              <w:t>June 30,</w:t>
            </w:r>
          </w:p>
        </w:tc>
        <w:tc>
          <w:tcPr>
            <w:tcW w:w="320" w:type="dxa"/>
            <w:vAlign w:val="bottom"/>
          </w:tcPr>
          <w:p>
            <w:pPr>
              <w:spacing w:after="0"/>
              <w:rPr>
                <w:sz w:val="13"/>
                <w:szCs w:val="13"/>
                <w:color w:val="auto"/>
              </w:rPr>
            </w:pPr>
          </w:p>
        </w:tc>
        <w:tc>
          <w:tcPr>
            <w:tcW w:w="860" w:type="dxa"/>
            <w:vAlign w:val="bottom"/>
            <w:gridSpan w:val="3"/>
          </w:tcPr>
          <w:p>
            <w:pPr>
              <w:ind w:left="20"/>
              <w:spacing w:after="0"/>
              <w:rPr>
                <w:sz w:val="20"/>
                <w:szCs w:val="20"/>
                <w:color w:val="auto"/>
              </w:rPr>
            </w:pPr>
            <w:r>
              <w:rPr>
                <w:rFonts w:ascii="Arial" w:cs="Arial" w:eastAsia="Arial" w:hAnsi="Arial"/>
                <w:sz w:val="13"/>
                <w:szCs w:val="13"/>
                <w:b w:val="1"/>
                <w:bCs w:val="1"/>
                <w:color w:val="auto"/>
                <w:w w:val="96"/>
              </w:rPr>
              <w:t>December 31,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120" w:type="dxa"/>
            <w:vAlign w:val="bottom"/>
            <w:tcBorders>
              <w:bottom w:val="single" w:sz="8" w:color="CCEEFF"/>
            </w:tcBorders>
          </w:tcPr>
          <w:p>
            <w:pPr>
              <w:spacing w:after="0"/>
              <w:rPr>
                <w:sz w:val="13"/>
                <w:szCs w:val="13"/>
                <w:color w:val="auto"/>
              </w:rPr>
            </w:pPr>
          </w:p>
        </w:tc>
        <w:tc>
          <w:tcPr>
            <w:tcW w:w="84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rPr>
              <w:t>2015</w:t>
            </w:r>
          </w:p>
        </w:tc>
        <w:tc>
          <w:tcPr>
            <w:tcW w:w="3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3"/>
                <w:szCs w:val="13"/>
                <w:b w:val="1"/>
                <w:bCs w:val="1"/>
                <w:color w:val="auto"/>
              </w:rPr>
              <w:t>2014</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Interest-bearing deposits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56,411</w:t>
            </w:r>
          </w:p>
        </w:tc>
        <w:tc>
          <w:tcPr>
            <w:tcW w:w="3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84,575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9600" w:type="dxa"/>
            <w:vAlign w:val="bottom"/>
            <w:gridSpan w:val="3"/>
          </w:tcPr>
          <w:p>
            <w:pPr>
              <w:spacing w:after="0"/>
              <w:rPr>
                <w:sz w:val="20"/>
                <w:szCs w:val="20"/>
                <w:color w:val="auto"/>
              </w:rPr>
            </w:pPr>
            <w:r>
              <w:rPr>
                <w:rFonts w:ascii="Arial" w:cs="Arial" w:eastAsia="Arial" w:hAnsi="Arial"/>
                <w:sz w:val="16"/>
                <w:szCs w:val="16"/>
                <w:color w:val="auto"/>
              </w:rPr>
              <w:t>Debt</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1,870</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10,426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8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Equities</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53,147</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57,302</w:t>
            </w:r>
          </w:p>
        </w:tc>
        <w:tc>
          <w:tcPr>
            <w:tcW w:w="0" w:type="dxa"/>
            <w:vAlign w:val="bottom"/>
          </w:tcPr>
          <w:p>
            <w:pPr>
              <w:spacing w:after="0"/>
              <w:rPr>
                <w:sz w:val="1"/>
                <w:szCs w:val="1"/>
                <w:color w:val="auto"/>
              </w:rPr>
            </w:pPr>
          </w:p>
        </w:tc>
      </w:tr>
      <w:tr>
        <w:trPr>
          <w:trHeight w:val="206"/>
        </w:trPr>
        <w:tc>
          <w:tcPr>
            <w:tcW w:w="9600" w:type="dxa"/>
            <w:vAlign w:val="bottom"/>
            <w:gridSpan w:val="3"/>
          </w:tcPr>
          <w:p>
            <w:pPr>
              <w:spacing w:after="0"/>
              <w:rPr>
                <w:sz w:val="20"/>
                <w:szCs w:val="20"/>
                <w:color w:val="auto"/>
              </w:rPr>
            </w:pPr>
            <w:r>
              <w:rPr>
                <w:rFonts w:ascii="Arial" w:cs="Arial" w:eastAsia="Arial" w:hAnsi="Arial"/>
                <w:sz w:val="16"/>
                <w:szCs w:val="16"/>
                <w:color w:val="auto"/>
              </w:rPr>
              <w:t>Funds:</w:t>
            </w: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5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Alternative investments (a)</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32,247</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34,705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580" w:type="dxa"/>
            <w:vAlign w:val="bottom"/>
            <w:gridSpan w:val="2"/>
          </w:tcPr>
          <w:p>
            <w:pPr>
              <w:ind w:left="380"/>
              <w:spacing w:after="0"/>
              <w:rPr>
                <w:sz w:val="20"/>
                <w:szCs w:val="20"/>
                <w:color w:val="auto"/>
              </w:rPr>
            </w:pPr>
            <w:r>
              <w:rPr>
                <w:rFonts w:ascii="Arial" w:cs="Arial" w:eastAsia="Arial" w:hAnsi="Arial"/>
                <w:sz w:val="16"/>
                <w:szCs w:val="16"/>
                <w:color w:val="auto"/>
              </w:rPr>
              <w:t>Debt (a)</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73,177</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82,889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5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Equity (a)</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232,244</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228,209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580" w:type="dxa"/>
            <w:vAlign w:val="bottom"/>
            <w:gridSpan w:val="2"/>
          </w:tcPr>
          <w:p>
            <w:pPr>
              <w:ind w:left="380"/>
              <w:spacing w:after="0"/>
              <w:rPr>
                <w:sz w:val="20"/>
                <w:szCs w:val="20"/>
                <w:color w:val="auto"/>
              </w:rPr>
            </w:pPr>
            <w:r>
              <w:rPr>
                <w:rFonts w:ascii="Arial" w:cs="Arial" w:eastAsia="Arial" w:hAnsi="Arial"/>
                <w:sz w:val="16"/>
                <w:szCs w:val="16"/>
                <w:color w:val="auto"/>
              </w:rPr>
              <w:t>Private equity</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3"/>
              </w:rPr>
              <w:t>101,802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114,470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439,470</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460,273</w:t>
            </w:r>
          </w:p>
        </w:tc>
        <w:tc>
          <w:tcPr>
            <w:tcW w:w="0" w:type="dxa"/>
            <w:vAlign w:val="bottom"/>
          </w:tcPr>
          <w:p>
            <w:pPr>
              <w:spacing w:after="0"/>
              <w:rPr>
                <w:sz w:val="1"/>
                <w:szCs w:val="1"/>
                <w:color w:val="auto"/>
              </w:rPr>
            </w:pPr>
          </w:p>
        </w:tc>
      </w:tr>
      <w:tr>
        <w:trPr>
          <w:trHeight w:val="20"/>
        </w:trPr>
        <w:tc>
          <w:tcPr>
            <w:tcW w:w="9600" w:type="dxa"/>
            <w:vAlign w:val="bottom"/>
            <w:gridSpan w:val="3"/>
            <w:vMerge w:val="restart"/>
          </w:tcPr>
          <w:p>
            <w:pPr>
              <w:spacing w:after="0"/>
              <w:rPr>
                <w:sz w:val="20"/>
                <w:szCs w:val="20"/>
                <w:color w:val="auto"/>
              </w:rPr>
            </w:pPr>
            <w:r>
              <w:rPr>
                <w:rFonts w:ascii="Arial" w:cs="Arial" w:eastAsia="Arial" w:hAnsi="Arial"/>
                <w:sz w:val="16"/>
                <w:szCs w:val="16"/>
                <w:color w:val="auto"/>
              </w:rPr>
              <w:t>Equity method</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960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6,853</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7,776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8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investments</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557,751</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620,352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580" w:type="dxa"/>
            <w:vAlign w:val="bottom"/>
            <w:gridSpan w:val="2"/>
          </w:tcPr>
          <w:p>
            <w:pPr>
              <w:spacing w:after="0"/>
              <w:rPr>
                <w:sz w:val="20"/>
                <w:szCs w:val="20"/>
                <w:color w:val="auto"/>
              </w:rPr>
            </w:pPr>
            <w:r>
              <w:rPr>
                <w:rFonts w:ascii="Arial" w:cs="Arial" w:eastAsia="Arial" w:hAnsi="Arial"/>
                <w:sz w:val="16"/>
                <w:szCs w:val="16"/>
                <w:color w:val="auto"/>
              </w:rPr>
              <w:t>Less:</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5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Interest-bearing deposits</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56,411</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84,575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580" w:type="dxa"/>
            <w:vAlign w:val="bottom"/>
            <w:gridSpan w:val="2"/>
          </w:tcPr>
          <w:p>
            <w:pPr>
              <w:ind w:left="380"/>
              <w:spacing w:after="0"/>
              <w:rPr>
                <w:sz w:val="20"/>
                <w:szCs w:val="20"/>
                <w:color w:val="auto"/>
              </w:rPr>
            </w:pPr>
            <w:r>
              <w:rPr>
                <w:rFonts w:ascii="Arial" w:cs="Arial" w:eastAsia="Arial" w:hAnsi="Arial"/>
                <w:sz w:val="16"/>
                <w:szCs w:val="16"/>
                <w:color w:val="auto"/>
              </w:rPr>
              <w:t>Equity method</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6,853</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7,776</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8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Investments, at fair value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494,487</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528,001</w:t>
            </w:r>
          </w:p>
        </w:tc>
        <w:tc>
          <w:tcPr>
            <w:tcW w:w="0" w:type="dxa"/>
            <w:vAlign w:val="bottom"/>
          </w:tcPr>
          <w:p>
            <w:pPr>
              <w:spacing w:after="0"/>
              <w:rPr>
                <w:sz w:val="1"/>
                <w:szCs w:val="1"/>
                <w:color w:val="auto"/>
              </w:rPr>
            </w:pPr>
          </w:p>
        </w:tc>
      </w:tr>
      <w:tr>
        <w:trPr>
          <w:trHeight w:val="20"/>
        </w:trPr>
        <w:tc>
          <w:tcPr>
            <w:tcW w:w="9600" w:type="dxa"/>
            <w:vAlign w:val="bottom"/>
            <w:gridSpan w:val="3"/>
            <w:vMerge w:val="restart"/>
          </w:tcPr>
          <w:p>
            <w:pPr>
              <w:spacing w:after="0"/>
              <w:rPr>
                <w:sz w:val="20"/>
                <w:szCs w:val="20"/>
                <w:color w:val="auto"/>
              </w:rPr>
            </w:pPr>
            <w:r>
              <w:rPr>
                <w:rFonts w:ascii="Arial" w:cs="Arial" w:eastAsia="Arial" w:hAnsi="Arial"/>
                <w:sz w:val="16"/>
                <w:szCs w:val="16"/>
                <w:color w:val="auto"/>
              </w:rPr>
              <w:t>Securities sold, not yet purchased, at fair value (included in “other liabilities”)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600" w:type="dxa"/>
            <w:vAlign w:val="bottom"/>
            <w:gridSpan w:val="3"/>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3,515</w:t>
            </w:r>
          </w:p>
        </w:tc>
        <w:tc>
          <w:tcPr>
            <w:tcW w:w="48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9,290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8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460" w:hanging="459"/>
        <w:spacing w:after="0" w:line="272"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Interests in alternative investment funds, debt funds and equity funds include investments with fair values of $12,153, $32,226 and $170,003, respectively, at June 30, 2015 and $8,321, $42,070 and $162,798, respectively, at December 31, 2014, held in order to satisfy the Company’s liability upon vesting of previously granted Lazard Fund Interests (“LFI”) and other similar deferred compensation arrangements. LFI represent grants by the Company to eligible employees of actual or notional interests in a number of Lazard-managed funds, subject to service-based vesting conditions (see Notes 6 and 12 of Notes to Condensed Consolidated Financial Statements).</w:t>
      </w:r>
    </w:p>
    <w:p>
      <w:pPr>
        <w:spacing w:after="0" w:line="121" w:lineRule="exact"/>
        <w:rPr>
          <w:sz w:val="20"/>
          <w:szCs w:val="20"/>
          <w:color w:val="auto"/>
        </w:rPr>
      </w:pPr>
    </w:p>
    <w:p>
      <w:pPr>
        <w:ind w:right="260" w:firstLine="457"/>
        <w:spacing w:after="0" w:line="296" w:lineRule="auto"/>
        <w:rPr>
          <w:sz w:val="20"/>
          <w:szCs w:val="20"/>
          <w:color w:val="auto"/>
        </w:rPr>
      </w:pPr>
      <w:r>
        <w:rPr>
          <w:rFonts w:ascii="Arial" w:cs="Arial" w:eastAsia="Arial" w:hAnsi="Arial"/>
          <w:sz w:val="16"/>
          <w:szCs w:val="16"/>
          <w:color w:val="auto"/>
        </w:rPr>
        <w:t>Interest-bearing deposits have original maturities of greater than three months but equal to or less than one year and are carried at cost that approximates fair value due to their short-term maturities.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Debt securities primarily consist of seed investments invested in debt securities held within separately managed accounts related to our Asset Management business.</w:t>
      </w:r>
    </w:p>
    <w:p>
      <w:pPr>
        <w:spacing w:after="0" w:line="193" w:lineRule="exact"/>
        <w:rPr>
          <w:sz w:val="20"/>
          <w:szCs w:val="20"/>
          <w:color w:val="auto"/>
        </w:rPr>
      </w:pPr>
    </w:p>
    <w:p>
      <w:pPr>
        <w:ind w:right="320" w:firstLine="457"/>
        <w:spacing w:after="0" w:line="296" w:lineRule="auto"/>
        <w:rPr>
          <w:sz w:val="20"/>
          <w:szCs w:val="20"/>
          <w:color w:val="auto"/>
        </w:rPr>
      </w:pPr>
      <w:r>
        <w:rPr>
          <w:rFonts w:ascii="Arial" w:cs="Arial" w:eastAsia="Arial" w:hAnsi="Arial"/>
          <w:sz w:val="16"/>
          <w:szCs w:val="16"/>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Alternative investment funds primarily consist of interests in various Lazard-managed hedge funds and funds of funds.</w:t>
      </w:r>
    </w:p>
    <w:p>
      <w:pPr>
        <w:spacing w:after="0" w:line="15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440" w:right="23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LAZARD LTD</w:t>
      </w:r>
    </w:p>
    <w:p>
      <w:pPr>
        <w:spacing w:after="0" w:line="94"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auto"/>
        </w:rPr>
        <w:t>NOTES TO CONDENSED CONSOLIDATED FINANCIAL STATEMENTS—(Continued)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except for per share data, unless otherwise noted)</w:t>
      </w:r>
    </w:p>
    <w:p>
      <w:pPr>
        <w:spacing w:after="0" w:line="152" w:lineRule="exact"/>
        <w:rPr>
          <w:sz w:val="20"/>
          <w:szCs w:val="20"/>
          <w:color w:val="auto"/>
        </w:rPr>
      </w:pPr>
    </w:p>
    <w:p>
      <w:pPr>
        <w:ind w:right="220" w:firstLine="457"/>
        <w:spacing w:after="0" w:line="296" w:lineRule="auto"/>
        <w:rPr>
          <w:sz w:val="20"/>
          <w:szCs w:val="20"/>
          <w:color w:val="auto"/>
        </w:rPr>
      </w:pPr>
      <w:r>
        <w:rPr>
          <w:rFonts w:ascii="Arial" w:cs="Arial" w:eastAsia="Arial" w:hAnsi="Arial"/>
          <w:sz w:val="16"/>
          <w:szCs w:val="16"/>
          <w:color w:val="auto"/>
        </w:rPr>
        <w:t>Debt funds primarily consist of seed investments in funds related to our Asset Management business that invest in debt securities, amounts related to LFI discussed above and an investment in a debt fund held by the Company’s broker-dealer subsidiary.</w:t>
      </w:r>
    </w:p>
    <w:p>
      <w:pPr>
        <w:spacing w:after="0" w:line="103" w:lineRule="exact"/>
        <w:rPr>
          <w:sz w:val="20"/>
          <w:szCs w:val="20"/>
          <w:color w:val="auto"/>
        </w:rPr>
      </w:pPr>
    </w:p>
    <w:p>
      <w:pPr>
        <w:ind w:right="360" w:firstLine="457"/>
        <w:spacing w:after="0" w:line="296" w:lineRule="auto"/>
        <w:rPr>
          <w:sz w:val="20"/>
          <w:szCs w:val="20"/>
          <w:color w:val="auto"/>
        </w:rPr>
      </w:pPr>
      <w:r>
        <w:rPr>
          <w:rFonts w:ascii="Arial" w:cs="Arial" w:eastAsia="Arial" w:hAnsi="Arial"/>
          <w:sz w:val="16"/>
          <w:szCs w:val="16"/>
          <w:color w:val="auto"/>
        </w:rPr>
        <w:t>Equity funds primarily consist of seed investments in funds related to our Asset Management business that invest in equity securities, and amounts related to LFI discussed above.</w:t>
      </w:r>
    </w:p>
    <w:p>
      <w:pPr>
        <w:spacing w:after="0" w:line="103" w:lineRule="exact"/>
        <w:rPr>
          <w:sz w:val="20"/>
          <w:szCs w:val="20"/>
          <w:color w:val="auto"/>
        </w:rPr>
      </w:pPr>
    </w:p>
    <w:p>
      <w:pPr>
        <w:ind w:right="80" w:firstLine="457"/>
        <w:spacing w:after="0" w:line="283" w:lineRule="auto"/>
        <w:rPr>
          <w:sz w:val="20"/>
          <w:szCs w:val="20"/>
          <w:color w:val="auto"/>
        </w:rPr>
      </w:pPr>
      <w:r>
        <w:rPr>
          <w:rFonts w:ascii="Arial" w:cs="Arial" w:eastAsia="Arial" w:hAnsi="Arial"/>
          <w:sz w:val="15"/>
          <w:szCs w:val="15"/>
          <w:color w:val="auto"/>
        </w:rPr>
        <w:t>Private equity investments include those owned by Lazard and those consolidated but not owned by Lazard. Private equity investments owned by Lazard are primarily comprised of investments in private equity funds. Such investments primarily include (i) a mezzanine fund, which invests in mezzanine debt of a diversified selection of small- to mid-cap European companies, (ii) Corporate Partners II Limited (“CP II”), a fund targeting significant noncontrolling-stake investments in established private companies, (iii) Edgewater Growth Capital Partners III, L.P. (“EGCP III”), a fund primarily making equity and buyout investments in middle market companies and</w:t>
      </w:r>
    </w:p>
    <w:p>
      <w:pPr>
        <w:spacing w:after="0" w:line="2" w:lineRule="exact"/>
        <w:rPr>
          <w:sz w:val="20"/>
          <w:szCs w:val="20"/>
          <w:color w:val="auto"/>
        </w:rPr>
      </w:pPr>
    </w:p>
    <w:p>
      <w:pPr>
        <w:ind w:left="280" w:hanging="279"/>
        <w:spacing w:after="0"/>
        <w:tabs>
          <w:tab w:leader="none" w:pos="2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Lazard Australia Corporate Opportunities Fund 2 (“COF2”), an Australian fund targeting Australian mid-market investments. The Company disposed of its private</w:t>
      </w:r>
    </w:p>
    <w:p>
      <w:pPr>
        <w:spacing w:after="0" w:line="29" w:lineRule="exact"/>
        <w:rPr>
          <w:rFonts w:ascii="Arial" w:cs="Arial" w:eastAsia="Arial" w:hAnsi="Arial"/>
          <w:sz w:val="15"/>
          <w:szCs w:val="15"/>
          <w:color w:val="auto"/>
        </w:rPr>
      </w:pPr>
    </w:p>
    <w:p>
      <w:pPr>
        <w:ind w:right="20"/>
        <w:spacing w:after="0" w:line="302" w:lineRule="auto"/>
        <w:rPr>
          <w:rFonts w:ascii="Arial" w:cs="Arial" w:eastAsia="Arial" w:hAnsi="Arial"/>
          <w:sz w:val="15"/>
          <w:szCs w:val="15"/>
          <w:color w:val="auto"/>
        </w:rPr>
      </w:pPr>
      <w:r>
        <w:rPr>
          <w:rFonts w:ascii="Arial" w:cs="Arial" w:eastAsia="Arial" w:hAnsi="Arial"/>
          <w:sz w:val="15"/>
          <w:szCs w:val="15"/>
          <w:color w:val="auto"/>
        </w:rPr>
        <w:t>equity business in Australia in the second quarter of 2015 in a transaction with the management of the disposed business. Revenue of $24,388 relating to the disposal of the business primarily represents the realization of carried interest at fair value and is included in “revenue-other” on the condensed consolidated statements of operations for the three month and six month periods ended June 30, 2015. See Note 5 of Notes to Condensed Consolidated Financial Statements.</w:t>
      </w:r>
    </w:p>
    <w:p>
      <w:pPr>
        <w:spacing w:after="0" w:line="102" w:lineRule="exact"/>
        <w:rPr>
          <w:sz w:val="20"/>
          <w:szCs w:val="20"/>
          <w:color w:val="auto"/>
        </w:rPr>
      </w:pPr>
    </w:p>
    <w:p>
      <w:pPr>
        <w:ind w:right="160" w:firstLine="457"/>
        <w:spacing w:after="0" w:line="296" w:lineRule="auto"/>
        <w:rPr>
          <w:sz w:val="20"/>
          <w:szCs w:val="20"/>
          <w:color w:val="auto"/>
        </w:rPr>
      </w:pPr>
      <w:r>
        <w:rPr>
          <w:rFonts w:ascii="Arial" w:cs="Arial" w:eastAsia="Arial" w:hAnsi="Arial"/>
          <w:sz w:val="16"/>
          <w:szCs w:val="16"/>
          <w:color w:val="auto"/>
        </w:rPr>
        <w:t>Private equity investments consolidated but not owned by Lazard relate to the economic interests that are owned by the management team and other investors in the Edgewater Funds (“Edgewater”).</w:t>
      </w:r>
    </w:p>
    <w:p>
      <w:pPr>
        <w:spacing w:after="0" w:line="103" w:lineRule="exact"/>
        <w:rPr>
          <w:sz w:val="20"/>
          <w:szCs w:val="20"/>
          <w:color w:val="auto"/>
        </w:rPr>
      </w:pPr>
    </w:p>
    <w:p>
      <w:pPr>
        <w:ind w:right="140" w:firstLine="457"/>
        <w:spacing w:after="0" w:line="296" w:lineRule="auto"/>
        <w:rPr>
          <w:sz w:val="20"/>
          <w:szCs w:val="20"/>
          <w:color w:val="auto"/>
        </w:rPr>
      </w:pPr>
      <w:r>
        <w:rPr>
          <w:rFonts w:ascii="Arial" w:cs="Arial" w:eastAsia="Arial" w:hAnsi="Arial"/>
          <w:sz w:val="16"/>
          <w:szCs w:val="16"/>
          <w:color w:val="auto"/>
        </w:rPr>
        <w:t>During the three month and six month periods ended June 30, 2015 and 2014, the Company reported in “revenue-other” on its condensed consolidated statements of operations net unrealized investment gains and losses pertaining to “trading” securities still held as of the reporting date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980" w:type="dxa"/>
            <w:vAlign w:val="bottom"/>
            <w:gridSpan w:val="4"/>
          </w:tcPr>
          <w:p>
            <w:pPr>
              <w:jc w:val="center"/>
              <w:ind w:right="440"/>
              <w:spacing w:after="0"/>
              <w:rPr>
                <w:sz w:val="20"/>
                <w:szCs w:val="20"/>
                <w:color w:val="auto"/>
              </w:rPr>
            </w:pPr>
            <w:r>
              <w:rPr>
                <w:rFonts w:ascii="Arial" w:cs="Arial" w:eastAsia="Arial" w:hAnsi="Arial"/>
                <w:sz w:val="13"/>
                <w:szCs w:val="13"/>
                <w:b w:val="1"/>
                <w:bCs w:val="1"/>
                <w:color w:val="auto"/>
                <w:w w:val="88"/>
              </w:rPr>
              <w:t>Three Months Ended</w:t>
            </w:r>
          </w:p>
        </w:tc>
        <w:tc>
          <w:tcPr>
            <w:tcW w:w="158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88"/>
              </w:rPr>
              <w:t>Six Months Ended</w:t>
            </w:r>
          </w:p>
        </w:tc>
      </w:tr>
      <w:tr>
        <w:trPr>
          <w:trHeight w:val="152"/>
        </w:trPr>
        <w:tc>
          <w:tcPr>
            <w:tcW w:w="52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00" w:type="dxa"/>
            <w:vAlign w:val="bottom"/>
            <w:gridSpan w:val="2"/>
          </w:tcPr>
          <w:p>
            <w:pPr>
              <w:jc w:val="center"/>
              <w:ind w:left="472"/>
              <w:spacing w:after="0"/>
              <w:rPr>
                <w:sz w:val="20"/>
                <w:szCs w:val="20"/>
                <w:color w:val="auto"/>
              </w:rPr>
            </w:pPr>
            <w:r>
              <w:rPr>
                <w:rFonts w:ascii="Arial" w:cs="Arial" w:eastAsia="Arial" w:hAnsi="Arial"/>
                <w:sz w:val="13"/>
                <w:szCs w:val="13"/>
                <w:b w:val="1"/>
                <w:bCs w:val="1"/>
                <w:color w:val="auto"/>
                <w:w w:val="88"/>
              </w:rPr>
              <w:t>June 30,</w:t>
            </w: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gridSpan w:val="3"/>
          </w:tcPr>
          <w:p>
            <w:pPr>
              <w:jc w:val="center"/>
              <w:ind w:right="600"/>
              <w:spacing w:after="0"/>
              <w:rPr>
                <w:sz w:val="20"/>
                <w:szCs w:val="20"/>
                <w:color w:val="auto"/>
              </w:rPr>
            </w:pPr>
            <w:r>
              <w:rPr>
                <w:rFonts w:ascii="Arial" w:cs="Arial" w:eastAsia="Arial" w:hAnsi="Arial"/>
                <w:sz w:val="13"/>
                <w:szCs w:val="13"/>
                <w:b w:val="1"/>
                <w:bCs w:val="1"/>
                <w:color w:val="auto"/>
                <w:w w:val="88"/>
              </w:rPr>
              <w:t>June 30,</w:t>
            </w:r>
          </w:p>
        </w:tc>
      </w:tr>
      <w:tr>
        <w:trPr>
          <w:trHeight w:val="132"/>
        </w:trPr>
        <w:tc>
          <w:tcPr>
            <w:tcW w:w="5260" w:type="dxa"/>
            <w:vAlign w:val="bottom"/>
            <w:tcBorders>
              <w:bottom w:val="single" w:sz="8" w:color="CCEEFF"/>
            </w:tcBorders>
          </w:tcPr>
          <w:p>
            <w:pPr>
              <w:spacing w:after="0"/>
              <w:rPr>
                <w:sz w:val="11"/>
                <w:szCs w:val="11"/>
                <w:color w:val="auto"/>
              </w:rPr>
            </w:pPr>
          </w:p>
        </w:tc>
        <w:tc>
          <w:tcPr>
            <w:tcW w:w="2600" w:type="dxa"/>
            <w:vAlign w:val="bottom"/>
            <w:tcBorders>
              <w:bottom w:val="single" w:sz="8" w:color="CCEEFF"/>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92"/>
              <w:spacing w:after="0" w:line="132" w:lineRule="exact"/>
              <w:rPr>
                <w:sz w:val="20"/>
                <w:szCs w:val="20"/>
                <w:color w:val="auto"/>
              </w:rPr>
            </w:pPr>
            <w:r>
              <w:rPr>
                <w:rFonts w:ascii="Arial" w:cs="Arial" w:eastAsia="Arial" w:hAnsi="Arial"/>
                <w:sz w:val="13"/>
                <w:szCs w:val="13"/>
                <w:b w:val="1"/>
                <w:bCs w:val="1"/>
                <w:color w:val="auto"/>
              </w:rPr>
              <w:t>2015</w:t>
            </w:r>
          </w:p>
        </w:tc>
        <w:tc>
          <w:tcPr>
            <w:tcW w:w="440" w:type="dxa"/>
            <w:vAlign w:val="bottom"/>
            <w:tcBorders>
              <w:top w:val="single" w:sz="8" w:color="auto"/>
              <w:bottom w:val="single" w:sz="8" w:color="CCEEFF"/>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47"/>
              <w:spacing w:after="0" w:line="132" w:lineRule="exact"/>
              <w:rPr>
                <w:sz w:val="20"/>
                <w:szCs w:val="20"/>
                <w:color w:val="auto"/>
              </w:rPr>
            </w:pPr>
            <w:r>
              <w:rPr>
                <w:rFonts w:ascii="Arial" w:cs="Arial" w:eastAsia="Arial" w:hAnsi="Arial"/>
                <w:sz w:val="13"/>
                <w:szCs w:val="13"/>
                <w:b w:val="1"/>
                <w:bCs w:val="1"/>
                <w:color w:val="auto"/>
              </w:rPr>
              <w:t>2014</w:t>
            </w:r>
          </w:p>
        </w:tc>
        <w:tc>
          <w:tcPr>
            <w:tcW w:w="44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70"/>
              <w:spacing w:after="0" w:line="132" w:lineRule="exact"/>
              <w:rPr>
                <w:sz w:val="20"/>
                <w:szCs w:val="20"/>
                <w:color w:val="auto"/>
              </w:rPr>
            </w:pPr>
            <w:r>
              <w:rPr>
                <w:rFonts w:ascii="Arial" w:cs="Arial" w:eastAsia="Arial" w:hAnsi="Arial"/>
                <w:sz w:val="13"/>
                <w:szCs w:val="13"/>
                <w:b w:val="1"/>
                <w:bCs w:val="1"/>
                <w:color w:val="auto"/>
              </w:rPr>
              <w:t>2015</w:t>
            </w:r>
          </w:p>
        </w:tc>
        <w:tc>
          <w:tcPr>
            <w:tcW w:w="440" w:type="dxa"/>
            <w:vAlign w:val="bottom"/>
            <w:tcBorders>
              <w:top w:val="single" w:sz="8" w:color="auto"/>
              <w:bottom w:val="single" w:sz="8" w:color="CCEEFF"/>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67"/>
              <w:spacing w:after="0" w:line="132" w:lineRule="exact"/>
              <w:rPr>
                <w:sz w:val="20"/>
                <w:szCs w:val="20"/>
                <w:color w:val="auto"/>
              </w:rPr>
            </w:pPr>
            <w:r>
              <w:rPr>
                <w:rFonts w:ascii="Arial" w:cs="Arial" w:eastAsia="Arial" w:hAnsi="Arial"/>
                <w:sz w:val="13"/>
                <w:szCs w:val="13"/>
                <w:b w:val="1"/>
                <w:bCs w:val="1"/>
                <w:color w:val="auto"/>
              </w:rPr>
              <w:t>2014</w:t>
            </w:r>
          </w:p>
        </w:tc>
        <w:tc>
          <w:tcPr>
            <w:tcW w:w="80" w:type="dxa"/>
            <w:vAlign w:val="bottom"/>
            <w:tcBorders>
              <w:bottom w:val="single" w:sz="8" w:color="CCEEFF"/>
            </w:tcBorders>
          </w:tcPr>
          <w:p>
            <w:pPr>
              <w:spacing w:after="0"/>
              <w:rPr>
                <w:sz w:val="11"/>
                <w:szCs w:val="11"/>
                <w:color w:val="auto"/>
              </w:rPr>
            </w:pPr>
          </w:p>
        </w:tc>
      </w:tr>
      <w:tr>
        <w:trPr>
          <w:trHeight w:val="195"/>
        </w:trPr>
        <w:tc>
          <w:tcPr>
            <w:tcW w:w="5260" w:type="dxa"/>
            <w:vAlign w:val="bottom"/>
            <w:shd w:val="clear" w:color="auto" w:fill="CCEEFF"/>
          </w:tcPr>
          <w:p>
            <w:pPr>
              <w:spacing w:after="0"/>
              <w:rPr>
                <w:sz w:val="20"/>
                <w:szCs w:val="20"/>
                <w:color w:val="auto"/>
              </w:rPr>
            </w:pPr>
            <w:r>
              <w:rPr>
                <w:rFonts w:ascii="Arial" w:cs="Arial" w:eastAsia="Arial" w:hAnsi="Arial"/>
                <w:sz w:val="16"/>
                <w:szCs w:val="16"/>
                <w:color w:val="auto"/>
              </w:rPr>
              <w:t>Net unrealized investment gains (losses)</w:t>
            </w:r>
          </w:p>
        </w:tc>
        <w:tc>
          <w:tcPr>
            <w:tcW w:w="26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$(3,308)</w:t>
            </w:r>
          </w:p>
        </w:tc>
        <w:tc>
          <w:tcPr>
            <w:tcW w:w="4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$13,331</w:t>
            </w:r>
          </w:p>
        </w:tc>
        <w:tc>
          <w:tcPr>
            <w:tcW w:w="4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8"/>
              </w:rPr>
              <w:t>$ (1,115)</w:t>
            </w:r>
          </w:p>
        </w:tc>
        <w:tc>
          <w:tcPr>
            <w:tcW w:w="4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$13,822</w:t>
            </w:r>
          </w:p>
        </w:tc>
        <w:tc>
          <w:tcPr>
            <w:tcW w:w="80" w:type="dxa"/>
            <w:vAlign w:val="bottom"/>
            <w:shd w:val="clear" w:color="auto" w:fill="CCEEFF"/>
          </w:tcPr>
          <w:p>
            <w:pPr>
              <w:spacing w:after="0"/>
              <w:rPr>
                <w:sz w:val="16"/>
                <w:szCs w:val="16"/>
                <w:color w:val="auto"/>
              </w:rPr>
            </w:pPr>
          </w:p>
        </w:tc>
      </w:tr>
    </w:tbl>
    <w:p>
      <w:pPr>
        <w:spacing w:after="0" w:line="257" w:lineRule="exact"/>
        <w:rPr>
          <w:sz w:val="20"/>
          <w:szCs w:val="20"/>
          <w:color w:val="auto"/>
        </w:rPr>
      </w:pPr>
    </w:p>
    <w:p>
      <w:pPr>
        <w:ind w:left="460" w:hanging="459"/>
        <w:spacing w:after="0"/>
        <w:tabs>
          <w:tab w:leader="none" w:pos="460" w:val="left"/>
        </w:tabs>
        <w:numPr>
          <w:ilvl w:val="0"/>
          <w:numId w:val="1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FAIR VALUE MEASUREMENTS</w:t>
      </w:r>
    </w:p>
    <w:p>
      <w:pPr>
        <w:spacing w:after="0" w:line="94" w:lineRule="exact"/>
        <w:rPr>
          <w:rFonts w:ascii="Arial" w:cs="Arial" w:eastAsia="Arial" w:hAnsi="Arial"/>
          <w:sz w:val="16"/>
          <w:szCs w:val="16"/>
          <w:b w:val="1"/>
          <w:bCs w:val="1"/>
          <w:i w:val="1"/>
          <w:iCs w:val="1"/>
          <w:color w:val="auto"/>
        </w:rPr>
      </w:pPr>
    </w:p>
    <w:p>
      <w:pPr>
        <w:ind w:left="460"/>
        <w:spacing w:after="0"/>
        <w:rPr>
          <w:rFonts w:ascii="Arial" w:cs="Arial" w:eastAsia="Arial" w:hAnsi="Arial"/>
          <w:sz w:val="16"/>
          <w:szCs w:val="16"/>
          <w:b w:val="1"/>
          <w:bCs w:val="1"/>
          <w:i w:val="1"/>
          <w:iCs w:val="1"/>
          <w:color w:val="auto"/>
        </w:rPr>
      </w:pPr>
      <w:r>
        <w:rPr>
          <w:rFonts w:ascii="Arial" w:cs="Arial" w:eastAsia="Arial" w:hAnsi="Arial"/>
          <w:sz w:val="16"/>
          <w:szCs w:val="16"/>
          <w:color w:val="auto"/>
        </w:rPr>
        <w:t>Lazard categorizes its investments and certain other assets and liabilities recorded at fair value into a three-level fair value hierarchy as follows:</w:t>
      </w:r>
    </w:p>
    <w:p>
      <w:pPr>
        <w:spacing w:after="0" w:line="94" w:lineRule="exact"/>
        <w:rPr>
          <w:sz w:val="20"/>
          <w:szCs w:val="20"/>
          <w:color w:val="auto"/>
        </w:rPr>
      </w:pPr>
    </w:p>
    <w:p>
      <w:pPr>
        <w:ind w:left="920" w:right="380" w:hanging="910"/>
        <w:spacing w:after="0" w:line="296" w:lineRule="auto"/>
        <w:tabs>
          <w:tab w:leader="none" w:pos="900" w:val="left"/>
        </w:tabs>
        <w:rPr>
          <w:sz w:val="20"/>
          <w:szCs w:val="20"/>
          <w:color w:val="auto"/>
        </w:rPr>
      </w:pPr>
      <w:r>
        <w:rPr>
          <w:rFonts w:ascii="Arial" w:cs="Arial" w:eastAsia="Arial" w:hAnsi="Arial"/>
          <w:sz w:val="16"/>
          <w:szCs w:val="16"/>
          <w:i w:val="1"/>
          <w:iCs w:val="1"/>
          <w:color w:val="auto"/>
        </w:rPr>
        <w:t>Level 1.</w:t>
      </w:r>
      <w:r>
        <w:rPr>
          <w:sz w:val="20"/>
          <w:szCs w:val="20"/>
          <w:color w:val="auto"/>
        </w:rPr>
        <w:tab/>
      </w:r>
      <w:r>
        <w:rPr>
          <w:rFonts w:ascii="Arial" w:cs="Arial" w:eastAsia="Arial" w:hAnsi="Arial"/>
          <w:sz w:val="16"/>
          <w:szCs w:val="16"/>
          <w:color w:val="auto"/>
        </w:rPr>
        <w:t>Assets and liabilities whose values are based on unadjusted quoted prices for identical assets or liabilities in an active market that Lazard has the ability to access.</w:t>
      </w:r>
    </w:p>
    <w:p>
      <w:pPr>
        <w:spacing w:after="0" w:line="27" w:lineRule="exact"/>
        <w:rPr>
          <w:sz w:val="20"/>
          <w:szCs w:val="20"/>
          <w:color w:val="auto"/>
        </w:rPr>
      </w:pPr>
    </w:p>
    <w:p>
      <w:pPr>
        <w:ind w:left="920" w:right="20" w:hanging="910"/>
        <w:spacing w:after="0" w:line="306" w:lineRule="auto"/>
        <w:tabs>
          <w:tab w:leader="none" w:pos="900" w:val="left"/>
        </w:tabs>
        <w:rPr>
          <w:sz w:val="20"/>
          <w:szCs w:val="20"/>
          <w:color w:val="auto"/>
        </w:rPr>
      </w:pPr>
      <w:r>
        <w:rPr>
          <w:rFonts w:ascii="Arial" w:cs="Arial" w:eastAsia="Arial" w:hAnsi="Arial"/>
          <w:sz w:val="16"/>
          <w:szCs w:val="16"/>
          <w:i w:val="1"/>
          <w:iCs w:val="1"/>
          <w:color w:val="auto"/>
        </w:rPr>
        <w:t>Level 2.</w:t>
      </w:r>
      <w:r>
        <w:rPr>
          <w:sz w:val="20"/>
          <w:szCs w:val="20"/>
          <w:color w:val="auto"/>
        </w:rPr>
        <w:tab/>
      </w:r>
      <w:r>
        <w:rPr>
          <w:rFonts w:ascii="Arial" w:cs="Arial" w:eastAsia="Arial" w:hAnsi="Arial"/>
          <w:sz w:val="15"/>
          <w:szCs w:val="15"/>
          <w:color w:val="auto"/>
        </w:rPr>
        <w:t>Assets and liabilities whose values are based on (i) quoted prices for similar assets or liabilities in an active market, or quoted prices for identical or similar assets or liabilities in non-active markets, (ii) assets valued based on NAV or its equivalent redeemable at the measurement date or within the near term without redemption restrictions, or (iii) inputs other than quoted prices that are directly observable or derived principally from, or corroborated by, market data.</w:t>
      </w:r>
    </w:p>
    <w:p>
      <w:pPr>
        <w:spacing w:after="0" w:line="24" w:lineRule="exact"/>
        <w:rPr>
          <w:sz w:val="20"/>
          <w:szCs w:val="20"/>
          <w:color w:val="auto"/>
        </w:rPr>
      </w:pPr>
    </w:p>
    <w:p>
      <w:pPr>
        <w:ind w:left="920" w:right="140" w:hanging="910"/>
        <w:spacing w:after="0" w:line="280" w:lineRule="auto"/>
        <w:tabs>
          <w:tab w:leader="none" w:pos="900" w:val="left"/>
        </w:tabs>
        <w:rPr>
          <w:sz w:val="20"/>
          <w:szCs w:val="20"/>
          <w:color w:val="auto"/>
        </w:rPr>
      </w:pPr>
      <w:r>
        <w:rPr>
          <w:rFonts w:ascii="Arial" w:cs="Arial" w:eastAsia="Arial" w:hAnsi="Arial"/>
          <w:sz w:val="16"/>
          <w:szCs w:val="16"/>
          <w:i w:val="1"/>
          <w:iCs w:val="1"/>
          <w:color w:val="auto"/>
        </w:rPr>
        <w:t>Level 3.</w:t>
      </w:r>
      <w:r>
        <w:rPr>
          <w:sz w:val="20"/>
          <w:szCs w:val="20"/>
          <w:color w:val="auto"/>
        </w:rPr>
        <w:tab/>
      </w:r>
      <w:r>
        <w:rPr>
          <w:rFonts w:ascii="Arial" w:cs="Arial" w:eastAsia="Arial" w:hAnsi="Arial"/>
          <w:sz w:val="16"/>
          <w:szCs w:val="16"/>
          <w:color w:val="auto"/>
        </w:rPr>
        <w:t>Assets and liabilities whose values are based on prices or valuation techniques that require inputs that are both unobservable and significant to the overall fair value measurement. These inputs reflect our own assumptions about the assumptions a market participant would use in pricing the asset or liability. Items included in Level 3 include securities or other financial assets whose trading volume and level of activity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440" w:right="23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LAZARD LTD</w:t>
      </w:r>
    </w:p>
    <w:p>
      <w:pPr>
        <w:spacing w:after="0" w:line="94"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auto"/>
        </w:rPr>
        <w:t>NOTES TO CONDENSED CONSOLIDATED FINANCIAL STATEMENTS—(Continued)</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thousands, except for per share data, unless otherwise noted)</w:t>
      </w:r>
    </w:p>
    <w:p>
      <w:pPr>
        <w:spacing w:after="0" w:line="152" w:lineRule="exact"/>
        <w:rPr>
          <w:sz w:val="20"/>
          <w:szCs w:val="20"/>
          <w:color w:val="auto"/>
        </w:rPr>
      </w:pPr>
    </w:p>
    <w:p>
      <w:pPr>
        <w:ind w:left="920" w:right="80"/>
        <w:spacing w:after="0" w:line="331" w:lineRule="auto"/>
        <w:rPr>
          <w:sz w:val="20"/>
          <w:szCs w:val="20"/>
          <w:color w:val="auto"/>
        </w:rPr>
      </w:pPr>
      <w:r>
        <w:rPr>
          <w:rFonts w:ascii="Arial" w:cs="Arial" w:eastAsia="Arial" w:hAnsi="Arial"/>
          <w:sz w:val="15"/>
          <w:szCs w:val="15"/>
          <w:color w:val="auto"/>
        </w:rPr>
        <w:t>have significantly decreased when compared with normal market activity and there is no longer sufficient frequency or volume to provide pricing information on an ongoing basis, as well as assets valued based on NAV or its equivalent, but not redeemable within the near term as a result of redemption restrictions.</w:t>
      </w:r>
    </w:p>
    <w:p>
      <w:pPr>
        <w:spacing w:after="0" w:line="81" w:lineRule="exact"/>
        <w:rPr>
          <w:sz w:val="20"/>
          <w:szCs w:val="20"/>
          <w:color w:val="auto"/>
        </w:rPr>
      </w:pPr>
    </w:p>
    <w:p>
      <w:pPr>
        <w:ind w:right="120" w:firstLine="457"/>
        <w:spacing w:after="0" w:line="296" w:lineRule="auto"/>
        <w:rPr>
          <w:sz w:val="20"/>
          <w:szCs w:val="20"/>
          <w:color w:val="auto"/>
        </w:rPr>
      </w:pPr>
      <w:r>
        <w:rPr>
          <w:rFonts w:ascii="Arial" w:cs="Arial" w:eastAsia="Arial" w:hAnsi="Arial"/>
          <w:sz w:val="16"/>
          <w:szCs w:val="16"/>
          <w:color w:val="auto"/>
        </w:rPr>
        <w:t>The Company’s investments in debt securities are classified as Level 1 when their respective fair values are based on unadjusted quoted prices in active markets and are classified as Level 2 when their fair values are primarily based on prices as provided by external pricing services.</w:t>
      </w:r>
    </w:p>
    <w:p>
      <w:pPr>
        <w:spacing w:after="0" w:line="103" w:lineRule="exact"/>
        <w:rPr>
          <w:sz w:val="20"/>
          <w:szCs w:val="20"/>
          <w:color w:val="auto"/>
        </w:rPr>
      </w:pPr>
    </w:p>
    <w:p>
      <w:pPr>
        <w:ind w:right="280" w:firstLine="457"/>
        <w:spacing w:after="0" w:line="331" w:lineRule="auto"/>
        <w:rPr>
          <w:sz w:val="20"/>
          <w:szCs w:val="20"/>
          <w:color w:val="auto"/>
        </w:rPr>
      </w:pPr>
      <w:r>
        <w:rPr>
          <w:rFonts w:ascii="Arial" w:cs="Arial" w:eastAsia="Arial" w:hAnsi="Arial"/>
          <w:sz w:val="15"/>
          <w:szCs w:val="15"/>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81"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The fair value of investments in alternative investment funds is classified as Level 1 when the fair values are primarily based on the publicly reported closing price for the fund, and classified as Level 2 when (i) the fair values are primarily based on NAV or its equivalent, which is primarily determined based on information provided by external fund administrators, and (ii) the investments are redeemable within the near term.</w:t>
      </w:r>
    </w:p>
    <w:p>
      <w:pPr>
        <w:spacing w:after="0" w:line="115" w:lineRule="exact"/>
        <w:rPr>
          <w:sz w:val="20"/>
          <w:szCs w:val="20"/>
          <w:color w:val="auto"/>
        </w:rPr>
      </w:pPr>
    </w:p>
    <w:p>
      <w:pPr>
        <w:ind w:right="260" w:firstLine="457"/>
        <w:spacing w:after="0" w:line="296" w:lineRule="auto"/>
        <w:rPr>
          <w:sz w:val="20"/>
          <w:szCs w:val="20"/>
          <w:color w:val="auto"/>
        </w:rPr>
      </w:pPr>
      <w:r>
        <w:rPr>
          <w:rFonts w:ascii="Arial" w:cs="Arial" w:eastAsia="Arial" w:hAnsi="Arial"/>
          <w:sz w:val="16"/>
          <w:szCs w:val="16"/>
          <w:color w:val="auto"/>
        </w:rPr>
        <w:t>The fair value of investments in debt funds is classified as Level 1 when the fair values are primarily based on the publicly reported closing price for the fund, and classified as Level 2 when the fair values are primarily based on NAV or its equivalent and are redeemable within the near term.</w:t>
      </w:r>
    </w:p>
    <w:p>
      <w:pPr>
        <w:spacing w:after="0" w:line="103" w:lineRule="exact"/>
        <w:rPr>
          <w:sz w:val="20"/>
          <w:szCs w:val="20"/>
          <w:color w:val="auto"/>
        </w:rPr>
      </w:pPr>
    </w:p>
    <w:p>
      <w:pPr>
        <w:jc w:val="both"/>
        <w:ind w:right="100" w:firstLine="457"/>
        <w:spacing w:after="0" w:line="280" w:lineRule="auto"/>
        <w:rPr>
          <w:sz w:val="20"/>
          <w:szCs w:val="20"/>
          <w:color w:val="auto"/>
        </w:rPr>
      </w:pPr>
      <w:r>
        <w:rPr>
          <w:rFonts w:ascii="Arial" w:cs="Arial" w:eastAsia="Arial" w:hAnsi="Arial"/>
          <w:sz w:val="16"/>
          <w:szCs w:val="16"/>
          <w:color w:val="auto"/>
        </w:rPr>
        <w:t>The fair value of investments in equity funds is classified as Level 1 or 2 as follows: publicly traded asset management funds are classified as Level 1 and are valued based on the reported closing price for the fund; and investments in asset management funds redeemable in the near term are classified as Level 2 and are valued at NAV or its equivalent, which is primarily determined based on information provided by external fund administrators.</w:t>
      </w:r>
    </w:p>
    <w:p>
      <w:pPr>
        <w:spacing w:after="0" w:line="115" w:lineRule="exact"/>
        <w:rPr>
          <w:sz w:val="20"/>
          <w:szCs w:val="20"/>
          <w:color w:val="auto"/>
        </w:rPr>
      </w:pPr>
    </w:p>
    <w:p>
      <w:pPr>
        <w:ind w:right="140" w:firstLine="457"/>
        <w:spacing w:after="0" w:line="296" w:lineRule="auto"/>
        <w:rPr>
          <w:sz w:val="20"/>
          <w:szCs w:val="20"/>
          <w:color w:val="auto"/>
        </w:rPr>
      </w:pPr>
      <w:r>
        <w:rPr>
          <w:rFonts w:ascii="Arial" w:cs="Arial" w:eastAsia="Arial" w:hAnsi="Arial"/>
          <w:sz w:val="16"/>
          <w:szCs w:val="16"/>
          <w:color w:val="auto"/>
        </w:rPr>
        <w:t>The fair value of investments in private equity funds is classified as Level 3, and is primarily based on NAV or its equivalent, except for certain investments that are valued based on potential transaction value. Such investments are not redeemable within the near term.</w:t>
      </w:r>
    </w:p>
    <w:p>
      <w:pPr>
        <w:spacing w:after="0" w:line="103" w:lineRule="exact"/>
        <w:rPr>
          <w:sz w:val="20"/>
          <w:szCs w:val="20"/>
          <w:color w:val="auto"/>
        </w:rPr>
      </w:pPr>
    </w:p>
    <w:p>
      <w:pPr>
        <w:ind w:right="120" w:firstLine="457"/>
        <w:spacing w:after="0" w:line="270" w:lineRule="auto"/>
        <w:rPr>
          <w:sz w:val="20"/>
          <w:szCs w:val="20"/>
          <w:color w:val="auto"/>
        </w:rPr>
      </w:pPr>
      <w:r>
        <w:rPr>
          <w:rFonts w:ascii="Arial" w:cs="Arial" w:eastAsia="Arial" w:hAnsi="Arial"/>
          <w:sz w:val="16"/>
          <w:szCs w:val="16"/>
          <w:color w:val="auto"/>
        </w:rPr>
        <w:t>The fair values of derivatives entered into by the Company are classified as Level 2 and are based on the values of the related underlying assets, indices or reference rates as follows: the fair value of forward foreign currency exchange rate contracts is a function of the spot rate and the interest rate differential of the two currencies from the trade date to settlement date; the fair value of total return swaps is based on the change in fair values of the related underlying equity security, financial instrument or index and a specified notional holding; the fair value of interest rate swaps is based on the interest rate yield curve; and the fair value of derivative liabilities related to LFI and other similar deferred compensation arrangements is based on the value of the underlying investments, adjusted for forfeitures. See Note 6 of Notes to Condensed Consolidated Financial Statements.</w:t>
      </w:r>
    </w:p>
    <w:p>
      <w:pPr>
        <w:spacing w:after="0" w:line="125" w:lineRule="exact"/>
        <w:rPr>
          <w:sz w:val="20"/>
          <w:szCs w:val="20"/>
          <w:color w:val="auto"/>
        </w:rPr>
      </w:pPr>
    </w:p>
    <w:p>
      <w:pPr>
        <w:ind w:right="400" w:firstLine="457"/>
        <w:spacing w:after="0" w:line="296" w:lineRule="auto"/>
        <w:rPr>
          <w:sz w:val="20"/>
          <w:szCs w:val="20"/>
          <w:color w:val="auto"/>
        </w:rPr>
      </w:pPr>
      <w:r>
        <w:rPr>
          <w:rFonts w:ascii="Arial" w:cs="Arial" w:eastAsia="Arial" w:hAnsi="Arial"/>
          <w:sz w:val="16"/>
          <w:szCs w:val="16"/>
          <w:color w:val="auto"/>
        </w:rPr>
        <w:t>Where reported information regarding an investment is based on data received from external fund administrators or pricing services, the Company reviews such information and classifies the investment at the relevant level within the fair value hierarchy.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00"/>
          </w:cols>
          <w:pgMar w:left="240" w:top="440" w:right="25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LAZARD LTD</w:t>
      </w:r>
    </w:p>
    <w:p>
      <w:pPr>
        <w:spacing w:after="0" w:line="94"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auto"/>
        </w:rPr>
        <w:t>NOTES TO CONDENSED CONSOLIDATED FINANCIAL STATEMENTS—(Continued)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except for per share data, unless otherwise noted)</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tables present the classification of investments and certain other assets and liabilities measured at fair value on a recurring basis as of June 30, 2015 and</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within the fair value hierarchy:</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47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3"/>
                <w:szCs w:val="13"/>
                <w:b w:val="1"/>
                <w:bCs w:val="1"/>
                <w:color w:val="auto"/>
              </w:rPr>
              <w:t>June 30, 2015</w:t>
            </w: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7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580"/>
              <w:spacing w:after="0" w:line="132" w:lineRule="exact"/>
              <w:rPr>
                <w:sz w:val="20"/>
                <w:szCs w:val="20"/>
                <w:color w:val="auto"/>
              </w:rPr>
            </w:pPr>
            <w:r>
              <w:rPr>
                <w:rFonts w:ascii="Arial" w:cs="Arial" w:eastAsia="Arial" w:hAnsi="Arial"/>
                <w:sz w:val="13"/>
                <w:szCs w:val="13"/>
                <w:b w:val="1"/>
                <w:bCs w:val="1"/>
                <w:color w:val="auto"/>
                <w:w w:val="95"/>
              </w:rPr>
              <w:t>Level 1</w:t>
            </w:r>
          </w:p>
        </w:tc>
        <w:tc>
          <w:tcPr>
            <w:tcW w:w="120" w:type="dxa"/>
            <w:vAlign w:val="bottom"/>
          </w:tcPr>
          <w:p>
            <w:pPr>
              <w:spacing w:after="0"/>
              <w:rPr>
                <w:sz w:val="11"/>
                <w:szCs w:val="11"/>
                <w:color w:val="auto"/>
              </w:rPr>
            </w:pPr>
          </w:p>
        </w:tc>
        <w:tc>
          <w:tcPr>
            <w:tcW w:w="580" w:type="dxa"/>
            <w:vAlign w:val="bottom"/>
          </w:tcPr>
          <w:p>
            <w:pPr>
              <w:jc w:val="right"/>
              <w:ind w:right="81"/>
              <w:spacing w:after="0" w:line="132" w:lineRule="exact"/>
              <w:rPr>
                <w:sz w:val="20"/>
                <w:szCs w:val="20"/>
                <w:color w:val="auto"/>
              </w:rPr>
            </w:pPr>
            <w:r>
              <w:rPr>
                <w:rFonts w:ascii="Arial" w:cs="Arial" w:eastAsia="Arial" w:hAnsi="Arial"/>
                <w:sz w:val="13"/>
                <w:szCs w:val="13"/>
                <w:b w:val="1"/>
                <w:bCs w:val="1"/>
                <w:color w:val="auto"/>
                <w:w w:val="90"/>
              </w:rPr>
              <w:t>Level 2</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79"/>
              <w:spacing w:after="0" w:line="132" w:lineRule="exact"/>
              <w:rPr>
                <w:sz w:val="20"/>
                <w:szCs w:val="20"/>
                <w:color w:val="auto"/>
              </w:rPr>
            </w:pPr>
            <w:r>
              <w:rPr>
                <w:rFonts w:ascii="Arial" w:cs="Arial" w:eastAsia="Arial" w:hAnsi="Arial"/>
                <w:sz w:val="13"/>
                <w:szCs w:val="13"/>
                <w:b w:val="1"/>
                <w:bCs w:val="1"/>
                <w:color w:val="auto"/>
                <w:w w:val="90"/>
              </w:rPr>
              <w:t>Level 3</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ind w:right="139"/>
              <w:spacing w:after="0" w:line="132"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7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6"/>
                <w:szCs w:val="16"/>
                <w:b w:val="1"/>
                <w:bCs w:val="1"/>
                <w:color w:val="auto"/>
              </w:rPr>
              <w:t>Assets:</w:t>
            </w:r>
          </w:p>
        </w:tc>
        <w:tc>
          <w:tcPr>
            <w:tcW w:w="24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780" w:type="dxa"/>
            <w:vAlign w:val="bottom"/>
          </w:tcPr>
          <w:p>
            <w:pPr>
              <w:spacing w:after="0"/>
              <w:rPr>
                <w:sz w:val="20"/>
                <w:szCs w:val="20"/>
                <w:color w:val="auto"/>
              </w:rPr>
            </w:pPr>
            <w:r>
              <w:rPr>
                <w:rFonts w:ascii="Arial" w:cs="Arial" w:eastAsia="Arial" w:hAnsi="Arial"/>
                <w:sz w:val="16"/>
                <w:szCs w:val="16"/>
                <w:color w:val="auto"/>
              </w:rPr>
              <w:t>Investments:</w:t>
            </w: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Debt</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1,868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80" w:type="dxa"/>
            <w:vAlign w:val="bottom"/>
          </w:tcPr>
          <w:p>
            <w:pPr>
              <w:ind w:left="400"/>
              <w:spacing w:after="0"/>
              <w:rPr>
                <w:sz w:val="20"/>
                <w:szCs w:val="20"/>
                <w:color w:val="auto"/>
              </w:rPr>
            </w:pPr>
            <w:r>
              <w:rPr>
                <w:rFonts w:ascii="Arial" w:cs="Arial" w:eastAsia="Arial" w:hAnsi="Arial"/>
                <w:sz w:val="16"/>
                <w:szCs w:val="16"/>
                <w:color w:val="auto"/>
              </w:rPr>
              <w:t>Equities</w:t>
            </w: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6"/>
                <w:szCs w:val="16"/>
                <w:color w:val="auto"/>
              </w:rPr>
              <w:t>51,848</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1,299</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53,147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Funds:</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80" w:type="dxa"/>
            <w:vAlign w:val="bottom"/>
          </w:tcPr>
          <w:p>
            <w:pPr>
              <w:ind w:left="820"/>
              <w:spacing w:after="0"/>
              <w:rPr>
                <w:sz w:val="20"/>
                <w:szCs w:val="20"/>
                <w:color w:val="auto"/>
              </w:rPr>
            </w:pPr>
            <w:r>
              <w:rPr>
                <w:rFonts w:ascii="Arial" w:cs="Arial" w:eastAsia="Arial" w:hAnsi="Arial"/>
                <w:sz w:val="16"/>
                <w:szCs w:val="16"/>
                <w:color w:val="auto"/>
              </w:rPr>
              <w:t>Alternative investments</w:t>
            </w: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6"/>
                <w:szCs w:val="16"/>
                <w:color w:val="auto"/>
              </w:rPr>
              <w:t>7,191</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25,056</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32,247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80" w:type="dxa"/>
            <w:vAlign w:val="bottom"/>
            <w:shd w:val="clear" w:color="auto" w:fill="CCEEFF"/>
          </w:tcPr>
          <w:p>
            <w:pPr>
              <w:ind w:left="820"/>
              <w:spacing w:after="0"/>
              <w:rPr>
                <w:sz w:val="20"/>
                <w:szCs w:val="20"/>
                <w:color w:val="auto"/>
              </w:rPr>
            </w:pPr>
            <w:r>
              <w:rPr>
                <w:rFonts w:ascii="Arial" w:cs="Arial" w:eastAsia="Arial" w:hAnsi="Arial"/>
                <w:sz w:val="16"/>
                <w:szCs w:val="16"/>
                <w:color w:val="auto"/>
              </w:rPr>
              <w:t>Debt</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73,171</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80" w:type="dxa"/>
            <w:vAlign w:val="bottom"/>
          </w:tcPr>
          <w:p>
            <w:pPr>
              <w:ind w:left="820"/>
              <w:spacing w:after="0"/>
              <w:rPr>
                <w:sz w:val="20"/>
                <w:szCs w:val="20"/>
                <w:color w:val="auto"/>
              </w:rPr>
            </w:pPr>
            <w:r>
              <w:rPr>
                <w:rFonts w:ascii="Arial" w:cs="Arial" w:eastAsia="Arial" w:hAnsi="Arial"/>
                <w:sz w:val="16"/>
                <w:szCs w:val="16"/>
                <w:color w:val="auto"/>
              </w:rPr>
              <w:t>Equity</w:t>
            </w: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6"/>
                <w:szCs w:val="16"/>
                <w:color w:val="auto"/>
                <w:w w:val="96"/>
              </w:rPr>
              <w:t>232,197</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47</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232,244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80" w:type="dxa"/>
            <w:vAlign w:val="bottom"/>
            <w:shd w:val="clear" w:color="auto" w:fill="CCEEFF"/>
          </w:tcPr>
          <w:p>
            <w:pPr>
              <w:ind w:left="820"/>
              <w:spacing w:after="0"/>
              <w:rPr>
                <w:sz w:val="20"/>
                <w:szCs w:val="20"/>
                <w:color w:val="auto"/>
              </w:rPr>
            </w:pPr>
            <w:r>
              <w:rPr>
                <w:rFonts w:ascii="Arial" w:cs="Arial" w:eastAsia="Arial" w:hAnsi="Arial"/>
                <w:sz w:val="16"/>
                <w:szCs w:val="16"/>
                <w:color w:val="auto"/>
              </w:rPr>
              <w:t>Private equity</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101,802</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80" w:type="dxa"/>
            <w:vAlign w:val="bottom"/>
          </w:tcPr>
          <w:p>
            <w:pPr>
              <w:spacing w:after="0"/>
              <w:rPr>
                <w:sz w:val="20"/>
                <w:szCs w:val="20"/>
                <w:color w:val="auto"/>
              </w:rPr>
            </w:pPr>
            <w:r>
              <w:rPr>
                <w:rFonts w:ascii="Arial" w:cs="Arial" w:eastAsia="Arial" w:hAnsi="Arial"/>
                <w:sz w:val="16"/>
                <w:szCs w:val="16"/>
                <w:color w:val="auto"/>
              </w:rPr>
              <w:t>Derivatives</w:t>
            </w: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1,582</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7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7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w w:val="96"/>
              </w:rPr>
              <w:t>366,275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26,693</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103,101</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496,069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6"/>
                <w:szCs w:val="16"/>
                <w:b w:val="1"/>
                <w:bCs w:val="1"/>
                <w:color w:val="auto"/>
              </w:rPr>
              <w:t>Liabilities:</w:t>
            </w:r>
          </w:p>
        </w:tc>
        <w:tc>
          <w:tcPr>
            <w:tcW w:w="2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80" w:type="dxa"/>
            <w:vAlign w:val="bottom"/>
            <w:vMerge w:val="continue"/>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Securities sold, not yet purchased</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3,515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80" w:type="dxa"/>
            <w:vAlign w:val="bottom"/>
          </w:tcPr>
          <w:p>
            <w:pPr>
              <w:spacing w:after="0"/>
              <w:rPr>
                <w:sz w:val="20"/>
                <w:szCs w:val="20"/>
                <w:color w:val="auto"/>
              </w:rPr>
            </w:pPr>
            <w:r>
              <w:rPr>
                <w:rFonts w:ascii="Arial" w:cs="Arial" w:eastAsia="Arial" w:hAnsi="Arial"/>
                <w:sz w:val="16"/>
                <w:szCs w:val="16"/>
                <w:color w:val="auto"/>
              </w:rPr>
              <w:t>Derivatives</w:t>
            </w: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203,273</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203,273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7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7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3,515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203,273</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206,788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47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3"/>
                <w:szCs w:val="13"/>
                <w:b w:val="1"/>
                <w:bCs w:val="1"/>
                <w:color w:val="auto"/>
              </w:rPr>
              <w:t>December 31, 2014</w:t>
            </w: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7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580"/>
              <w:spacing w:after="0" w:line="132" w:lineRule="exact"/>
              <w:rPr>
                <w:sz w:val="20"/>
                <w:szCs w:val="20"/>
                <w:color w:val="auto"/>
              </w:rPr>
            </w:pPr>
            <w:r>
              <w:rPr>
                <w:rFonts w:ascii="Arial" w:cs="Arial" w:eastAsia="Arial" w:hAnsi="Arial"/>
                <w:sz w:val="13"/>
                <w:szCs w:val="13"/>
                <w:b w:val="1"/>
                <w:bCs w:val="1"/>
                <w:color w:val="auto"/>
                <w:w w:val="95"/>
              </w:rPr>
              <w:t>Level 1</w:t>
            </w:r>
          </w:p>
        </w:tc>
        <w:tc>
          <w:tcPr>
            <w:tcW w:w="120" w:type="dxa"/>
            <w:vAlign w:val="bottom"/>
          </w:tcPr>
          <w:p>
            <w:pPr>
              <w:spacing w:after="0"/>
              <w:rPr>
                <w:sz w:val="11"/>
                <w:szCs w:val="11"/>
                <w:color w:val="auto"/>
              </w:rPr>
            </w:pPr>
          </w:p>
        </w:tc>
        <w:tc>
          <w:tcPr>
            <w:tcW w:w="580" w:type="dxa"/>
            <w:vAlign w:val="bottom"/>
          </w:tcPr>
          <w:p>
            <w:pPr>
              <w:jc w:val="right"/>
              <w:ind w:right="81"/>
              <w:spacing w:after="0" w:line="132" w:lineRule="exact"/>
              <w:rPr>
                <w:sz w:val="20"/>
                <w:szCs w:val="20"/>
                <w:color w:val="auto"/>
              </w:rPr>
            </w:pPr>
            <w:r>
              <w:rPr>
                <w:rFonts w:ascii="Arial" w:cs="Arial" w:eastAsia="Arial" w:hAnsi="Arial"/>
                <w:sz w:val="13"/>
                <w:szCs w:val="13"/>
                <w:b w:val="1"/>
                <w:bCs w:val="1"/>
                <w:color w:val="auto"/>
                <w:w w:val="90"/>
              </w:rPr>
              <w:t>Level 2</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79"/>
              <w:spacing w:after="0" w:line="132" w:lineRule="exact"/>
              <w:rPr>
                <w:sz w:val="20"/>
                <w:szCs w:val="20"/>
                <w:color w:val="auto"/>
              </w:rPr>
            </w:pPr>
            <w:r>
              <w:rPr>
                <w:rFonts w:ascii="Arial" w:cs="Arial" w:eastAsia="Arial" w:hAnsi="Arial"/>
                <w:sz w:val="13"/>
                <w:szCs w:val="13"/>
                <w:b w:val="1"/>
                <w:bCs w:val="1"/>
                <w:color w:val="auto"/>
                <w:w w:val="90"/>
              </w:rPr>
              <w:t>Level 3</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ind w:right="139"/>
              <w:spacing w:after="0" w:line="132"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7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6"/>
                <w:szCs w:val="16"/>
                <w:b w:val="1"/>
                <w:bCs w:val="1"/>
                <w:color w:val="auto"/>
              </w:rPr>
              <w:t>Assets:</w:t>
            </w:r>
          </w:p>
        </w:tc>
        <w:tc>
          <w:tcPr>
            <w:tcW w:w="24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780" w:type="dxa"/>
            <w:vAlign w:val="bottom"/>
          </w:tcPr>
          <w:p>
            <w:pPr>
              <w:spacing w:after="0"/>
              <w:rPr>
                <w:sz w:val="20"/>
                <w:szCs w:val="20"/>
                <w:color w:val="auto"/>
              </w:rPr>
            </w:pPr>
            <w:r>
              <w:rPr>
                <w:rFonts w:ascii="Arial" w:cs="Arial" w:eastAsia="Arial" w:hAnsi="Arial"/>
                <w:sz w:val="16"/>
                <w:szCs w:val="16"/>
                <w:color w:val="auto"/>
              </w:rPr>
              <w:t>Investments:</w:t>
            </w: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Debt</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5,540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4,886</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80" w:type="dxa"/>
            <w:vAlign w:val="bottom"/>
          </w:tcPr>
          <w:p>
            <w:pPr>
              <w:ind w:left="400"/>
              <w:spacing w:after="0"/>
              <w:rPr>
                <w:sz w:val="20"/>
                <w:szCs w:val="20"/>
                <w:color w:val="auto"/>
              </w:rPr>
            </w:pPr>
            <w:r>
              <w:rPr>
                <w:rFonts w:ascii="Arial" w:cs="Arial" w:eastAsia="Arial" w:hAnsi="Arial"/>
                <w:sz w:val="16"/>
                <w:szCs w:val="16"/>
                <w:color w:val="auto"/>
              </w:rPr>
              <w:t>Equities</w:t>
            </w: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6"/>
                <w:szCs w:val="16"/>
                <w:color w:val="auto"/>
              </w:rPr>
              <w:t>55,987</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1,315</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57,302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Funds:</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80" w:type="dxa"/>
            <w:vAlign w:val="bottom"/>
          </w:tcPr>
          <w:p>
            <w:pPr>
              <w:ind w:left="820"/>
              <w:spacing w:after="0"/>
              <w:rPr>
                <w:sz w:val="20"/>
                <w:szCs w:val="20"/>
                <w:color w:val="auto"/>
              </w:rPr>
            </w:pPr>
            <w:r>
              <w:rPr>
                <w:rFonts w:ascii="Arial" w:cs="Arial" w:eastAsia="Arial" w:hAnsi="Arial"/>
                <w:sz w:val="16"/>
                <w:szCs w:val="16"/>
                <w:color w:val="auto"/>
              </w:rPr>
              <w:t>Alternative investments</w:t>
            </w: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34,705</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34,705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80" w:type="dxa"/>
            <w:vAlign w:val="bottom"/>
            <w:shd w:val="clear" w:color="auto" w:fill="CCEEFF"/>
          </w:tcPr>
          <w:p>
            <w:pPr>
              <w:ind w:left="820"/>
              <w:spacing w:after="0"/>
              <w:rPr>
                <w:sz w:val="20"/>
                <w:szCs w:val="20"/>
                <w:color w:val="auto"/>
              </w:rPr>
            </w:pPr>
            <w:r>
              <w:rPr>
                <w:rFonts w:ascii="Arial" w:cs="Arial" w:eastAsia="Arial" w:hAnsi="Arial"/>
                <w:sz w:val="16"/>
                <w:szCs w:val="16"/>
                <w:color w:val="auto"/>
              </w:rPr>
              <w:t>Debt</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82,885</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82,889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80" w:type="dxa"/>
            <w:vAlign w:val="bottom"/>
          </w:tcPr>
          <w:p>
            <w:pPr>
              <w:ind w:left="820"/>
              <w:spacing w:after="0"/>
              <w:rPr>
                <w:sz w:val="20"/>
                <w:szCs w:val="20"/>
                <w:color w:val="auto"/>
              </w:rPr>
            </w:pPr>
            <w:r>
              <w:rPr>
                <w:rFonts w:ascii="Arial" w:cs="Arial" w:eastAsia="Arial" w:hAnsi="Arial"/>
                <w:sz w:val="16"/>
                <w:szCs w:val="16"/>
                <w:color w:val="auto"/>
              </w:rPr>
              <w:t>Equity</w:t>
            </w: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6"/>
                <w:szCs w:val="16"/>
                <w:color w:val="auto"/>
                <w:w w:val="96"/>
              </w:rPr>
              <w:t>228,166</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43</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228,209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80" w:type="dxa"/>
            <w:vAlign w:val="bottom"/>
            <w:shd w:val="clear" w:color="auto" w:fill="CCEEFF"/>
          </w:tcPr>
          <w:p>
            <w:pPr>
              <w:ind w:left="820"/>
              <w:spacing w:after="0"/>
              <w:rPr>
                <w:sz w:val="20"/>
                <w:szCs w:val="20"/>
                <w:color w:val="auto"/>
              </w:rPr>
            </w:pPr>
            <w:r>
              <w:rPr>
                <w:rFonts w:ascii="Arial" w:cs="Arial" w:eastAsia="Arial" w:hAnsi="Arial"/>
                <w:sz w:val="16"/>
                <w:szCs w:val="16"/>
                <w:color w:val="auto"/>
              </w:rPr>
              <w:t>Private equity</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114,470</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114,470</w:t>
            </w:r>
          </w:p>
        </w:tc>
        <w:tc>
          <w:tcPr>
            <w:tcW w:w="0" w:type="dxa"/>
            <w:vAlign w:val="bottom"/>
          </w:tcPr>
          <w:p>
            <w:pPr>
              <w:spacing w:after="0"/>
              <w:rPr>
                <w:sz w:val="1"/>
                <w:szCs w:val="1"/>
                <w:color w:val="auto"/>
              </w:rPr>
            </w:pPr>
          </w:p>
        </w:tc>
      </w:tr>
      <w:tr>
        <w:trPr>
          <w:trHeight w:val="202"/>
        </w:trPr>
        <w:tc>
          <w:tcPr>
            <w:tcW w:w="4780" w:type="dxa"/>
            <w:vAlign w:val="bottom"/>
          </w:tcPr>
          <w:p>
            <w:pPr>
              <w:spacing w:after="0"/>
              <w:rPr>
                <w:sz w:val="20"/>
                <w:szCs w:val="20"/>
                <w:color w:val="auto"/>
              </w:rPr>
            </w:pPr>
            <w:r>
              <w:rPr>
                <w:rFonts w:ascii="Arial" w:cs="Arial" w:eastAsia="Arial" w:hAnsi="Arial"/>
                <w:sz w:val="16"/>
                <w:szCs w:val="16"/>
                <w:color w:val="auto"/>
              </w:rPr>
              <w:t>Derivatives</w:t>
            </w: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2,355</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7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7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w w:val="96"/>
              </w:rPr>
              <w:t>372,578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41,993</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115,785</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530,356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6"/>
                <w:szCs w:val="16"/>
                <w:b w:val="1"/>
                <w:bCs w:val="1"/>
                <w:color w:val="auto"/>
              </w:rPr>
              <w:t>Liabilities:</w:t>
            </w:r>
          </w:p>
        </w:tc>
        <w:tc>
          <w:tcPr>
            <w:tcW w:w="2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80" w:type="dxa"/>
            <w:vAlign w:val="bottom"/>
            <w:vMerge w:val="continue"/>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Securities sold, not yet purchased</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9,290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80" w:type="dxa"/>
            <w:vAlign w:val="bottom"/>
          </w:tcPr>
          <w:p>
            <w:pPr>
              <w:spacing w:after="0"/>
              <w:rPr>
                <w:sz w:val="20"/>
                <w:szCs w:val="20"/>
                <w:color w:val="auto"/>
              </w:rPr>
            </w:pPr>
            <w:r>
              <w:rPr>
                <w:rFonts w:ascii="Arial" w:cs="Arial" w:eastAsia="Arial" w:hAnsi="Arial"/>
                <w:sz w:val="16"/>
                <w:szCs w:val="16"/>
                <w:color w:val="auto"/>
              </w:rPr>
              <w:t>Derivatives</w:t>
            </w: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208,093</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208,093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7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7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9,290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208,093</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217,383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right="160" w:firstLine="457"/>
        <w:spacing w:after="0" w:line="296" w:lineRule="auto"/>
        <w:rPr>
          <w:sz w:val="20"/>
          <w:szCs w:val="20"/>
          <w:color w:val="auto"/>
        </w:rPr>
      </w:pPr>
      <w:r>
        <w:rPr>
          <w:rFonts w:ascii="Arial" w:cs="Arial" w:eastAsia="Arial" w:hAnsi="Arial"/>
          <w:sz w:val="16"/>
          <w:szCs w:val="16"/>
          <w:color w:val="auto"/>
        </w:rPr>
        <w:t>There were no transfers between any of the Level 1, 2 and 3 categories in the fair value measurement hierarchy during the three month and six month periods ended June 30, 2015 and 2014.</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440" w:right="23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LAZARD LTD</w:t>
      </w:r>
    </w:p>
    <w:p>
      <w:pPr>
        <w:spacing w:after="0" w:line="94"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auto"/>
        </w:rPr>
        <w:t>NOTES TO CONDENSED CONSOLIDATED FINANCIAL STATEMENTS—(Continued)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except for per share data, unless otherwise noted)</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tables provide a summary of changes in fair value of the Company’s Level 3 assets for the three month and six month periods ended June 30, 2015 and</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2014: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4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14"/>
          </w:tcPr>
          <w:p>
            <w:pPr>
              <w:jc w:val="right"/>
              <w:ind w:right="560"/>
              <w:spacing w:after="0"/>
              <w:rPr>
                <w:sz w:val="20"/>
                <w:szCs w:val="20"/>
                <w:color w:val="auto"/>
              </w:rPr>
            </w:pPr>
            <w:r>
              <w:rPr>
                <w:rFonts w:ascii="Arial" w:cs="Arial" w:eastAsia="Arial" w:hAnsi="Arial"/>
                <w:sz w:val="13"/>
                <w:szCs w:val="13"/>
                <w:b w:val="1"/>
                <w:bCs w:val="1"/>
                <w:color w:val="auto"/>
                <w:w w:val="99"/>
              </w:rPr>
              <w:t>Three Months Ended June 30, 2015</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7"/>
          </w:tcPr>
          <w:p>
            <w:pPr>
              <w:jc w:val="center"/>
              <w:ind w:right="300"/>
              <w:spacing w:after="0" w:line="119" w:lineRule="exact"/>
              <w:rPr>
                <w:sz w:val="20"/>
                <w:szCs w:val="20"/>
                <w:color w:val="auto"/>
              </w:rPr>
            </w:pPr>
            <w:r>
              <w:rPr>
                <w:rFonts w:ascii="Arial" w:cs="Arial" w:eastAsia="Arial" w:hAnsi="Arial"/>
                <w:sz w:val="13"/>
                <w:szCs w:val="13"/>
                <w:b w:val="1"/>
                <w:bCs w:val="1"/>
                <w:color w:val="auto"/>
                <w:w w:val="93"/>
              </w:rPr>
              <w:t>Net Unrealized/</w:t>
            </w: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4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6"/>
          </w:tcPr>
          <w:p>
            <w:pPr>
              <w:jc w:val="center"/>
              <w:ind w:right="440"/>
              <w:spacing w:after="0" w:line="139" w:lineRule="exact"/>
              <w:rPr>
                <w:sz w:val="20"/>
                <w:szCs w:val="20"/>
                <w:color w:val="auto"/>
              </w:rPr>
            </w:pPr>
            <w:r>
              <w:rPr>
                <w:rFonts w:ascii="Arial" w:cs="Arial" w:eastAsia="Arial" w:hAnsi="Arial"/>
                <w:sz w:val="13"/>
                <w:szCs w:val="13"/>
                <w:b w:val="1"/>
                <w:bCs w:val="1"/>
                <w:color w:val="auto"/>
                <w:w w:val="87"/>
              </w:rPr>
              <w:t>Realized</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7"/>
          </w:tcPr>
          <w:p>
            <w:pPr>
              <w:jc w:val="center"/>
              <w:ind w:right="280"/>
              <w:spacing w:after="0" w:line="139" w:lineRule="exact"/>
              <w:rPr>
                <w:sz w:val="20"/>
                <w:szCs w:val="20"/>
                <w:color w:val="auto"/>
              </w:rPr>
            </w:pPr>
            <w:r>
              <w:rPr>
                <w:rFonts w:ascii="Arial" w:cs="Arial" w:eastAsia="Arial" w:hAnsi="Arial"/>
                <w:sz w:val="13"/>
                <w:szCs w:val="13"/>
                <w:b w:val="1"/>
                <w:bCs w:val="1"/>
                <w:color w:val="auto"/>
                <w:w w:val="83"/>
              </w:rPr>
              <w:t>Gains (Losses)</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4"/>
          </w:tcPr>
          <w:p>
            <w:pPr>
              <w:jc w:val="center"/>
              <w:ind w:right="580"/>
              <w:spacing w:after="0" w:line="139" w:lineRule="exact"/>
              <w:rPr>
                <w:sz w:val="20"/>
                <w:szCs w:val="20"/>
                <w:color w:val="auto"/>
              </w:rPr>
            </w:pPr>
            <w:r>
              <w:rPr>
                <w:rFonts w:ascii="Arial" w:cs="Arial" w:eastAsia="Arial" w:hAnsi="Arial"/>
                <w:sz w:val="13"/>
                <w:szCs w:val="13"/>
                <w:b w:val="1"/>
                <w:bCs w:val="1"/>
                <w:color w:val="auto"/>
                <w:w w:val="88"/>
              </w:rPr>
              <w:t>Foreign</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6"/>
          </w:tcPr>
          <w:p>
            <w:pPr>
              <w:jc w:val="center"/>
              <w:ind w:right="460"/>
              <w:spacing w:after="0" w:line="139" w:lineRule="exact"/>
              <w:rPr>
                <w:sz w:val="20"/>
                <w:szCs w:val="20"/>
                <w:color w:val="auto"/>
              </w:rPr>
            </w:pPr>
            <w:r>
              <w:rPr>
                <w:rFonts w:ascii="Arial" w:cs="Arial" w:eastAsia="Arial" w:hAnsi="Arial"/>
                <w:sz w:val="13"/>
                <w:szCs w:val="13"/>
                <w:b w:val="1"/>
                <w:bCs w:val="1"/>
                <w:color w:val="auto"/>
                <w:w w:val="89"/>
              </w:rPr>
              <w:t>Included</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4"/>
          </w:tcPr>
          <w:p>
            <w:pPr>
              <w:jc w:val="center"/>
              <w:ind w:right="600"/>
              <w:spacing w:after="0" w:line="139" w:lineRule="exact"/>
              <w:rPr>
                <w:sz w:val="20"/>
                <w:szCs w:val="20"/>
                <w:color w:val="auto"/>
              </w:rPr>
            </w:pPr>
            <w:r>
              <w:rPr>
                <w:rFonts w:ascii="Arial" w:cs="Arial" w:eastAsia="Arial" w:hAnsi="Arial"/>
                <w:sz w:val="13"/>
                <w:szCs w:val="13"/>
                <w:b w:val="1"/>
                <w:bCs w:val="1"/>
                <w:color w:val="auto"/>
                <w:w w:val="91"/>
              </w:rPr>
              <w:t>Currency</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tcPr>
          <w:p>
            <w:pPr>
              <w:jc w:val="right"/>
              <w:spacing w:after="0" w:line="139" w:lineRule="exact"/>
              <w:rPr>
                <w:sz w:val="20"/>
                <w:szCs w:val="20"/>
                <w:color w:val="auto"/>
              </w:rPr>
            </w:pPr>
            <w:r>
              <w:rPr>
                <w:rFonts w:ascii="Arial" w:cs="Arial" w:eastAsia="Arial" w:hAnsi="Arial"/>
                <w:sz w:val="13"/>
                <w:szCs w:val="13"/>
                <w:b w:val="1"/>
                <w:bCs w:val="1"/>
                <w:color w:val="auto"/>
                <w:w w:val="84"/>
              </w:rPr>
              <w:t>Beginning</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7"/>
          </w:tcPr>
          <w:p>
            <w:pPr>
              <w:jc w:val="center"/>
              <w:ind w:right="280"/>
              <w:spacing w:after="0" w:line="139" w:lineRule="exact"/>
              <w:rPr>
                <w:sz w:val="20"/>
                <w:szCs w:val="20"/>
                <w:color w:val="auto"/>
              </w:rPr>
            </w:pPr>
            <w:r>
              <w:rPr>
                <w:rFonts w:ascii="Arial" w:cs="Arial" w:eastAsia="Arial" w:hAnsi="Arial"/>
                <w:sz w:val="13"/>
                <w:szCs w:val="13"/>
                <w:b w:val="1"/>
                <w:bCs w:val="1"/>
                <w:color w:val="auto"/>
                <w:w w:val="89"/>
              </w:rPr>
              <w:t>In Revenue-</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5"/>
          </w:tcPr>
          <w:p>
            <w:pPr>
              <w:jc w:val="right"/>
              <w:ind w:right="280"/>
              <w:spacing w:after="0" w:line="139" w:lineRule="exact"/>
              <w:rPr>
                <w:sz w:val="20"/>
                <w:szCs w:val="20"/>
                <w:color w:val="auto"/>
              </w:rPr>
            </w:pPr>
            <w:r>
              <w:rPr>
                <w:rFonts w:ascii="Arial" w:cs="Arial" w:eastAsia="Arial" w:hAnsi="Arial"/>
                <w:sz w:val="13"/>
                <w:szCs w:val="13"/>
                <w:b w:val="1"/>
                <w:bCs w:val="1"/>
                <w:color w:val="auto"/>
                <w:w w:val="89"/>
              </w:rPr>
              <w:t>Purchases/</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4"/>
          </w:tcPr>
          <w:p>
            <w:pPr>
              <w:jc w:val="right"/>
              <w:ind w:right="660"/>
              <w:spacing w:after="0"/>
              <w:rPr>
                <w:sz w:val="20"/>
                <w:szCs w:val="20"/>
                <w:color w:val="auto"/>
              </w:rPr>
            </w:pPr>
            <w:r>
              <w:rPr>
                <w:rFonts w:ascii="Arial" w:cs="Arial" w:eastAsia="Arial" w:hAnsi="Arial"/>
                <w:sz w:val="11"/>
                <w:szCs w:val="11"/>
                <w:b w:val="1"/>
                <w:bCs w:val="1"/>
                <w:color w:val="auto"/>
                <w:w w:val="75"/>
              </w:rPr>
              <w:t>Sales/</w:t>
            </w:r>
          </w:p>
        </w:tc>
        <w:tc>
          <w:tcPr>
            <w:tcW w:w="100" w:type="dxa"/>
            <w:vAlign w:val="bottom"/>
          </w:tcPr>
          <w:p>
            <w:pPr>
              <w:spacing w:after="0"/>
              <w:rPr>
                <w:sz w:val="12"/>
                <w:szCs w:val="12"/>
                <w:color w:val="auto"/>
              </w:rPr>
            </w:pPr>
          </w:p>
        </w:tc>
        <w:tc>
          <w:tcPr>
            <w:tcW w:w="1120" w:type="dxa"/>
            <w:vAlign w:val="bottom"/>
            <w:gridSpan w:val="4"/>
          </w:tcPr>
          <w:p>
            <w:pPr>
              <w:jc w:val="center"/>
              <w:ind w:right="540"/>
              <w:spacing w:after="0" w:line="139" w:lineRule="exact"/>
              <w:rPr>
                <w:sz w:val="20"/>
                <w:szCs w:val="20"/>
                <w:color w:val="auto"/>
              </w:rPr>
            </w:pPr>
            <w:r>
              <w:rPr>
                <w:rFonts w:ascii="Arial" w:cs="Arial" w:eastAsia="Arial" w:hAnsi="Arial"/>
                <w:sz w:val="13"/>
                <w:szCs w:val="13"/>
                <w:b w:val="1"/>
                <w:bCs w:val="1"/>
                <w:color w:val="auto"/>
                <w:w w:val="82"/>
              </w:rPr>
              <w:t>Translation</w:t>
            </w:r>
          </w:p>
        </w:tc>
        <w:tc>
          <w:tcPr>
            <w:tcW w:w="80" w:type="dxa"/>
            <w:vAlign w:val="bottom"/>
          </w:tcPr>
          <w:p>
            <w:pPr>
              <w:spacing w:after="0"/>
              <w:rPr>
                <w:sz w:val="12"/>
                <w:szCs w:val="12"/>
                <w:color w:val="auto"/>
              </w:rPr>
            </w:pPr>
          </w:p>
        </w:tc>
        <w:tc>
          <w:tcPr>
            <w:tcW w:w="620" w:type="dxa"/>
            <w:vAlign w:val="bottom"/>
            <w:gridSpan w:val="2"/>
          </w:tcPr>
          <w:p>
            <w:pPr>
              <w:ind w:left="20"/>
              <w:spacing w:after="0" w:line="139" w:lineRule="exact"/>
              <w:rPr>
                <w:sz w:val="20"/>
                <w:szCs w:val="20"/>
                <w:color w:val="auto"/>
              </w:rPr>
            </w:pPr>
            <w:r>
              <w:rPr>
                <w:rFonts w:ascii="Arial" w:cs="Arial" w:eastAsia="Arial" w:hAnsi="Arial"/>
                <w:sz w:val="13"/>
                <w:szCs w:val="13"/>
                <w:b w:val="1"/>
                <w:bCs w:val="1"/>
                <w:color w:val="auto"/>
              </w:rPr>
              <w:t>Ending</w:t>
            </w: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3"/>
          </w:tcPr>
          <w:p>
            <w:pPr>
              <w:jc w:val="right"/>
              <w:ind w:right="25"/>
              <w:spacing w:after="0"/>
              <w:rPr>
                <w:sz w:val="20"/>
                <w:szCs w:val="20"/>
                <w:color w:val="auto"/>
              </w:rPr>
            </w:pPr>
            <w:r>
              <w:rPr>
                <w:rFonts w:ascii="Arial" w:cs="Arial" w:eastAsia="Arial" w:hAnsi="Arial"/>
                <w:sz w:val="13"/>
                <w:szCs w:val="13"/>
                <w:b w:val="1"/>
                <w:bCs w:val="1"/>
                <w:color w:val="auto"/>
                <w:w w:val="96"/>
              </w:rPr>
              <w:t>Balance</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6"/>
          </w:tcPr>
          <w:p>
            <w:pPr>
              <w:jc w:val="center"/>
              <w:ind w:right="440"/>
              <w:spacing w:after="0"/>
              <w:rPr>
                <w:sz w:val="20"/>
                <w:szCs w:val="20"/>
                <w:color w:val="auto"/>
              </w:rPr>
            </w:pPr>
            <w:r>
              <w:rPr>
                <w:rFonts w:ascii="Arial" w:cs="Arial" w:eastAsia="Arial" w:hAnsi="Arial"/>
                <w:sz w:val="13"/>
                <w:szCs w:val="13"/>
                <w:b w:val="1"/>
                <w:bCs w:val="1"/>
                <w:color w:val="auto"/>
                <w:w w:val="92"/>
              </w:rPr>
              <w:t>Other (a)</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5"/>
          </w:tcPr>
          <w:p>
            <w:pPr>
              <w:spacing w:after="0"/>
              <w:rPr>
                <w:sz w:val="20"/>
                <w:szCs w:val="20"/>
                <w:color w:val="auto"/>
              </w:rPr>
            </w:pPr>
            <w:r>
              <w:rPr>
                <w:rFonts w:ascii="Arial" w:cs="Arial" w:eastAsia="Arial" w:hAnsi="Arial"/>
                <w:sz w:val="13"/>
                <w:szCs w:val="13"/>
                <w:b w:val="1"/>
                <w:bCs w:val="1"/>
                <w:color w:val="auto"/>
              </w:rPr>
              <w:t>Acquisitions</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gridSpan w:val="5"/>
          </w:tcPr>
          <w:p>
            <w:pPr>
              <w:jc w:val="right"/>
              <w:ind w:right="500"/>
              <w:spacing w:after="0"/>
              <w:rPr>
                <w:sz w:val="20"/>
                <w:szCs w:val="20"/>
                <w:color w:val="auto"/>
              </w:rPr>
            </w:pPr>
            <w:r>
              <w:rPr>
                <w:rFonts w:ascii="Arial" w:cs="Arial" w:eastAsia="Arial" w:hAnsi="Arial"/>
                <w:sz w:val="13"/>
                <w:szCs w:val="13"/>
                <w:b w:val="1"/>
                <w:bCs w:val="1"/>
                <w:color w:val="auto"/>
                <w:w w:val="79"/>
              </w:rPr>
              <w:t>Dispositions</w:t>
            </w:r>
          </w:p>
        </w:tc>
        <w:tc>
          <w:tcPr>
            <w:tcW w:w="100" w:type="dxa"/>
            <w:vAlign w:val="bottom"/>
          </w:tcPr>
          <w:p>
            <w:pPr>
              <w:spacing w:after="0"/>
              <w:rPr>
                <w:sz w:val="13"/>
                <w:szCs w:val="13"/>
                <w:color w:val="auto"/>
              </w:rPr>
            </w:pPr>
          </w:p>
        </w:tc>
        <w:tc>
          <w:tcPr>
            <w:tcW w:w="1120" w:type="dxa"/>
            <w:vAlign w:val="bottom"/>
            <w:gridSpan w:val="4"/>
          </w:tcPr>
          <w:p>
            <w:pPr>
              <w:jc w:val="center"/>
              <w:ind w:right="520"/>
              <w:spacing w:after="0"/>
              <w:rPr>
                <w:sz w:val="20"/>
                <w:szCs w:val="20"/>
                <w:color w:val="auto"/>
              </w:rPr>
            </w:pPr>
            <w:r>
              <w:rPr>
                <w:rFonts w:ascii="Arial" w:cs="Arial" w:eastAsia="Arial" w:hAnsi="Arial"/>
                <w:sz w:val="13"/>
                <w:szCs w:val="13"/>
                <w:b w:val="1"/>
                <w:bCs w:val="1"/>
                <w:color w:val="auto"/>
                <w:w w:val="76"/>
              </w:rPr>
              <w:t>Adjustments</w:t>
            </w:r>
          </w:p>
        </w:tc>
        <w:tc>
          <w:tcPr>
            <w:tcW w:w="8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3"/>
                <w:szCs w:val="13"/>
                <w:b w:val="1"/>
                <w:bCs w:val="1"/>
                <w:color w:val="auto"/>
              </w:rPr>
              <w:t>Balance</w:t>
            </w:r>
          </w:p>
        </w:tc>
        <w:tc>
          <w:tcPr>
            <w:tcW w:w="0" w:type="dxa"/>
            <w:vAlign w:val="bottom"/>
          </w:tcPr>
          <w:p>
            <w:pPr>
              <w:spacing w:after="0"/>
              <w:rPr>
                <w:sz w:val="1"/>
                <w:szCs w:val="1"/>
                <w:color w:val="auto"/>
              </w:rPr>
            </w:pPr>
          </w:p>
        </w:tc>
      </w:tr>
      <w:tr>
        <w:trPr>
          <w:trHeight w:val="182"/>
        </w:trPr>
        <w:tc>
          <w:tcPr>
            <w:tcW w:w="45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6"/>
                <w:szCs w:val="16"/>
                <w:color w:val="auto"/>
              </w:rPr>
              <w:t>Investments:</w:t>
            </w: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left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righ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left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right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left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left w:val="single" w:sz="8" w:color="CCEEFF"/>
            </w:tcBorders>
            <w:shd w:val="clear" w:color="auto" w:fill="CCEEFF"/>
          </w:tcPr>
          <w:p>
            <w:pPr>
              <w:spacing w:after="0"/>
              <w:rPr>
                <w:sz w:val="15"/>
                <w:szCs w:val="15"/>
                <w:color w:val="auto"/>
              </w:rPr>
            </w:pPr>
          </w:p>
        </w:tc>
        <w:tc>
          <w:tcPr>
            <w:tcW w:w="44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580" w:type="dxa"/>
            <w:vAlign w:val="bottom"/>
          </w:tcPr>
          <w:p>
            <w:pPr>
              <w:ind w:left="400"/>
              <w:spacing w:after="0"/>
              <w:rPr>
                <w:sz w:val="20"/>
                <w:szCs w:val="20"/>
                <w:color w:val="auto"/>
              </w:rPr>
            </w:pPr>
            <w:r>
              <w:rPr>
                <w:rFonts w:ascii="Arial" w:cs="Arial" w:eastAsia="Arial" w:hAnsi="Arial"/>
                <w:sz w:val="16"/>
                <w:szCs w:val="16"/>
                <w:color w:val="auto"/>
              </w:rPr>
              <w:t>Equities</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3"/>
          </w:tcPr>
          <w:p>
            <w:pPr>
              <w:jc w:val="right"/>
              <w:spacing w:after="0"/>
              <w:rPr>
                <w:sz w:val="20"/>
                <w:szCs w:val="20"/>
                <w:color w:val="auto"/>
              </w:rPr>
            </w:pPr>
            <w:r>
              <w:rPr>
                <w:rFonts w:ascii="Arial" w:cs="Arial" w:eastAsia="Arial" w:hAnsi="Arial"/>
                <w:sz w:val="16"/>
                <w:szCs w:val="16"/>
                <w:color w:val="auto"/>
              </w:rPr>
              <w:t>1,289</w:t>
            </w:r>
          </w:p>
        </w:tc>
        <w:tc>
          <w:tcPr>
            <w:tcW w:w="420" w:type="dxa"/>
            <w:vAlign w:val="bottom"/>
            <w:gridSpan w:val="3"/>
          </w:tcPr>
          <w:p>
            <w:pPr>
              <w:jc w:val="right"/>
              <w:ind w:right="17"/>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8</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gridSpan w:val="3"/>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gridSpan w:val="3"/>
          </w:tcPr>
          <w:p>
            <w:pPr>
              <w:jc w:val="right"/>
              <w:ind w:right="77"/>
              <w:spacing w:after="0"/>
              <w:rPr>
                <w:sz w:val="20"/>
                <w:szCs w:val="20"/>
                <w:color w:val="auto"/>
              </w:rPr>
            </w:pPr>
            <w:r>
              <w:rPr>
                <w:rFonts w:ascii="Arial" w:cs="Arial" w:eastAsia="Arial" w:hAnsi="Arial"/>
                <w:sz w:val="16"/>
                <w:szCs w:val="16"/>
                <w:color w:val="auto"/>
              </w:rPr>
              <w:t>$</w:t>
            </w:r>
          </w:p>
        </w:tc>
        <w:tc>
          <w:tcPr>
            <w:tcW w:w="920" w:type="dxa"/>
            <w:vAlign w:val="bottom"/>
            <w:gridSpan w:val="4"/>
          </w:tcPr>
          <w:p>
            <w:pPr>
              <w:jc w:val="right"/>
              <w:ind w:right="480"/>
              <w:spacing w:after="0"/>
              <w:rPr>
                <w:sz w:val="20"/>
                <w:szCs w:val="20"/>
                <w:color w:val="auto"/>
              </w:rPr>
            </w:pPr>
            <w:r>
              <w:rPr>
                <w:rFonts w:ascii="Arial" w:cs="Arial" w:eastAsia="Arial" w:hAnsi="Arial"/>
                <w:sz w:val="16"/>
                <w:szCs w:val="16"/>
                <w:color w:val="auto"/>
              </w:rPr>
              <w:t>–</w:t>
            </w:r>
          </w:p>
        </w:tc>
        <w:tc>
          <w:tcPr>
            <w:tcW w:w="18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1,299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Private equity funds</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107,440</w:t>
            </w:r>
          </w:p>
        </w:tc>
        <w:tc>
          <w:tcPr>
            <w:tcW w:w="22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26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0"/>
              </w:rPr>
              <w:t>(7,354)</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1,524</w:t>
            </w:r>
          </w:p>
        </w:tc>
        <w:tc>
          <w:tcPr>
            <w:tcW w:w="80" w:type="dxa"/>
            <w:vAlign w:val="bottom"/>
            <w:tcBorders>
              <w:left w:val="single" w:sz="8" w:color="CCEEFF"/>
            </w:tcBorders>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101,802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ind w:left="400"/>
              <w:spacing w:after="0"/>
              <w:rPr>
                <w:sz w:val="20"/>
                <w:szCs w:val="20"/>
                <w:color w:val="auto"/>
              </w:rPr>
            </w:pPr>
            <w:r>
              <w:rPr>
                <w:rFonts w:ascii="Arial" w:cs="Arial" w:eastAsia="Arial" w:hAnsi="Arial"/>
                <w:sz w:val="16"/>
                <w:szCs w:val="16"/>
                <w:color w:val="auto"/>
              </w:rPr>
              <w:t>Total Level 3 Assets</w:t>
            </w: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580" w:type="dxa"/>
            <w:vAlign w:val="bottom"/>
            <w:vMerge w:val="continue"/>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3"/>
          </w:tcPr>
          <w:p>
            <w:pPr>
              <w:jc w:val="right"/>
              <w:spacing w:after="0"/>
              <w:rPr>
                <w:sz w:val="20"/>
                <w:szCs w:val="20"/>
                <w:color w:val="auto"/>
              </w:rPr>
            </w:pPr>
            <w:r>
              <w:rPr>
                <w:rFonts w:ascii="Arial" w:cs="Arial" w:eastAsia="Arial" w:hAnsi="Arial"/>
                <w:sz w:val="16"/>
                <w:szCs w:val="16"/>
                <w:color w:val="auto"/>
              </w:rPr>
              <w:t>108,729</w:t>
            </w:r>
          </w:p>
        </w:tc>
        <w:tc>
          <w:tcPr>
            <w:tcW w:w="420" w:type="dxa"/>
            <w:vAlign w:val="bottom"/>
            <w:gridSpan w:val="3"/>
          </w:tcPr>
          <w:p>
            <w:pPr>
              <w:jc w:val="right"/>
              <w:ind w:right="17"/>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62</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gridSpan w:val="3"/>
          </w:tcPr>
          <w:p>
            <w:pPr>
              <w:ind w:left="4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138</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gridSpan w:val="3"/>
          </w:tcPr>
          <w:p>
            <w:pPr>
              <w:jc w:val="right"/>
              <w:ind w:right="77"/>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w w:val="90"/>
              </w:rPr>
              <w:t>(7,354)</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1,526</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103,101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4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12"/>
          </w:tcPr>
          <w:p>
            <w:pPr>
              <w:jc w:val="right"/>
              <w:ind w:right="460"/>
              <w:spacing w:after="0"/>
              <w:rPr>
                <w:sz w:val="20"/>
                <w:szCs w:val="20"/>
                <w:color w:val="auto"/>
              </w:rPr>
            </w:pPr>
            <w:r>
              <w:rPr>
                <w:rFonts w:ascii="Arial" w:cs="Arial" w:eastAsia="Arial" w:hAnsi="Arial"/>
                <w:sz w:val="13"/>
                <w:szCs w:val="13"/>
                <w:b w:val="1"/>
                <w:bCs w:val="1"/>
                <w:color w:val="auto"/>
                <w:w w:val="91"/>
              </w:rPr>
              <w:t>Six Months Ended June 30, 2015</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w w:val="91"/>
              </w:rPr>
              <w:t>Net Unrealized/</w:t>
            </w: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4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tcPr>
          <w:p>
            <w:pPr>
              <w:jc w:val="center"/>
              <w:ind w:right="100"/>
              <w:spacing w:after="0" w:line="139" w:lineRule="exact"/>
              <w:rPr>
                <w:sz w:val="20"/>
                <w:szCs w:val="20"/>
                <w:color w:val="auto"/>
              </w:rPr>
            </w:pPr>
            <w:r>
              <w:rPr>
                <w:rFonts w:ascii="Arial" w:cs="Arial" w:eastAsia="Arial" w:hAnsi="Arial"/>
                <w:sz w:val="13"/>
                <w:szCs w:val="13"/>
                <w:b w:val="1"/>
                <w:bCs w:val="1"/>
                <w:color w:val="auto"/>
                <w:w w:val="87"/>
              </w:rPr>
              <w:t>Realized</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5"/>
          </w:tcPr>
          <w:p>
            <w:pPr>
              <w:jc w:val="center"/>
              <w:ind w:right="20"/>
              <w:spacing w:after="0" w:line="139" w:lineRule="exact"/>
              <w:rPr>
                <w:sz w:val="20"/>
                <w:szCs w:val="20"/>
                <w:color w:val="auto"/>
              </w:rPr>
            </w:pPr>
            <w:r>
              <w:rPr>
                <w:rFonts w:ascii="Arial" w:cs="Arial" w:eastAsia="Arial" w:hAnsi="Arial"/>
                <w:sz w:val="13"/>
                <w:szCs w:val="13"/>
                <w:b w:val="1"/>
                <w:bCs w:val="1"/>
                <w:color w:val="auto"/>
                <w:w w:val="83"/>
              </w:rPr>
              <w:t>Gains (Losses)</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540"/>
              <w:spacing w:after="0" w:line="139" w:lineRule="exact"/>
              <w:rPr>
                <w:sz w:val="20"/>
                <w:szCs w:val="20"/>
                <w:color w:val="auto"/>
              </w:rPr>
            </w:pPr>
            <w:r>
              <w:rPr>
                <w:rFonts w:ascii="Arial" w:cs="Arial" w:eastAsia="Arial" w:hAnsi="Arial"/>
                <w:sz w:val="13"/>
                <w:szCs w:val="13"/>
                <w:b w:val="1"/>
                <w:bCs w:val="1"/>
                <w:color w:val="auto"/>
                <w:w w:val="88"/>
              </w:rPr>
              <w:t>Foreign</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tcPr>
          <w:p>
            <w:pPr>
              <w:jc w:val="center"/>
              <w:ind w:right="120"/>
              <w:spacing w:after="0" w:line="139" w:lineRule="exact"/>
              <w:rPr>
                <w:sz w:val="20"/>
                <w:szCs w:val="20"/>
                <w:color w:val="auto"/>
              </w:rPr>
            </w:pPr>
            <w:r>
              <w:rPr>
                <w:rFonts w:ascii="Arial" w:cs="Arial" w:eastAsia="Arial" w:hAnsi="Arial"/>
                <w:sz w:val="13"/>
                <w:szCs w:val="13"/>
                <w:b w:val="1"/>
                <w:bCs w:val="1"/>
                <w:color w:val="auto"/>
                <w:w w:val="89"/>
              </w:rPr>
              <w:t>Included</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4"/>
          </w:tcPr>
          <w:p>
            <w:pPr>
              <w:jc w:val="center"/>
              <w:ind w:right="480"/>
              <w:spacing w:after="0" w:line="139" w:lineRule="exact"/>
              <w:rPr>
                <w:sz w:val="20"/>
                <w:szCs w:val="20"/>
                <w:color w:val="auto"/>
              </w:rPr>
            </w:pPr>
            <w:r>
              <w:rPr>
                <w:rFonts w:ascii="Arial" w:cs="Arial" w:eastAsia="Arial" w:hAnsi="Arial"/>
                <w:sz w:val="13"/>
                <w:szCs w:val="13"/>
                <w:b w:val="1"/>
                <w:bCs w:val="1"/>
                <w:color w:val="auto"/>
                <w:w w:val="91"/>
              </w:rPr>
              <w:t>Currency</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jc w:val="center"/>
              <w:ind w:right="37"/>
              <w:spacing w:after="0" w:line="139" w:lineRule="exact"/>
              <w:rPr>
                <w:sz w:val="20"/>
                <w:szCs w:val="20"/>
                <w:color w:val="auto"/>
              </w:rPr>
            </w:pPr>
            <w:r>
              <w:rPr>
                <w:rFonts w:ascii="Arial" w:cs="Arial" w:eastAsia="Arial" w:hAnsi="Arial"/>
                <w:sz w:val="13"/>
                <w:szCs w:val="13"/>
                <w:b w:val="1"/>
                <w:bCs w:val="1"/>
                <w:color w:val="auto"/>
                <w:w w:val="88"/>
              </w:rPr>
              <w:t>Beginning</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tcPr>
          <w:p>
            <w:pPr>
              <w:jc w:val="center"/>
              <w:ind w:right="100"/>
              <w:spacing w:after="0" w:line="139" w:lineRule="exact"/>
              <w:rPr>
                <w:sz w:val="20"/>
                <w:szCs w:val="20"/>
                <w:color w:val="auto"/>
              </w:rPr>
            </w:pPr>
            <w:r>
              <w:rPr>
                <w:rFonts w:ascii="Arial" w:cs="Arial" w:eastAsia="Arial" w:hAnsi="Arial"/>
                <w:sz w:val="13"/>
                <w:szCs w:val="13"/>
                <w:b w:val="1"/>
                <w:bCs w:val="1"/>
                <w:color w:val="auto"/>
                <w:w w:val="89"/>
              </w:rPr>
              <w:t>In Revenue-</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4"/>
          </w:tcPr>
          <w:p>
            <w:pPr>
              <w:jc w:val="right"/>
              <w:ind w:right="80"/>
              <w:spacing w:after="0" w:line="139" w:lineRule="exact"/>
              <w:rPr>
                <w:sz w:val="20"/>
                <w:szCs w:val="20"/>
                <w:color w:val="auto"/>
              </w:rPr>
            </w:pPr>
            <w:r>
              <w:rPr>
                <w:rFonts w:ascii="Arial" w:cs="Arial" w:eastAsia="Arial" w:hAnsi="Arial"/>
                <w:sz w:val="13"/>
                <w:szCs w:val="13"/>
                <w:b w:val="1"/>
                <w:bCs w:val="1"/>
                <w:color w:val="auto"/>
                <w:w w:val="83"/>
              </w:rPr>
              <w:t>Purchases/</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4"/>
          </w:tcPr>
          <w:p>
            <w:pPr>
              <w:jc w:val="center"/>
              <w:ind w:right="440"/>
              <w:spacing w:after="0" w:line="139" w:lineRule="exact"/>
              <w:rPr>
                <w:sz w:val="20"/>
                <w:szCs w:val="20"/>
                <w:color w:val="auto"/>
              </w:rPr>
            </w:pPr>
            <w:r>
              <w:rPr>
                <w:rFonts w:ascii="Arial" w:cs="Arial" w:eastAsia="Arial" w:hAnsi="Arial"/>
                <w:sz w:val="13"/>
                <w:szCs w:val="13"/>
                <w:b w:val="1"/>
                <w:bCs w:val="1"/>
                <w:color w:val="auto"/>
                <w:w w:val="85"/>
              </w:rPr>
              <w:t>Sales/</w:t>
            </w:r>
          </w:p>
        </w:tc>
        <w:tc>
          <w:tcPr>
            <w:tcW w:w="100" w:type="dxa"/>
            <w:vAlign w:val="bottom"/>
          </w:tcPr>
          <w:p>
            <w:pPr>
              <w:spacing w:after="0"/>
              <w:rPr>
                <w:sz w:val="12"/>
                <w:szCs w:val="12"/>
                <w:color w:val="auto"/>
              </w:rPr>
            </w:pPr>
          </w:p>
        </w:tc>
        <w:tc>
          <w:tcPr>
            <w:tcW w:w="1120" w:type="dxa"/>
            <w:vAlign w:val="bottom"/>
            <w:gridSpan w:val="4"/>
          </w:tcPr>
          <w:p>
            <w:pPr>
              <w:jc w:val="center"/>
              <w:ind w:right="460"/>
              <w:spacing w:after="0" w:line="139" w:lineRule="exact"/>
              <w:rPr>
                <w:sz w:val="20"/>
                <w:szCs w:val="20"/>
                <w:color w:val="auto"/>
              </w:rPr>
            </w:pPr>
            <w:r>
              <w:rPr>
                <w:rFonts w:ascii="Arial" w:cs="Arial" w:eastAsia="Arial" w:hAnsi="Arial"/>
                <w:sz w:val="13"/>
                <w:szCs w:val="13"/>
                <w:b w:val="1"/>
                <w:bCs w:val="1"/>
                <w:color w:val="auto"/>
                <w:w w:val="88"/>
              </w:rPr>
              <w:t>Translation</w:t>
            </w:r>
          </w:p>
        </w:tc>
        <w:tc>
          <w:tcPr>
            <w:tcW w:w="80" w:type="dxa"/>
            <w:vAlign w:val="bottom"/>
          </w:tcPr>
          <w:p>
            <w:pPr>
              <w:spacing w:after="0"/>
              <w:rPr>
                <w:sz w:val="12"/>
                <w:szCs w:val="12"/>
                <w:color w:val="auto"/>
              </w:rPr>
            </w:pPr>
          </w:p>
        </w:tc>
        <w:tc>
          <w:tcPr>
            <w:tcW w:w="620" w:type="dxa"/>
            <w:vAlign w:val="bottom"/>
            <w:gridSpan w:val="2"/>
          </w:tcPr>
          <w:p>
            <w:pPr>
              <w:ind w:left="20"/>
              <w:spacing w:after="0" w:line="139" w:lineRule="exact"/>
              <w:rPr>
                <w:sz w:val="20"/>
                <w:szCs w:val="20"/>
                <w:color w:val="auto"/>
              </w:rPr>
            </w:pPr>
            <w:r>
              <w:rPr>
                <w:rFonts w:ascii="Arial" w:cs="Arial" w:eastAsia="Arial" w:hAnsi="Arial"/>
                <w:sz w:val="13"/>
                <w:szCs w:val="13"/>
                <w:b w:val="1"/>
                <w:bCs w:val="1"/>
                <w:color w:val="auto"/>
              </w:rPr>
              <w:t>Ending</w:t>
            </w: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4"/>
          </w:tcPr>
          <w:p>
            <w:pPr>
              <w:jc w:val="center"/>
              <w:ind w:right="37"/>
              <w:spacing w:after="0"/>
              <w:rPr>
                <w:sz w:val="20"/>
                <w:szCs w:val="20"/>
                <w:color w:val="auto"/>
              </w:rPr>
            </w:pPr>
            <w:r>
              <w:rPr>
                <w:rFonts w:ascii="Arial" w:cs="Arial" w:eastAsia="Arial" w:hAnsi="Arial"/>
                <w:sz w:val="13"/>
                <w:szCs w:val="13"/>
                <w:b w:val="1"/>
                <w:bCs w:val="1"/>
                <w:color w:val="auto"/>
                <w:w w:val="88"/>
              </w:rPr>
              <w:t>Balance</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2"/>
              </w:rPr>
              <w:t>Other (a)</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gridSpan w:val="4"/>
          </w:tcPr>
          <w:p>
            <w:pPr>
              <w:spacing w:after="0"/>
              <w:rPr>
                <w:sz w:val="20"/>
                <w:szCs w:val="20"/>
                <w:color w:val="auto"/>
              </w:rPr>
            </w:pPr>
            <w:r>
              <w:rPr>
                <w:rFonts w:ascii="Arial" w:cs="Arial" w:eastAsia="Arial" w:hAnsi="Arial"/>
                <w:sz w:val="13"/>
                <w:szCs w:val="13"/>
                <w:b w:val="1"/>
                <w:bCs w:val="1"/>
                <w:color w:val="auto"/>
                <w:w w:val="84"/>
              </w:rPr>
              <w:t>Acquisitions</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4"/>
          </w:tcPr>
          <w:p>
            <w:pPr>
              <w:jc w:val="center"/>
              <w:ind w:right="360"/>
              <w:spacing w:after="0"/>
              <w:rPr>
                <w:sz w:val="20"/>
                <w:szCs w:val="20"/>
                <w:color w:val="auto"/>
              </w:rPr>
            </w:pPr>
            <w:r>
              <w:rPr>
                <w:rFonts w:ascii="Arial" w:cs="Arial" w:eastAsia="Arial" w:hAnsi="Arial"/>
                <w:sz w:val="13"/>
                <w:szCs w:val="13"/>
                <w:b w:val="1"/>
                <w:bCs w:val="1"/>
                <w:color w:val="auto"/>
                <w:w w:val="71"/>
              </w:rPr>
              <w:t>Dispositions</w:t>
            </w:r>
          </w:p>
        </w:tc>
        <w:tc>
          <w:tcPr>
            <w:tcW w:w="100" w:type="dxa"/>
            <w:vAlign w:val="bottom"/>
          </w:tcPr>
          <w:p>
            <w:pPr>
              <w:spacing w:after="0"/>
              <w:rPr>
                <w:sz w:val="13"/>
                <w:szCs w:val="13"/>
                <w:color w:val="auto"/>
              </w:rPr>
            </w:pPr>
          </w:p>
        </w:tc>
        <w:tc>
          <w:tcPr>
            <w:tcW w:w="1120" w:type="dxa"/>
            <w:vAlign w:val="bottom"/>
            <w:gridSpan w:val="4"/>
          </w:tcPr>
          <w:p>
            <w:pPr>
              <w:jc w:val="center"/>
              <w:ind w:right="440"/>
              <w:spacing w:after="0"/>
              <w:rPr>
                <w:sz w:val="20"/>
                <w:szCs w:val="20"/>
                <w:color w:val="auto"/>
              </w:rPr>
            </w:pPr>
            <w:r>
              <w:rPr>
                <w:rFonts w:ascii="Arial" w:cs="Arial" w:eastAsia="Arial" w:hAnsi="Arial"/>
                <w:sz w:val="13"/>
                <w:szCs w:val="13"/>
                <w:b w:val="1"/>
                <w:bCs w:val="1"/>
                <w:color w:val="auto"/>
                <w:w w:val="86"/>
              </w:rPr>
              <w:t>Adjustments</w:t>
            </w:r>
          </w:p>
        </w:tc>
        <w:tc>
          <w:tcPr>
            <w:tcW w:w="8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3"/>
                <w:szCs w:val="13"/>
                <w:b w:val="1"/>
                <w:bCs w:val="1"/>
                <w:color w:val="auto"/>
              </w:rPr>
              <w:t>Balance</w:t>
            </w:r>
          </w:p>
        </w:tc>
        <w:tc>
          <w:tcPr>
            <w:tcW w:w="0" w:type="dxa"/>
            <w:vAlign w:val="bottom"/>
          </w:tcPr>
          <w:p>
            <w:pPr>
              <w:spacing w:after="0"/>
              <w:rPr>
                <w:sz w:val="1"/>
                <w:szCs w:val="1"/>
                <w:color w:val="auto"/>
              </w:rPr>
            </w:pPr>
          </w:p>
        </w:tc>
      </w:tr>
      <w:tr>
        <w:trPr>
          <w:trHeight w:val="182"/>
        </w:trPr>
        <w:tc>
          <w:tcPr>
            <w:tcW w:w="45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6"/>
                <w:szCs w:val="16"/>
                <w:color w:val="auto"/>
              </w:rPr>
              <w:t>Investments:</w:t>
            </w: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left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left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right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left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left w:val="single" w:sz="8" w:color="CCEEFF"/>
            </w:tcBorders>
            <w:shd w:val="clear" w:color="auto" w:fill="CCEEFF"/>
          </w:tcPr>
          <w:p>
            <w:pPr>
              <w:spacing w:after="0"/>
              <w:rPr>
                <w:sz w:val="15"/>
                <w:szCs w:val="15"/>
                <w:color w:val="auto"/>
              </w:rPr>
            </w:pPr>
          </w:p>
        </w:tc>
        <w:tc>
          <w:tcPr>
            <w:tcW w:w="44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580" w:type="dxa"/>
            <w:vAlign w:val="bottom"/>
          </w:tcPr>
          <w:p>
            <w:pPr>
              <w:ind w:left="400"/>
              <w:spacing w:after="0"/>
              <w:rPr>
                <w:sz w:val="20"/>
                <w:szCs w:val="20"/>
                <w:color w:val="auto"/>
              </w:rPr>
            </w:pPr>
            <w:r>
              <w:rPr>
                <w:rFonts w:ascii="Arial" w:cs="Arial" w:eastAsia="Arial" w:hAnsi="Arial"/>
                <w:sz w:val="16"/>
                <w:szCs w:val="16"/>
                <w:color w:val="auto"/>
              </w:rPr>
              <w:t>Equities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4"/>
          </w:tcPr>
          <w:p>
            <w:pPr>
              <w:jc w:val="right"/>
              <w:spacing w:after="0"/>
              <w:rPr>
                <w:sz w:val="20"/>
                <w:szCs w:val="20"/>
                <w:color w:val="auto"/>
              </w:rPr>
            </w:pPr>
            <w:r>
              <w:rPr>
                <w:rFonts w:ascii="Arial" w:cs="Arial" w:eastAsia="Arial" w:hAnsi="Arial"/>
                <w:sz w:val="16"/>
                <w:szCs w:val="16"/>
                <w:color w:val="auto"/>
              </w:rPr>
              <w:t>1,315</w:t>
            </w:r>
          </w:p>
        </w:tc>
        <w:tc>
          <w:tcPr>
            <w:tcW w:w="220" w:type="dxa"/>
            <w:vAlign w:val="bottom"/>
            <w:gridSpan w:val="2"/>
          </w:tcPr>
          <w:p>
            <w:pPr>
              <w:ind w:left="120"/>
              <w:spacing w:after="0"/>
              <w:rPr>
                <w:sz w:val="20"/>
                <w:szCs w:val="20"/>
                <w:color w:val="auto"/>
              </w:rPr>
            </w:pPr>
            <w:r>
              <w:rPr>
                <w:rFonts w:ascii="Arial" w:cs="Arial" w:eastAsia="Arial" w:hAnsi="Arial"/>
                <w:sz w:val="16"/>
                <w:szCs w:val="16"/>
                <w:color w:val="auto"/>
                <w:w w:val="89"/>
              </w:rPr>
              <w:t>$</w:t>
            </w: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7"/>
                <w:szCs w:val="17"/>
                <w:color w:val="auto"/>
              </w:rPr>
            </w:pPr>
          </w:p>
        </w:tc>
        <w:tc>
          <w:tcPr>
            <w:tcW w:w="780" w:type="dxa"/>
            <w:vAlign w:val="bottom"/>
            <w:gridSpan w:val="4"/>
          </w:tcPr>
          <w:p>
            <w:pPr>
              <w:ind w:left="6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52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1040" w:type="dxa"/>
            <w:vAlign w:val="bottom"/>
            <w:gridSpan w:val="3"/>
          </w:tcPr>
          <w:p>
            <w:pPr>
              <w:jc w:val="right"/>
              <w:ind w:right="380"/>
              <w:spacing w:after="0"/>
              <w:rPr>
                <w:sz w:val="20"/>
                <w:szCs w:val="20"/>
                <w:color w:val="auto"/>
              </w:rPr>
            </w:pPr>
            <w:r>
              <w:rPr>
                <w:rFonts w:ascii="Arial" w:cs="Arial" w:eastAsia="Arial" w:hAnsi="Arial"/>
                <w:sz w:val="16"/>
                <w:szCs w:val="16"/>
                <w:color w:val="auto"/>
              </w:rPr>
              <w:t>(26)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1,299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Private equity funds</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114,470</w:t>
            </w: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7,902</w:t>
            </w: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847</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920" w:type="dxa"/>
            <w:vAlign w:val="bottom"/>
            <w:gridSpan w:val="4"/>
            <w:shd w:val="clear" w:color="auto" w:fill="CCEEFF"/>
          </w:tcPr>
          <w:p>
            <w:pPr>
              <w:jc w:val="right"/>
              <w:ind w:right="300"/>
              <w:spacing w:after="0"/>
              <w:rPr>
                <w:sz w:val="20"/>
                <w:szCs w:val="20"/>
                <w:color w:val="auto"/>
              </w:rPr>
            </w:pPr>
            <w:r>
              <w:rPr>
                <w:rFonts w:ascii="Arial" w:cs="Arial" w:eastAsia="Arial" w:hAnsi="Arial"/>
                <w:sz w:val="16"/>
                <w:szCs w:val="16"/>
                <w:color w:val="auto"/>
              </w:rPr>
              <w:t>(17,885)</w:t>
            </w: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(3,532)</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101,802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ind w:left="400"/>
              <w:spacing w:after="0"/>
              <w:rPr>
                <w:sz w:val="20"/>
                <w:szCs w:val="20"/>
                <w:color w:val="auto"/>
              </w:rPr>
            </w:pPr>
            <w:r>
              <w:rPr>
                <w:rFonts w:ascii="Arial" w:cs="Arial" w:eastAsia="Arial" w:hAnsi="Arial"/>
                <w:sz w:val="16"/>
                <w:szCs w:val="16"/>
                <w:color w:val="auto"/>
              </w:rPr>
              <w:t>Total Level 3 Assets</w:t>
            </w: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right w:val="single" w:sz="8" w:color="auto"/>
            </w:tcBorders>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right w:val="single" w:sz="8" w:color="auto"/>
            </w:tcBorders>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5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4"/>
          </w:tcPr>
          <w:p>
            <w:pPr>
              <w:jc w:val="right"/>
              <w:spacing w:after="0"/>
              <w:rPr>
                <w:sz w:val="20"/>
                <w:szCs w:val="20"/>
                <w:color w:val="auto"/>
              </w:rPr>
            </w:pPr>
            <w:r>
              <w:rPr>
                <w:rFonts w:ascii="Arial" w:cs="Arial" w:eastAsia="Arial" w:hAnsi="Arial"/>
                <w:sz w:val="16"/>
                <w:szCs w:val="16"/>
                <w:color w:val="auto"/>
              </w:rPr>
              <w:t>115,785</w:t>
            </w:r>
          </w:p>
        </w:tc>
        <w:tc>
          <w:tcPr>
            <w:tcW w:w="220" w:type="dxa"/>
            <w:vAlign w:val="bottom"/>
            <w:gridSpan w:val="2"/>
          </w:tcPr>
          <w:p>
            <w:pPr>
              <w:ind w:left="120"/>
              <w:spacing w:after="0"/>
              <w:rPr>
                <w:sz w:val="20"/>
                <w:szCs w:val="20"/>
                <w:color w:val="auto"/>
              </w:rPr>
            </w:pPr>
            <w:r>
              <w:rPr>
                <w:rFonts w:ascii="Arial" w:cs="Arial" w:eastAsia="Arial" w:hAnsi="Arial"/>
                <w:sz w:val="16"/>
                <w:szCs w:val="16"/>
                <w:color w:val="auto"/>
                <w:w w:val="89"/>
              </w:rPr>
              <w:t>$</w:t>
            </w: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7,912</w:t>
            </w:r>
          </w:p>
        </w:tc>
        <w:tc>
          <w:tcPr>
            <w:tcW w:w="20" w:type="dxa"/>
            <w:vAlign w:val="bottom"/>
          </w:tcPr>
          <w:p>
            <w:pPr>
              <w:spacing w:after="0"/>
              <w:rPr>
                <w:sz w:val="17"/>
                <w:szCs w:val="17"/>
                <w:color w:val="auto"/>
              </w:rPr>
            </w:pPr>
          </w:p>
        </w:tc>
        <w:tc>
          <w:tcPr>
            <w:tcW w:w="780" w:type="dxa"/>
            <w:vAlign w:val="bottom"/>
            <w:gridSpan w:val="4"/>
          </w:tcPr>
          <w:p>
            <w:pPr>
              <w:ind w:left="640"/>
              <w:spacing w:after="0"/>
              <w:rPr>
                <w:sz w:val="20"/>
                <w:szCs w:val="20"/>
                <w:color w:val="auto"/>
              </w:rPr>
            </w:pPr>
            <w:r>
              <w:rPr>
                <w:rFonts w:ascii="Arial" w:cs="Arial" w:eastAsia="Arial" w:hAnsi="Arial"/>
                <w:sz w:val="16"/>
                <w:szCs w:val="16"/>
                <w:color w:val="auto"/>
              </w:rPr>
              <w:t>$</w:t>
            </w:r>
          </w:p>
        </w:tc>
        <w:tc>
          <w:tcPr>
            <w:tcW w:w="560" w:type="dxa"/>
            <w:vAlign w:val="bottom"/>
            <w:gridSpan w:val="3"/>
          </w:tcPr>
          <w:p>
            <w:pPr>
              <w:jc w:val="right"/>
              <w:ind w:right="20"/>
              <w:spacing w:after="0"/>
              <w:rPr>
                <w:sz w:val="20"/>
                <w:szCs w:val="20"/>
                <w:color w:val="auto"/>
              </w:rPr>
            </w:pPr>
            <w:r>
              <w:rPr>
                <w:rFonts w:ascii="Arial" w:cs="Arial" w:eastAsia="Arial" w:hAnsi="Arial"/>
                <w:sz w:val="16"/>
                <w:szCs w:val="16"/>
                <w:color w:val="auto"/>
              </w:rPr>
              <w:t>847</w:t>
            </w:r>
          </w:p>
        </w:tc>
        <w:tc>
          <w:tcPr>
            <w:tcW w:w="1400" w:type="dxa"/>
            <w:vAlign w:val="bottom"/>
            <w:gridSpan w:val="7"/>
          </w:tcPr>
          <w:p>
            <w:pPr>
              <w:jc w:val="right"/>
              <w:ind w:right="300"/>
              <w:spacing w:after="0"/>
              <w:rPr>
                <w:sz w:val="20"/>
                <w:szCs w:val="20"/>
                <w:color w:val="auto"/>
              </w:rPr>
            </w:pPr>
            <w:r>
              <w:rPr>
                <w:rFonts w:ascii="Arial" w:cs="Arial" w:eastAsia="Arial" w:hAnsi="Arial"/>
                <w:sz w:val="16"/>
                <w:szCs w:val="16"/>
                <w:color w:val="auto"/>
              </w:rPr>
              <w:t>$ (17,885)</w:t>
            </w: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1040" w:type="dxa"/>
            <w:vAlign w:val="bottom"/>
            <w:gridSpan w:val="3"/>
          </w:tcPr>
          <w:p>
            <w:pPr>
              <w:jc w:val="right"/>
              <w:ind w:right="380"/>
              <w:spacing w:after="0"/>
              <w:rPr>
                <w:sz w:val="20"/>
                <w:szCs w:val="20"/>
                <w:color w:val="auto"/>
              </w:rPr>
            </w:pPr>
            <w:r>
              <w:rPr>
                <w:rFonts w:ascii="Arial" w:cs="Arial" w:eastAsia="Arial" w:hAnsi="Arial"/>
                <w:sz w:val="16"/>
                <w:szCs w:val="16"/>
                <w:color w:val="auto"/>
              </w:rPr>
              <w:t>(3,558)</w:t>
            </w:r>
          </w:p>
        </w:tc>
        <w:tc>
          <w:tcPr>
            <w:tcW w:w="8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103,101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45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14"/>
          </w:tcPr>
          <w:p>
            <w:pPr>
              <w:jc w:val="right"/>
              <w:ind w:right="580"/>
              <w:spacing w:after="0"/>
              <w:rPr>
                <w:sz w:val="20"/>
                <w:szCs w:val="20"/>
                <w:color w:val="auto"/>
              </w:rPr>
            </w:pPr>
            <w:r>
              <w:rPr>
                <w:rFonts w:ascii="Arial" w:cs="Arial" w:eastAsia="Arial" w:hAnsi="Arial"/>
                <w:sz w:val="13"/>
                <w:szCs w:val="13"/>
                <w:b w:val="1"/>
                <w:bCs w:val="1"/>
                <w:color w:val="auto"/>
                <w:w w:val="98"/>
              </w:rPr>
              <w:t>Three Months Ended June 30, 2014</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gridSpan w:val="8"/>
          </w:tcPr>
          <w:p>
            <w:pPr>
              <w:jc w:val="center"/>
              <w:ind w:right="340"/>
              <w:spacing w:after="0" w:line="119" w:lineRule="exact"/>
              <w:rPr>
                <w:sz w:val="20"/>
                <w:szCs w:val="20"/>
                <w:color w:val="auto"/>
              </w:rPr>
            </w:pPr>
            <w:r>
              <w:rPr>
                <w:rFonts w:ascii="Arial" w:cs="Arial" w:eastAsia="Arial" w:hAnsi="Arial"/>
                <w:sz w:val="13"/>
                <w:szCs w:val="13"/>
                <w:b w:val="1"/>
                <w:bCs w:val="1"/>
                <w:color w:val="auto"/>
                <w:w w:val="93"/>
              </w:rPr>
              <w:t>Net Unrealized/</w:t>
            </w: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4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6"/>
          </w:tcPr>
          <w:p>
            <w:pPr>
              <w:jc w:val="center"/>
              <w:ind w:right="560"/>
              <w:spacing w:after="0" w:line="139" w:lineRule="exact"/>
              <w:rPr>
                <w:sz w:val="20"/>
                <w:szCs w:val="20"/>
                <w:color w:val="auto"/>
              </w:rPr>
            </w:pPr>
            <w:r>
              <w:rPr>
                <w:rFonts w:ascii="Arial" w:cs="Arial" w:eastAsia="Arial" w:hAnsi="Arial"/>
                <w:sz w:val="13"/>
                <w:szCs w:val="13"/>
                <w:b w:val="1"/>
                <w:bCs w:val="1"/>
                <w:color w:val="auto"/>
                <w:w w:val="87"/>
              </w:rPr>
              <w:t>Realized</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7"/>
          </w:tcPr>
          <w:p>
            <w:pPr>
              <w:jc w:val="center"/>
              <w:ind w:right="400"/>
              <w:spacing w:after="0" w:line="139" w:lineRule="exact"/>
              <w:rPr>
                <w:sz w:val="20"/>
                <w:szCs w:val="20"/>
                <w:color w:val="auto"/>
              </w:rPr>
            </w:pPr>
            <w:r>
              <w:rPr>
                <w:rFonts w:ascii="Arial" w:cs="Arial" w:eastAsia="Arial" w:hAnsi="Arial"/>
                <w:sz w:val="13"/>
                <w:szCs w:val="13"/>
                <w:b w:val="1"/>
                <w:bCs w:val="1"/>
                <w:color w:val="auto"/>
                <w:w w:val="83"/>
              </w:rPr>
              <w:t>Gains (Losses)</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4"/>
          </w:tcPr>
          <w:p>
            <w:pPr>
              <w:jc w:val="center"/>
              <w:ind w:right="620"/>
              <w:spacing w:after="0" w:line="139" w:lineRule="exact"/>
              <w:rPr>
                <w:sz w:val="20"/>
                <w:szCs w:val="20"/>
                <w:color w:val="auto"/>
              </w:rPr>
            </w:pPr>
            <w:r>
              <w:rPr>
                <w:rFonts w:ascii="Arial" w:cs="Arial" w:eastAsia="Arial" w:hAnsi="Arial"/>
                <w:sz w:val="13"/>
                <w:szCs w:val="13"/>
                <w:b w:val="1"/>
                <w:bCs w:val="1"/>
                <w:color w:val="auto"/>
                <w:w w:val="88"/>
              </w:rPr>
              <w:t>Foreign</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6"/>
          </w:tcPr>
          <w:p>
            <w:pPr>
              <w:jc w:val="center"/>
              <w:ind w:right="540"/>
              <w:spacing w:after="0" w:line="139" w:lineRule="exact"/>
              <w:rPr>
                <w:sz w:val="20"/>
                <w:szCs w:val="20"/>
                <w:color w:val="auto"/>
              </w:rPr>
            </w:pPr>
            <w:r>
              <w:rPr>
                <w:rFonts w:ascii="Arial" w:cs="Arial" w:eastAsia="Arial" w:hAnsi="Arial"/>
                <w:sz w:val="13"/>
                <w:szCs w:val="13"/>
                <w:b w:val="1"/>
                <w:bCs w:val="1"/>
                <w:color w:val="auto"/>
                <w:w w:val="89"/>
              </w:rPr>
              <w:t>Included</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4"/>
          </w:tcPr>
          <w:p>
            <w:pPr>
              <w:jc w:val="center"/>
              <w:ind w:right="600"/>
              <w:spacing w:after="0" w:line="139" w:lineRule="exact"/>
              <w:rPr>
                <w:sz w:val="20"/>
                <w:szCs w:val="20"/>
                <w:color w:val="auto"/>
              </w:rPr>
            </w:pPr>
            <w:r>
              <w:rPr>
                <w:rFonts w:ascii="Arial" w:cs="Arial" w:eastAsia="Arial" w:hAnsi="Arial"/>
                <w:sz w:val="13"/>
                <w:szCs w:val="13"/>
                <w:b w:val="1"/>
                <w:bCs w:val="1"/>
                <w:color w:val="auto"/>
                <w:w w:val="91"/>
              </w:rPr>
              <w:t>Currency</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4"/>
          </w:tcPr>
          <w:p>
            <w:pPr>
              <w:jc w:val="right"/>
              <w:ind w:right="25"/>
              <w:spacing w:after="0" w:line="139" w:lineRule="exact"/>
              <w:rPr>
                <w:sz w:val="20"/>
                <w:szCs w:val="20"/>
                <w:color w:val="auto"/>
              </w:rPr>
            </w:pPr>
            <w:r>
              <w:rPr>
                <w:rFonts w:ascii="Arial" w:cs="Arial" w:eastAsia="Arial" w:hAnsi="Arial"/>
                <w:sz w:val="13"/>
                <w:szCs w:val="13"/>
                <w:b w:val="1"/>
                <w:bCs w:val="1"/>
                <w:color w:val="auto"/>
                <w:w w:val="88"/>
              </w:rPr>
              <w:t>Beginning</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7"/>
          </w:tcPr>
          <w:p>
            <w:pPr>
              <w:jc w:val="center"/>
              <w:ind w:right="400"/>
              <w:spacing w:after="0" w:line="139" w:lineRule="exact"/>
              <w:rPr>
                <w:sz w:val="20"/>
                <w:szCs w:val="20"/>
                <w:color w:val="auto"/>
              </w:rPr>
            </w:pPr>
            <w:r>
              <w:rPr>
                <w:rFonts w:ascii="Arial" w:cs="Arial" w:eastAsia="Arial" w:hAnsi="Arial"/>
                <w:sz w:val="13"/>
                <w:szCs w:val="13"/>
                <w:b w:val="1"/>
                <w:bCs w:val="1"/>
                <w:color w:val="auto"/>
                <w:w w:val="89"/>
              </w:rPr>
              <w:t>In Revenue-</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5"/>
          </w:tcPr>
          <w:p>
            <w:pPr>
              <w:ind w:left="20"/>
              <w:spacing w:after="0" w:line="139" w:lineRule="exact"/>
              <w:rPr>
                <w:sz w:val="20"/>
                <w:szCs w:val="20"/>
                <w:color w:val="auto"/>
              </w:rPr>
            </w:pPr>
            <w:r>
              <w:rPr>
                <w:rFonts w:ascii="Arial" w:cs="Arial" w:eastAsia="Arial" w:hAnsi="Arial"/>
                <w:sz w:val="13"/>
                <w:szCs w:val="13"/>
                <w:b w:val="1"/>
                <w:bCs w:val="1"/>
                <w:color w:val="auto"/>
              </w:rPr>
              <w:t>Purchases/</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4"/>
          </w:tcPr>
          <w:p>
            <w:pPr>
              <w:jc w:val="right"/>
              <w:ind w:right="680"/>
              <w:spacing w:after="0"/>
              <w:rPr>
                <w:sz w:val="20"/>
                <w:szCs w:val="20"/>
                <w:color w:val="auto"/>
              </w:rPr>
            </w:pPr>
            <w:r>
              <w:rPr>
                <w:rFonts w:ascii="Arial" w:cs="Arial" w:eastAsia="Arial" w:hAnsi="Arial"/>
                <w:sz w:val="9"/>
                <w:szCs w:val="9"/>
                <w:b w:val="1"/>
                <w:bCs w:val="1"/>
                <w:color w:val="auto"/>
                <w:w w:val="84"/>
              </w:rPr>
              <w:t>Sales/</w:t>
            </w:r>
          </w:p>
        </w:tc>
        <w:tc>
          <w:tcPr>
            <w:tcW w:w="100" w:type="dxa"/>
            <w:vAlign w:val="bottom"/>
          </w:tcPr>
          <w:p>
            <w:pPr>
              <w:spacing w:after="0"/>
              <w:rPr>
                <w:sz w:val="12"/>
                <w:szCs w:val="12"/>
                <w:color w:val="auto"/>
              </w:rPr>
            </w:pPr>
          </w:p>
        </w:tc>
        <w:tc>
          <w:tcPr>
            <w:tcW w:w="1120" w:type="dxa"/>
            <w:vAlign w:val="bottom"/>
            <w:gridSpan w:val="4"/>
          </w:tcPr>
          <w:p>
            <w:pPr>
              <w:jc w:val="center"/>
              <w:ind w:right="560"/>
              <w:spacing w:after="0" w:line="139" w:lineRule="exact"/>
              <w:rPr>
                <w:sz w:val="20"/>
                <w:szCs w:val="20"/>
                <w:color w:val="auto"/>
              </w:rPr>
            </w:pPr>
            <w:r>
              <w:rPr>
                <w:rFonts w:ascii="Arial" w:cs="Arial" w:eastAsia="Arial" w:hAnsi="Arial"/>
                <w:sz w:val="13"/>
                <w:szCs w:val="13"/>
                <w:b w:val="1"/>
                <w:bCs w:val="1"/>
                <w:color w:val="auto"/>
                <w:w w:val="79"/>
              </w:rPr>
              <w:t>Translation</w:t>
            </w:r>
          </w:p>
        </w:tc>
        <w:tc>
          <w:tcPr>
            <w:tcW w:w="80" w:type="dxa"/>
            <w:vAlign w:val="bottom"/>
          </w:tcPr>
          <w:p>
            <w:pPr>
              <w:spacing w:after="0"/>
              <w:rPr>
                <w:sz w:val="12"/>
                <w:szCs w:val="12"/>
                <w:color w:val="auto"/>
              </w:rPr>
            </w:pPr>
          </w:p>
        </w:tc>
        <w:tc>
          <w:tcPr>
            <w:tcW w:w="620" w:type="dxa"/>
            <w:vAlign w:val="bottom"/>
            <w:gridSpan w:val="2"/>
          </w:tcPr>
          <w:p>
            <w:pPr>
              <w:ind w:left="40"/>
              <w:spacing w:after="0" w:line="139" w:lineRule="exact"/>
              <w:rPr>
                <w:sz w:val="20"/>
                <w:szCs w:val="20"/>
                <w:color w:val="auto"/>
              </w:rPr>
            </w:pPr>
            <w:r>
              <w:rPr>
                <w:rFonts w:ascii="Arial" w:cs="Arial" w:eastAsia="Arial" w:hAnsi="Arial"/>
                <w:sz w:val="13"/>
                <w:szCs w:val="13"/>
                <w:b w:val="1"/>
                <w:bCs w:val="1"/>
                <w:color w:val="auto"/>
              </w:rPr>
              <w:t>Ending</w:t>
            </w: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3"/>
          </w:tcPr>
          <w:p>
            <w:pPr>
              <w:jc w:val="right"/>
              <w:ind w:right="85"/>
              <w:spacing w:after="0"/>
              <w:rPr>
                <w:sz w:val="20"/>
                <w:szCs w:val="20"/>
                <w:color w:val="auto"/>
              </w:rPr>
            </w:pPr>
            <w:r>
              <w:rPr>
                <w:rFonts w:ascii="Arial" w:cs="Arial" w:eastAsia="Arial" w:hAnsi="Arial"/>
                <w:sz w:val="13"/>
                <w:szCs w:val="13"/>
                <w:b w:val="1"/>
                <w:bCs w:val="1"/>
                <w:color w:val="auto"/>
                <w:w w:val="84"/>
              </w:rPr>
              <w:t>Balance</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gridSpan w:val="7"/>
          </w:tcPr>
          <w:p>
            <w:pPr>
              <w:jc w:val="center"/>
              <w:ind w:right="400"/>
              <w:spacing w:after="0"/>
              <w:rPr>
                <w:sz w:val="20"/>
                <w:szCs w:val="20"/>
                <w:color w:val="auto"/>
              </w:rPr>
            </w:pPr>
            <w:r>
              <w:rPr>
                <w:rFonts w:ascii="Arial" w:cs="Arial" w:eastAsia="Arial" w:hAnsi="Arial"/>
                <w:sz w:val="13"/>
                <w:szCs w:val="13"/>
                <w:b w:val="1"/>
                <w:bCs w:val="1"/>
                <w:color w:val="auto"/>
                <w:w w:val="92"/>
              </w:rPr>
              <w:t>Other (a)</w:t>
            </w:r>
          </w:p>
        </w:tc>
        <w:tc>
          <w:tcPr>
            <w:tcW w:w="400" w:type="dxa"/>
            <w:vAlign w:val="bottom"/>
          </w:tcPr>
          <w:p>
            <w:pPr>
              <w:spacing w:after="0"/>
              <w:rPr>
                <w:sz w:val="13"/>
                <w:szCs w:val="13"/>
                <w:color w:val="auto"/>
              </w:rPr>
            </w:pPr>
          </w:p>
        </w:tc>
        <w:tc>
          <w:tcPr>
            <w:tcW w:w="940" w:type="dxa"/>
            <w:vAlign w:val="bottom"/>
            <w:gridSpan w:val="6"/>
          </w:tcPr>
          <w:p>
            <w:pPr>
              <w:spacing w:after="0"/>
              <w:rPr>
                <w:sz w:val="20"/>
                <w:szCs w:val="20"/>
                <w:color w:val="auto"/>
              </w:rPr>
            </w:pPr>
            <w:r>
              <w:rPr>
                <w:rFonts w:ascii="Arial" w:cs="Arial" w:eastAsia="Arial" w:hAnsi="Arial"/>
                <w:sz w:val="13"/>
                <w:szCs w:val="13"/>
                <w:b w:val="1"/>
                <w:bCs w:val="1"/>
                <w:color w:val="auto"/>
              </w:rPr>
              <w:t>Acquisitions</w:t>
            </w:r>
          </w:p>
        </w:tc>
        <w:tc>
          <w:tcPr>
            <w:tcW w:w="220" w:type="dxa"/>
            <w:vAlign w:val="bottom"/>
          </w:tcPr>
          <w:p>
            <w:pPr>
              <w:spacing w:after="0"/>
              <w:rPr>
                <w:sz w:val="13"/>
                <w:szCs w:val="13"/>
                <w:color w:val="auto"/>
              </w:rPr>
            </w:pPr>
          </w:p>
        </w:tc>
        <w:tc>
          <w:tcPr>
            <w:tcW w:w="1180" w:type="dxa"/>
            <w:vAlign w:val="bottom"/>
            <w:gridSpan w:val="6"/>
          </w:tcPr>
          <w:p>
            <w:pPr>
              <w:spacing w:after="0"/>
              <w:rPr>
                <w:sz w:val="20"/>
                <w:szCs w:val="20"/>
                <w:color w:val="auto"/>
              </w:rPr>
            </w:pPr>
            <w:r>
              <w:rPr>
                <w:rFonts w:ascii="Arial" w:cs="Arial" w:eastAsia="Arial" w:hAnsi="Arial"/>
                <w:sz w:val="13"/>
                <w:szCs w:val="13"/>
                <w:b w:val="1"/>
                <w:bCs w:val="1"/>
                <w:color w:val="auto"/>
              </w:rPr>
              <w:t>Dispositions</w:t>
            </w:r>
          </w:p>
        </w:tc>
        <w:tc>
          <w:tcPr>
            <w:tcW w:w="1220" w:type="dxa"/>
            <w:vAlign w:val="bottom"/>
            <w:gridSpan w:val="5"/>
          </w:tcPr>
          <w:p>
            <w:pPr>
              <w:spacing w:after="0"/>
              <w:rPr>
                <w:sz w:val="20"/>
                <w:szCs w:val="20"/>
                <w:color w:val="auto"/>
              </w:rPr>
            </w:pPr>
            <w:r>
              <w:rPr>
                <w:rFonts w:ascii="Arial" w:cs="Arial" w:eastAsia="Arial" w:hAnsi="Arial"/>
                <w:sz w:val="13"/>
                <w:szCs w:val="13"/>
                <w:b w:val="1"/>
                <w:bCs w:val="1"/>
                <w:color w:val="auto"/>
              </w:rPr>
              <w:t>Adjustments</w:t>
            </w:r>
          </w:p>
        </w:tc>
        <w:tc>
          <w:tcPr>
            <w:tcW w:w="80" w:type="dxa"/>
            <w:vAlign w:val="bottom"/>
          </w:tcPr>
          <w:p>
            <w:pPr>
              <w:spacing w:after="0"/>
              <w:rPr>
                <w:sz w:val="13"/>
                <w:szCs w:val="13"/>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b w:val="1"/>
                <w:bCs w:val="1"/>
                <w:color w:val="auto"/>
              </w:rPr>
              <w:t>Balance</w:t>
            </w:r>
          </w:p>
        </w:tc>
        <w:tc>
          <w:tcPr>
            <w:tcW w:w="0" w:type="dxa"/>
            <w:vAlign w:val="bottom"/>
          </w:tcPr>
          <w:p>
            <w:pPr>
              <w:spacing w:after="0"/>
              <w:rPr>
                <w:sz w:val="1"/>
                <w:szCs w:val="1"/>
                <w:color w:val="auto"/>
              </w:rPr>
            </w:pPr>
          </w:p>
        </w:tc>
      </w:tr>
      <w:tr>
        <w:trPr>
          <w:trHeight w:val="182"/>
        </w:trPr>
        <w:tc>
          <w:tcPr>
            <w:tcW w:w="45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6"/>
                <w:szCs w:val="16"/>
                <w:color w:val="auto"/>
              </w:rPr>
              <w:t>Investments:</w:t>
            </w: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left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righ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left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right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left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left w:val="single" w:sz="8" w:color="CCEEFF"/>
            </w:tcBorders>
            <w:shd w:val="clear" w:color="auto" w:fill="CCEEFF"/>
          </w:tcPr>
          <w:p>
            <w:pPr>
              <w:spacing w:after="0"/>
              <w:rPr>
                <w:sz w:val="15"/>
                <w:szCs w:val="15"/>
                <w:color w:val="auto"/>
              </w:rPr>
            </w:pPr>
          </w:p>
        </w:tc>
        <w:tc>
          <w:tcPr>
            <w:tcW w:w="44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580" w:type="dxa"/>
            <w:vAlign w:val="bottom"/>
          </w:tcPr>
          <w:p>
            <w:pPr>
              <w:ind w:left="400"/>
              <w:spacing w:after="0"/>
              <w:rPr>
                <w:sz w:val="20"/>
                <w:szCs w:val="20"/>
                <w:color w:val="auto"/>
              </w:rPr>
            </w:pPr>
            <w:r>
              <w:rPr>
                <w:rFonts w:ascii="Arial" w:cs="Arial" w:eastAsia="Arial" w:hAnsi="Arial"/>
                <w:sz w:val="16"/>
                <w:szCs w:val="16"/>
                <w:color w:val="auto"/>
              </w:rPr>
              <w:t>Equities</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3"/>
          </w:tcPr>
          <w:p>
            <w:pPr>
              <w:jc w:val="right"/>
              <w:spacing w:after="0"/>
              <w:rPr>
                <w:sz w:val="20"/>
                <w:szCs w:val="20"/>
                <w:color w:val="auto"/>
              </w:rPr>
            </w:pPr>
            <w:r>
              <w:rPr>
                <w:rFonts w:ascii="Arial" w:cs="Arial" w:eastAsia="Arial" w:hAnsi="Arial"/>
                <w:sz w:val="16"/>
                <w:szCs w:val="16"/>
                <w:color w:val="auto"/>
              </w:rPr>
              <w:t>1,337</w:t>
            </w:r>
          </w:p>
        </w:tc>
        <w:tc>
          <w:tcPr>
            <w:tcW w:w="420" w:type="dxa"/>
            <w:vAlign w:val="bottom"/>
            <w:gridSpan w:val="3"/>
          </w:tcPr>
          <w:p>
            <w:pPr>
              <w:jc w:val="right"/>
              <w:ind w:right="57"/>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12</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gridSpan w:val="3"/>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6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480" w:type="dxa"/>
            <w:vAlign w:val="bottom"/>
            <w:gridSpan w:val="3"/>
          </w:tcPr>
          <w:p>
            <w:pPr>
              <w:ind w:left="220"/>
              <w:spacing w:after="0"/>
              <w:rPr>
                <w:sz w:val="20"/>
                <w:szCs w:val="20"/>
                <w:color w:val="auto"/>
              </w:rPr>
            </w:pPr>
            <w:r>
              <w:rPr>
                <w:rFonts w:ascii="Arial" w:cs="Arial" w:eastAsia="Arial" w:hAnsi="Arial"/>
                <w:sz w:val="16"/>
                <w:szCs w:val="16"/>
                <w:color w:val="auto"/>
              </w:rPr>
              <w:t>$</w:t>
            </w:r>
          </w:p>
        </w:tc>
        <w:tc>
          <w:tcPr>
            <w:tcW w:w="920" w:type="dxa"/>
            <w:vAlign w:val="bottom"/>
            <w:gridSpan w:val="4"/>
          </w:tcPr>
          <w:p>
            <w:pPr>
              <w:jc w:val="right"/>
              <w:ind w:righ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1,370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Private equity funds</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115,537</w:t>
            </w:r>
          </w:p>
        </w:tc>
        <w:tc>
          <w:tcPr>
            <w:tcW w:w="22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w:t>
            </w: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864</w:t>
            </w:r>
          </w:p>
        </w:tc>
        <w:tc>
          <w:tcPr>
            <w:tcW w:w="26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560" w:type="dxa"/>
            <w:vAlign w:val="bottom"/>
            <w:gridSpan w:val="2"/>
            <w:shd w:val="clear" w:color="auto" w:fill="CCEEFF"/>
          </w:tcPr>
          <w:p>
            <w:pPr>
              <w:jc w:val="right"/>
              <w:ind w:right="18"/>
              <w:spacing w:after="0"/>
              <w:rPr>
                <w:sz w:val="20"/>
                <w:szCs w:val="20"/>
                <w:color w:val="auto"/>
              </w:rPr>
            </w:pPr>
            <w:r>
              <w:rPr>
                <w:rFonts w:ascii="Arial" w:cs="Arial" w:eastAsia="Arial" w:hAnsi="Arial"/>
                <w:sz w:val="16"/>
                <w:szCs w:val="16"/>
                <w:color w:val="auto"/>
              </w:rPr>
              <w:t>(416)</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(344)</w:t>
            </w:r>
          </w:p>
        </w:tc>
        <w:tc>
          <w:tcPr>
            <w:tcW w:w="4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116,895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ind w:left="400"/>
              <w:spacing w:after="0"/>
              <w:rPr>
                <w:sz w:val="20"/>
                <w:szCs w:val="20"/>
                <w:color w:val="auto"/>
              </w:rPr>
            </w:pPr>
            <w:r>
              <w:rPr>
                <w:rFonts w:ascii="Arial" w:cs="Arial" w:eastAsia="Arial" w:hAnsi="Arial"/>
                <w:sz w:val="16"/>
                <w:szCs w:val="16"/>
                <w:color w:val="auto"/>
              </w:rPr>
              <w:t>Total Level 3 Assets</w:t>
            </w:r>
          </w:p>
        </w:tc>
        <w:tc>
          <w:tcPr>
            <w:tcW w:w="14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right w:val="single" w:sz="8" w:color="auto"/>
            </w:tcBorders>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580" w:type="dxa"/>
            <w:vAlign w:val="bottom"/>
            <w:vMerge w:val="continue"/>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3"/>
          </w:tcPr>
          <w:p>
            <w:pPr>
              <w:jc w:val="right"/>
              <w:spacing w:after="0"/>
              <w:rPr>
                <w:sz w:val="20"/>
                <w:szCs w:val="20"/>
                <w:color w:val="auto"/>
              </w:rPr>
            </w:pPr>
            <w:r>
              <w:rPr>
                <w:rFonts w:ascii="Arial" w:cs="Arial" w:eastAsia="Arial" w:hAnsi="Arial"/>
                <w:sz w:val="16"/>
                <w:szCs w:val="16"/>
                <w:color w:val="auto"/>
              </w:rPr>
              <w:t>116,874</w:t>
            </w:r>
          </w:p>
        </w:tc>
        <w:tc>
          <w:tcPr>
            <w:tcW w:w="420" w:type="dxa"/>
            <w:vAlign w:val="bottom"/>
            <w:gridSpan w:val="3"/>
          </w:tcPr>
          <w:p>
            <w:pPr>
              <w:jc w:val="right"/>
              <w:ind w:right="57"/>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1,266</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gridSpan w:val="3"/>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97"/>
              </w:rPr>
              <w:t>864</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gridSpan w:val="3"/>
          </w:tcPr>
          <w:p>
            <w:pPr>
              <w:ind w:left="22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18"/>
              <w:spacing w:after="0"/>
              <w:rPr>
                <w:sz w:val="20"/>
                <w:szCs w:val="20"/>
                <w:color w:val="auto"/>
              </w:rPr>
            </w:pPr>
            <w:r>
              <w:rPr>
                <w:rFonts w:ascii="Arial" w:cs="Arial" w:eastAsia="Arial" w:hAnsi="Arial"/>
                <w:sz w:val="16"/>
                <w:szCs w:val="16"/>
                <w:color w:val="auto"/>
              </w:rPr>
              <w:t>(416)</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(323)</w:t>
            </w:r>
          </w:p>
        </w:tc>
        <w:tc>
          <w:tcPr>
            <w:tcW w:w="4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118,265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4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12"/>
          </w:tcPr>
          <w:p>
            <w:pPr>
              <w:jc w:val="right"/>
              <w:ind w:right="440"/>
              <w:spacing w:after="0"/>
              <w:rPr>
                <w:sz w:val="20"/>
                <w:szCs w:val="20"/>
                <w:color w:val="auto"/>
              </w:rPr>
            </w:pPr>
            <w:r>
              <w:rPr>
                <w:rFonts w:ascii="Arial" w:cs="Arial" w:eastAsia="Arial" w:hAnsi="Arial"/>
                <w:sz w:val="13"/>
                <w:szCs w:val="13"/>
                <w:b w:val="1"/>
                <w:bCs w:val="1"/>
                <w:color w:val="auto"/>
                <w:w w:val="92"/>
              </w:rPr>
              <w:t>Six Months Ended June 30, 2014</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5"/>
          </w:tcPr>
          <w:p>
            <w:pPr>
              <w:jc w:val="center"/>
              <w:spacing w:after="0" w:line="119" w:lineRule="exact"/>
              <w:rPr>
                <w:sz w:val="20"/>
                <w:szCs w:val="20"/>
                <w:color w:val="auto"/>
              </w:rPr>
            </w:pPr>
            <w:r>
              <w:rPr>
                <w:rFonts w:ascii="Arial" w:cs="Arial" w:eastAsia="Arial" w:hAnsi="Arial"/>
                <w:sz w:val="13"/>
                <w:szCs w:val="13"/>
                <w:b w:val="1"/>
                <w:bCs w:val="1"/>
                <w:color w:val="auto"/>
                <w:w w:val="93"/>
              </w:rPr>
              <w:t>Net Unrealized/</w:t>
            </w: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4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tcPr>
          <w:p>
            <w:pPr>
              <w:jc w:val="center"/>
              <w:ind w:right="100"/>
              <w:spacing w:after="0" w:line="139" w:lineRule="exact"/>
              <w:rPr>
                <w:sz w:val="20"/>
                <w:szCs w:val="20"/>
                <w:color w:val="auto"/>
              </w:rPr>
            </w:pPr>
            <w:r>
              <w:rPr>
                <w:rFonts w:ascii="Arial" w:cs="Arial" w:eastAsia="Arial" w:hAnsi="Arial"/>
                <w:sz w:val="13"/>
                <w:szCs w:val="13"/>
                <w:b w:val="1"/>
                <w:bCs w:val="1"/>
                <w:color w:val="auto"/>
                <w:w w:val="87"/>
              </w:rPr>
              <w:t>Realized</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5"/>
          </w:tcPr>
          <w:p>
            <w:pPr>
              <w:jc w:val="center"/>
              <w:ind w:right="20"/>
              <w:spacing w:after="0" w:line="139" w:lineRule="exact"/>
              <w:rPr>
                <w:sz w:val="20"/>
                <w:szCs w:val="20"/>
                <w:color w:val="auto"/>
              </w:rPr>
            </w:pPr>
            <w:r>
              <w:rPr>
                <w:rFonts w:ascii="Arial" w:cs="Arial" w:eastAsia="Arial" w:hAnsi="Arial"/>
                <w:sz w:val="13"/>
                <w:szCs w:val="13"/>
                <w:b w:val="1"/>
                <w:bCs w:val="1"/>
                <w:color w:val="auto"/>
                <w:w w:val="83"/>
              </w:rPr>
              <w:t>Gains (Losses)</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520"/>
              <w:spacing w:after="0" w:line="139" w:lineRule="exact"/>
              <w:rPr>
                <w:sz w:val="20"/>
                <w:szCs w:val="20"/>
                <w:color w:val="auto"/>
              </w:rPr>
            </w:pPr>
            <w:r>
              <w:rPr>
                <w:rFonts w:ascii="Arial" w:cs="Arial" w:eastAsia="Arial" w:hAnsi="Arial"/>
                <w:sz w:val="13"/>
                <w:szCs w:val="13"/>
                <w:b w:val="1"/>
                <w:bCs w:val="1"/>
                <w:color w:val="auto"/>
                <w:w w:val="83"/>
              </w:rPr>
              <w:t>Foreign</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tcPr>
          <w:p>
            <w:pPr>
              <w:jc w:val="center"/>
              <w:ind w:right="80"/>
              <w:spacing w:after="0" w:line="139" w:lineRule="exact"/>
              <w:rPr>
                <w:sz w:val="20"/>
                <w:szCs w:val="20"/>
                <w:color w:val="auto"/>
              </w:rPr>
            </w:pPr>
            <w:r>
              <w:rPr>
                <w:rFonts w:ascii="Arial" w:cs="Arial" w:eastAsia="Arial" w:hAnsi="Arial"/>
                <w:sz w:val="13"/>
                <w:szCs w:val="13"/>
                <w:b w:val="1"/>
                <w:bCs w:val="1"/>
                <w:color w:val="auto"/>
                <w:w w:val="89"/>
              </w:rPr>
              <w:t>Included</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520"/>
              <w:spacing w:after="0" w:line="139" w:lineRule="exact"/>
              <w:rPr>
                <w:sz w:val="20"/>
                <w:szCs w:val="20"/>
                <w:color w:val="auto"/>
              </w:rPr>
            </w:pPr>
            <w:r>
              <w:rPr>
                <w:rFonts w:ascii="Arial" w:cs="Arial" w:eastAsia="Arial" w:hAnsi="Arial"/>
                <w:sz w:val="13"/>
                <w:szCs w:val="13"/>
                <w:b w:val="1"/>
                <w:bCs w:val="1"/>
                <w:color w:val="auto"/>
                <w:w w:val="91"/>
              </w:rPr>
              <w:t>Currency</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jc w:val="center"/>
              <w:ind w:right="17"/>
              <w:spacing w:after="0" w:line="139" w:lineRule="exact"/>
              <w:rPr>
                <w:sz w:val="20"/>
                <w:szCs w:val="20"/>
                <w:color w:val="auto"/>
              </w:rPr>
            </w:pPr>
            <w:r>
              <w:rPr>
                <w:rFonts w:ascii="Arial" w:cs="Arial" w:eastAsia="Arial" w:hAnsi="Arial"/>
                <w:sz w:val="13"/>
                <w:szCs w:val="13"/>
                <w:b w:val="1"/>
                <w:bCs w:val="1"/>
                <w:color w:val="auto"/>
                <w:w w:val="84"/>
              </w:rPr>
              <w:t>Beginning</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tcPr>
          <w:p>
            <w:pPr>
              <w:jc w:val="center"/>
              <w:ind w:right="100"/>
              <w:spacing w:after="0" w:line="139" w:lineRule="exact"/>
              <w:rPr>
                <w:sz w:val="20"/>
                <w:szCs w:val="20"/>
                <w:color w:val="auto"/>
              </w:rPr>
            </w:pPr>
            <w:r>
              <w:rPr>
                <w:rFonts w:ascii="Arial" w:cs="Arial" w:eastAsia="Arial" w:hAnsi="Arial"/>
                <w:sz w:val="13"/>
                <w:szCs w:val="13"/>
                <w:b w:val="1"/>
                <w:bCs w:val="1"/>
                <w:color w:val="auto"/>
                <w:w w:val="89"/>
              </w:rPr>
              <w:t>In Revenue-</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4"/>
          </w:tcPr>
          <w:p>
            <w:pPr>
              <w:jc w:val="right"/>
              <w:ind w:right="60"/>
              <w:spacing w:after="0" w:line="139" w:lineRule="exact"/>
              <w:rPr>
                <w:sz w:val="20"/>
                <w:szCs w:val="20"/>
                <w:color w:val="auto"/>
              </w:rPr>
            </w:pPr>
            <w:r>
              <w:rPr>
                <w:rFonts w:ascii="Arial" w:cs="Arial" w:eastAsia="Arial" w:hAnsi="Arial"/>
                <w:sz w:val="13"/>
                <w:szCs w:val="13"/>
                <w:b w:val="1"/>
                <w:bCs w:val="1"/>
                <w:color w:val="auto"/>
                <w:w w:val="86"/>
              </w:rPr>
              <w:t>Purchases/</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4"/>
          </w:tcPr>
          <w:p>
            <w:pPr>
              <w:jc w:val="center"/>
              <w:ind w:right="420"/>
              <w:spacing w:after="0" w:line="139" w:lineRule="exact"/>
              <w:rPr>
                <w:sz w:val="20"/>
                <w:szCs w:val="20"/>
                <w:color w:val="auto"/>
              </w:rPr>
            </w:pPr>
            <w:r>
              <w:rPr>
                <w:rFonts w:ascii="Arial" w:cs="Arial" w:eastAsia="Arial" w:hAnsi="Arial"/>
                <w:sz w:val="13"/>
                <w:szCs w:val="13"/>
                <w:b w:val="1"/>
                <w:bCs w:val="1"/>
                <w:color w:val="auto"/>
                <w:w w:val="79"/>
              </w:rPr>
              <w:t>Sales/</w:t>
            </w:r>
          </w:p>
        </w:tc>
        <w:tc>
          <w:tcPr>
            <w:tcW w:w="100" w:type="dxa"/>
            <w:vAlign w:val="bottom"/>
          </w:tcPr>
          <w:p>
            <w:pPr>
              <w:spacing w:after="0"/>
              <w:rPr>
                <w:sz w:val="12"/>
                <w:szCs w:val="12"/>
                <w:color w:val="auto"/>
              </w:rPr>
            </w:pPr>
          </w:p>
        </w:tc>
        <w:tc>
          <w:tcPr>
            <w:tcW w:w="1120" w:type="dxa"/>
            <w:vAlign w:val="bottom"/>
            <w:gridSpan w:val="4"/>
          </w:tcPr>
          <w:p>
            <w:pPr>
              <w:jc w:val="center"/>
              <w:ind w:right="440"/>
              <w:spacing w:after="0" w:line="139" w:lineRule="exact"/>
              <w:rPr>
                <w:sz w:val="20"/>
                <w:szCs w:val="20"/>
                <w:color w:val="auto"/>
              </w:rPr>
            </w:pPr>
            <w:r>
              <w:rPr>
                <w:rFonts w:ascii="Arial" w:cs="Arial" w:eastAsia="Arial" w:hAnsi="Arial"/>
                <w:sz w:val="13"/>
                <w:szCs w:val="13"/>
                <w:b w:val="1"/>
                <w:bCs w:val="1"/>
                <w:color w:val="auto"/>
                <w:w w:val="91"/>
              </w:rPr>
              <w:t>Translation</w:t>
            </w:r>
          </w:p>
        </w:tc>
        <w:tc>
          <w:tcPr>
            <w:tcW w:w="80" w:type="dxa"/>
            <w:vAlign w:val="bottom"/>
          </w:tcPr>
          <w:p>
            <w:pPr>
              <w:spacing w:after="0"/>
              <w:rPr>
                <w:sz w:val="12"/>
                <w:szCs w:val="12"/>
                <w:color w:val="auto"/>
              </w:rPr>
            </w:pPr>
          </w:p>
        </w:tc>
        <w:tc>
          <w:tcPr>
            <w:tcW w:w="620" w:type="dxa"/>
            <w:vAlign w:val="bottom"/>
            <w:gridSpan w:val="2"/>
          </w:tcPr>
          <w:p>
            <w:pPr>
              <w:ind w:left="40"/>
              <w:spacing w:after="0" w:line="139" w:lineRule="exact"/>
              <w:rPr>
                <w:sz w:val="20"/>
                <w:szCs w:val="20"/>
                <w:color w:val="auto"/>
              </w:rPr>
            </w:pPr>
            <w:r>
              <w:rPr>
                <w:rFonts w:ascii="Arial" w:cs="Arial" w:eastAsia="Arial" w:hAnsi="Arial"/>
                <w:sz w:val="13"/>
                <w:szCs w:val="13"/>
                <w:b w:val="1"/>
                <w:bCs w:val="1"/>
                <w:color w:val="auto"/>
              </w:rPr>
              <w:t>Ending</w:t>
            </w: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4"/>
          </w:tcPr>
          <w:p>
            <w:pPr>
              <w:jc w:val="center"/>
              <w:ind w:right="17"/>
              <w:spacing w:after="0"/>
              <w:rPr>
                <w:sz w:val="20"/>
                <w:szCs w:val="20"/>
                <w:color w:val="auto"/>
              </w:rPr>
            </w:pPr>
            <w:r>
              <w:rPr>
                <w:rFonts w:ascii="Arial" w:cs="Arial" w:eastAsia="Arial" w:hAnsi="Arial"/>
                <w:sz w:val="13"/>
                <w:szCs w:val="13"/>
                <w:b w:val="1"/>
                <w:bCs w:val="1"/>
                <w:color w:val="auto"/>
                <w:w w:val="84"/>
              </w:rPr>
              <w:t>Balance</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2"/>
              </w:rPr>
              <w:t>Other (a)</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gridSpan w:val="4"/>
          </w:tcPr>
          <w:p>
            <w:pPr>
              <w:spacing w:after="0"/>
              <w:rPr>
                <w:sz w:val="20"/>
                <w:szCs w:val="20"/>
                <w:color w:val="auto"/>
              </w:rPr>
            </w:pPr>
            <w:r>
              <w:rPr>
                <w:rFonts w:ascii="Arial" w:cs="Arial" w:eastAsia="Arial" w:hAnsi="Arial"/>
                <w:sz w:val="13"/>
                <w:szCs w:val="13"/>
                <w:b w:val="1"/>
                <w:bCs w:val="1"/>
                <w:color w:val="auto"/>
                <w:w w:val="84"/>
              </w:rPr>
              <w:t>Acquisitions</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4"/>
          </w:tcPr>
          <w:p>
            <w:pPr>
              <w:jc w:val="center"/>
              <w:ind w:right="340"/>
              <w:spacing w:after="0"/>
              <w:rPr>
                <w:sz w:val="20"/>
                <w:szCs w:val="20"/>
                <w:color w:val="auto"/>
              </w:rPr>
            </w:pPr>
            <w:r>
              <w:rPr>
                <w:rFonts w:ascii="Arial" w:cs="Arial" w:eastAsia="Arial" w:hAnsi="Arial"/>
                <w:sz w:val="13"/>
                <w:szCs w:val="13"/>
                <w:b w:val="1"/>
                <w:bCs w:val="1"/>
                <w:color w:val="auto"/>
                <w:w w:val="74"/>
              </w:rPr>
              <w:t>Dispositions</w:t>
            </w:r>
          </w:p>
        </w:tc>
        <w:tc>
          <w:tcPr>
            <w:tcW w:w="100" w:type="dxa"/>
            <w:vAlign w:val="bottom"/>
          </w:tcPr>
          <w:p>
            <w:pPr>
              <w:spacing w:after="0"/>
              <w:rPr>
                <w:sz w:val="13"/>
                <w:szCs w:val="13"/>
                <w:color w:val="auto"/>
              </w:rPr>
            </w:pPr>
          </w:p>
        </w:tc>
        <w:tc>
          <w:tcPr>
            <w:tcW w:w="1120" w:type="dxa"/>
            <w:vAlign w:val="bottom"/>
            <w:gridSpan w:val="4"/>
          </w:tcPr>
          <w:p>
            <w:pPr>
              <w:jc w:val="center"/>
              <w:ind w:right="440"/>
              <w:spacing w:after="0"/>
              <w:rPr>
                <w:sz w:val="20"/>
                <w:szCs w:val="20"/>
                <w:color w:val="auto"/>
              </w:rPr>
            </w:pPr>
            <w:r>
              <w:rPr>
                <w:rFonts w:ascii="Arial" w:cs="Arial" w:eastAsia="Arial" w:hAnsi="Arial"/>
                <w:sz w:val="13"/>
                <w:szCs w:val="13"/>
                <w:b w:val="1"/>
                <w:bCs w:val="1"/>
                <w:color w:val="auto"/>
                <w:w w:val="86"/>
              </w:rPr>
              <w:t>Adjustments</w:t>
            </w:r>
          </w:p>
        </w:tc>
        <w:tc>
          <w:tcPr>
            <w:tcW w:w="80" w:type="dxa"/>
            <w:vAlign w:val="bottom"/>
          </w:tcPr>
          <w:p>
            <w:pPr>
              <w:spacing w:after="0"/>
              <w:rPr>
                <w:sz w:val="13"/>
                <w:szCs w:val="13"/>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b w:val="1"/>
                <w:bCs w:val="1"/>
                <w:color w:val="auto"/>
              </w:rPr>
              <w:t>Balance</w:t>
            </w:r>
          </w:p>
        </w:tc>
        <w:tc>
          <w:tcPr>
            <w:tcW w:w="0" w:type="dxa"/>
            <w:vAlign w:val="bottom"/>
          </w:tcPr>
          <w:p>
            <w:pPr>
              <w:spacing w:after="0"/>
              <w:rPr>
                <w:sz w:val="1"/>
                <w:szCs w:val="1"/>
                <w:color w:val="auto"/>
              </w:rPr>
            </w:pPr>
          </w:p>
        </w:tc>
      </w:tr>
      <w:tr>
        <w:trPr>
          <w:trHeight w:val="182"/>
        </w:trPr>
        <w:tc>
          <w:tcPr>
            <w:tcW w:w="45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6"/>
                <w:szCs w:val="16"/>
                <w:color w:val="auto"/>
              </w:rPr>
              <w:t>Investments:</w:t>
            </w: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left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left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right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left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left w:val="single" w:sz="8" w:color="CCEEFF"/>
            </w:tcBorders>
            <w:shd w:val="clear" w:color="auto" w:fill="CCEEFF"/>
          </w:tcPr>
          <w:p>
            <w:pPr>
              <w:spacing w:after="0"/>
              <w:rPr>
                <w:sz w:val="15"/>
                <w:szCs w:val="15"/>
                <w:color w:val="auto"/>
              </w:rPr>
            </w:pPr>
          </w:p>
        </w:tc>
        <w:tc>
          <w:tcPr>
            <w:tcW w:w="44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580" w:type="dxa"/>
            <w:vAlign w:val="bottom"/>
          </w:tcPr>
          <w:p>
            <w:pPr>
              <w:ind w:left="400"/>
              <w:spacing w:after="0"/>
              <w:rPr>
                <w:sz w:val="20"/>
                <w:szCs w:val="20"/>
                <w:color w:val="auto"/>
              </w:rPr>
            </w:pPr>
            <w:r>
              <w:rPr>
                <w:rFonts w:ascii="Arial" w:cs="Arial" w:eastAsia="Arial" w:hAnsi="Arial"/>
                <w:sz w:val="16"/>
                <w:szCs w:val="16"/>
                <w:color w:val="auto"/>
              </w:rPr>
              <w:t>Equities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4"/>
          </w:tcPr>
          <w:p>
            <w:pPr>
              <w:jc w:val="right"/>
              <w:spacing w:after="0"/>
              <w:rPr>
                <w:sz w:val="20"/>
                <w:szCs w:val="20"/>
                <w:color w:val="auto"/>
              </w:rPr>
            </w:pPr>
            <w:r>
              <w:rPr>
                <w:rFonts w:ascii="Arial" w:cs="Arial" w:eastAsia="Arial" w:hAnsi="Arial"/>
                <w:sz w:val="16"/>
                <w:szCs w:val="16"/>
                <w:color w:val="auto"/>
              </w:rPr>
              <w:t>1,340</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800" w:type="dxa"/>
            <w:vAlign w:val="bottom"/>
            <w:gridSpan w:val="4"/>
          </w:tcPr>
          <w:p>
            <w:pPr>
              <w:jc w:val="right"/>
              <w:spacing w:after="0"/>
              <w:rPr>
                <w:sz w:val="20"/>
                <w:szCs w:val="20"/>
                <w:color w:val="auto"/>
              </w:rPr>
            </w:pPr>
            <w:r>
              <w:rPr>
                <w:rFonts w:ascii="Arial" w:cs="Arial" w:eastAsia="Arial" w:hAnsi="Arial"/>
                <w:sz w:val="16"/>
                <w:szCs w:val="16"/>
                <w:color w:val="auto"/>
              </w:rPr>
              <w:t>14</w:t>
            </w:r>
          </w:p>
        </w:tc>
        <w:tc>
          <w:tcPr>
            <w:tcW w:w="780" w:type="dxa"/>
            <w:vAlign w:val="bottom"/>
            <w:gridSpan w:val="4"/>
          </w:tcPr>
          <w:p>
            <w:pPr>
              <w:ind w:left="6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52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4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1,370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Private equity funds</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114,193</w:t>
            </w: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6,836</w:t>
            </w: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1,211</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920" w:type="dxa"/>
            <w:vAlign w:val="bottom"/>
            <w:gridSpan w:val="4"/>
            <w:shd w:val="clear" w:color="auto" w:fill="CCEEFF"/>
          </w:tcPr>
          <w:p>
            <w:pPr>
              <w:jc w:val="right"/>
              <w:ind w:right="280"/>
              <w:spacing w:after="0"/>
              <w:rPr>
                <w:sz w:val="20"/>
                <w:szCs w:val="20"/>
                <w:color w:val="auto"/>
              </w:rPr>
            </w:pPr>
            <w:r>
              <w:rPr>
                <w:rFonts w:ascii="Arial" w:cs="Arial" w:eastAsia="Arial" w:hAnsi="Arial"/>
                <w:sz w:val="16"/>
                <w:szCs w:val="16"/>
                <w:color w:val="auto"/>
              </w:rPr>
              <w:t>(5,085)</w:t>
            </w: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(260)</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116,895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ind w:left="400"/>
              <w:spacing w:after="0"/>
              <w:rPr>
                <w:sz w:val="20"/>
                <w:szCs w:val="20"/>
                <w:color w:val="auto"/>
              </w:rPr>
            </w:pPr>
            <w:r>
              <w:rPr>
                <w:rFonts w:ascii="Arial" w:cs="Arial" w:eastAsia="Arial" w:hAnsi="Arial"/>
                <w:sz w:val="16"/>
                <w:szCs w:val="16"/>
                <w:color w:val="auto"/>
              </w:rPr>
              <w:t>Total Level 3 Assets</w:t>
            </w: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gridSpan w:val="4"/>
            <w:shd w:val="clear" w:color="auto" w:fill="000000"/>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480" w:type="dxa"/>
            <w:vAlign w:val="bottom"/>
            <w:tcBorders>
              <w:right w:val="single" w:sz="8" w:color="auto"/>
            </w:tcBorders>
            <w:gridSpan w:val="3"/>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5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4"/>
          </w:tcPr>
          <w:p>
            <w:pPr>
              <w:jc w:val="right"/>
              <w:spacing w:after="0"/>
              <w:rPr>
                <w:sz w:val="20"/>
                <w:szCs w:val="20"/>
                <w:color w:val="auto"/>
              </w:rPr>
            </w:pPr>
            <w:r>
              <w:rPr>
                <w:rFonts w:ascii="Arial" w:cs="Arial" w:eastAsia="Arial" w:hAnsi="Arial"/>
                <w:sz w:val="16"/>
                <w:szCs w:val="16"/>
                <w:color w:val="auto"/>
              </w:rPr>
              <w:t>115,533</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800" w:type="dxa"/>
            <w:vAlign w:val="bottom"/>
            <w:gridSpan w:val="4"/>
          </w:tcPr>
          <w:p>
            <w:pPr>
              <w:jc w:val="right"/>
              <w:spacing w:after="0"/>
              <w:rPr>
                <w:sz w:val="20"/>
                <w:szCs w:val="20"/>
                <w:color w:val="auto"/>
              </w:rPr>
            </w:pPr>
            <w:r>
              <w:rPr>
                <w:rFonts w:ascii="Arial" w:cs="Arial" w:eastAsia="Arial" w:hAnsi="Arial"/>
                <w:sz w:val="16"/>
                <w:szCs w:val="16"/>
                <w:color w:val="auto"/>
              </w:rPr>
              <w:t>6,850</w:t>
            </w:r>
          </w:p>
        </w:tc>
        <w:tc>
          <w:tcPr>
            <w:tcW w:w="780" w:type="dxa"/>
            <w:vAlign w:val="bottom"/>
            <w:gridSpan w:val="4"/>
          </w:tcPr>
          <w:p>
            <w:pPr>
              <w:ind w:left="660"/>
              <w:spacing w:after="0"/>
              <w:rPr>
                <w:sz w:val="20"/>
                <w:szCs w:val="20"/>
                <w:color w:val="auto"/>
              </w:rPr>
            </w:pPr>
            <w:r>
              <w:rPr>
                <w:rFonts w:ascii="Arial" w:cs="Arial" w:eastAsia="Arial" w:hAnsi="Arial"/>
                <w:sz w:val="16"/>
                <w:szCs w:val="16"/>
                <w:color w:val="auto"/>
              </w:rPr>
              <w:t>$</w:t>
            </w:r>
          </w:p>
        </w:tc>
        <w:tc>
          <w:tcPr>
            <w:tcW w:w="560" w:type="dxa"/>
            <w:vAlign w:val="bottom"/>
            <w:gridSpan w:val="3"/>
          </w:tcPr>
          <w:p>
            <w:pPr>
              <w:jc w:val="right"/>
              <w:ind w:right="20"/>
              <w:spacing w:after="0"/>
              <w:rPr>
                <w:sz w:val="20"/>
                <w:szCs w:val="20"/>
                <w:color w:val="auto"/>
              </w:rPr>
            </w:pPr>
            <w:r>
              <w:rPr>
                <w:rFonts w:ascii="Arial" w:cs="Arial" w:eastAsia="Arial" w:hAnsi="Arial"/>
                <w:sz w:val="16"/>
                <w:szCs w:val="16"/>
                <w:color w:val="auto"/>
              </w:rPr>
              <w:t>1,211</w:t>
            </w:r>
          </w:p>
        </w:tc>
        <w:tc>
          <w:tcPr>
            <w:tcW w:w="4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4"/>
          </w:tcPr>
          <w:p>
            <w:pPr>
              <w:jc w:val="right"/>
              <w:ind w:right="280"/>
              <w:spacing w:after="0"/>
              <w:rPr>
                <w:sz w:val="20"/>
                <w:szCs w:val="20"/>
                <w:color w:val="auto"/>
              </w:rPr>
            </w:pPr>
            <w:r>
              <w:rPr>
                <w:rFonts w:ascii="Arial" w:cs="Arial" w:eastAsia="Arial" w:hAnsi="Arial"/>
                <w:sz w:val="16"/>
                <w:szCs w:val="16"/>
                <w:color w:val="auto"/>
              </w:rPr>
              <w:t>(5,085)</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1040" w:type="dxa"/>
            <w:vAlign w:val="bottom"/>
            <w:gridSpan w:val="3"/>
          </w:tcPr>
          <w:p>
            <w:pPr>
              <w:jc w:val="right"/>
              <w:ind w:right="380"/>
              <w:spacing w:after="0"/>
              <w:rPr>
                <w:sz w:val="20"/>
                <w:szCs w:val="20"/>
                <w:color w:val="auto"/>
              </w:rPr>
            </w:pPr>
            <w:r>
              <w:rPr>
                <w:rFonts w:ascii="Arial" w:cs="Arial" w:eastAsia="Arial" w:hAnsi="Arial"/>
                <w:sz w:val="16"/>
                <w:szCs w:val="16"/>
                <w:color w:val="auto"/>
              </w:rPr>
              <w:t>(244)</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118,265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right="60" w:hanging="459"/>
        <w:spacing w:after="0" w:line="296"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Earnings for the three month and six month periods ended June 30, 2015 and the three month and six month periods ended June 30, 2014 include net unrealized gains (losses) of $(1,418), $4,679, $1,123 and $5,536, respectively.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440" w:right="23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LAZARD LTD</w:t>
      </w:r>
    </w:p>
    <w:p>
      <w:pPr>
        <w:spacing w:after="0" w:line="94"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auto"/>
        </w:rPr>
        <w:t>NOTES TO CONDENSED CONSOLIDATED FINANCIAL STATEMENTS—(Continued)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except for per share data, unless otherwise noted)</w:t>
      </w:r>
    </w:p>
    <w:p>
      <w:pPr>
        <w:spacing w:after="0" w:line="152" w:lineRule="exact"/>
        <w:rPr>
          <w:sz w:val="20"/>
          <w:szCs w:val="20"/>
          <w:color w:val="auto"/>
        </w:rPr>
      </w:pPr>
    </w:p>
    <w:p>
      <w:pPr>
        <w:ind w:right="480" w:firstLine="457"/>
        <w:spacing w:after="0" w:line="331" w:lineRule="auto"/>
        <w:rPr>
          <w:sz w:val="20"/>
          <w:szCs w:val="20"/>
          <w:color w:val="auto"/>
        </w:rPr>
      </w:pPr>
      <w:r>
        <w:rPr>
          <w:rFonts w:ascii="Arial" w:cs="Arial" w:eastAsia="Arial" w:hAnsi="Arial"/>
          <w:sz w:val="15"/>
          <w:szCs w:val="15"/>
          <w:b w:val="1"/>
          <w:bCs w:val="1"/>
          <w:i w:val="1"/>
          <w:iCs w:val="1"/>
          <w:color w:val="auto"/>
        </w:rPr>
        <w:t>Fair Value of Certain Investments Based on NAV</w:t>
      </w:r>
      <w:r>
        <w:rPr>
          <w:rFonts w:ascii="Arial" w:cs="Arial" w:eastAsia="Arial" w:hAnsi="Arial"/>
          <w:sz w:val="15"/>
          <w:szCs w:val="15"/>
          <w:color w:val="auto"/>
        </w:rPr>
        <w:t>—The Company’s Level 2 and Level 3 investments at June 30, 2015 and December 31, 2014 include certain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investments that are valued using NAV or its equivalent as a practical expedient in determining fair value. Information with respect thereto was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1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4"/>
          </w:tcPr>
          <w:p>
            <w:pPr>
              <w:ind w:left="180"/>
              <w:spacing w:after="0"/>
              <w:rPr>
                <w:sz w:val="20"/>
                <w:szCs w:val="20"/>
                <w:color w:val="auto"/>
              </w:rPr>
            </w:pPr>
            <w:r>
              <w:rPr>
                <w:rFonts w:ascii="Arial" w:cs="Arial" w:eastAsia="Arial" w:hAnsi="Arial"/>
                <w:sz w:val="13"/>
                <w:szCs w:val="13"/>
                <w:b w:val="1"/>
                <w:bCs w:val="1"/>
                <w:color w:val="auto"/>
              </w:rPr>
              <w:t>June 30, 2015</w:t>
            </w:r>
          </w:p>
        </w:tc>
        <w:tc>
          <w:tcPr>
            <w:tcW w:w="7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r>
      <w:tr>
        <w:trPr>
          <w:trHeight w:val="119"/>
        </w:trPr>
        <w:tc>
          <w:tcPr>
            <w:tcW w:w="114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60" w:type="dxa"/>
            <w:vAlign w:val="bottom"/>
            <w:gridSpan w:val="6"/>
          </w:tcPr>
          <w:p>
            <w:pPr>
              <w:ind w:left="180"/>
              <w:spacing w:after="0" w:line="119" w:lineRule="exact"/>
              <w:rPr>
                <w:sz w:val="20"/>
                <w:szCs w:val="20"/>
                <w:color w:val="auto"/>
              </w:rPr>
            </w:pPr>
            <w:r>
              <w:rPr>
                <w:rFonts w:ascii="Arial" w:cs="Arial" w:eastAsia="Arial" w:hAnsi="Arial"/>
                <w:sz w:val="13"/>
                <w:szCs w:val="13"/>
                <w:b w:val="1"/>
                <w:bCs w:val="1"/>
                <w:color w:val="auto"/>
              </w:rPr>
              <w:t>Estimated Liquidation Period of</w:t>
            </w: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52"/>
        </w:trPr>
        <w:tc>
          <w:tcPr>
            <w:tcW w:w="11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 of</w:t>
            </w:r>
          </w:p>
        </w:tc>
        <w:tc>
          <w:tcPr>
            <w:tcW w:w="2360" w:type="dxa"/>
            <w:vAlign w:val="bottom"/>
            <w:gridSpan w:val="6"/>
          </w:tcPr>
          <w:p>
            <w:pPr>
              <w:ind w:left="280"/>
              <w:spacing w:after="0"/>
              <w:rPr>
                <w:sz w:val="20"/>
                <w:szCs w:val="20"/>
                <w:color w:val="auto"/>
              </w:rPr>
            </w:pPr>
            <w:r>
              <w:rPr>
                <w:rFonts w:ascii="Arial" w:cs="Arial" w:eastAsia="Arial" w:hAnsi="Arial"/>
                <w:sz w:val="13"/>
                <w:szCs w:val="13"/>
                <w:b w:val="1"/>
                <w:bCs w:val="1"/>
                <w:color w:val="auto"/>
              </w:rPr>
              <w:t>Investments Not Redeemable</w:t>
            </w:r>
          </w:p>
        </w:tc>
        <w:tc>
          <w:tcPr>
            <w:tcW w:w="1800" w:type="dxa"/>
            <w:vAlign w:val="bottom"/>
            <w:gridSpan w:val="3"/>
          </w:tcPr>
          <w:p>
            <w:pPr>
              <w:ind w:left="220"/>
              <w:spacing w:after="0"/>
              <w:rPr>
                <w:sz w:val="20"/>
                <w:szCs w:val="20"/>
                <w:color w:val="auto"/>
              </w:rPr>
            </w:pPr>
            <w:r>
              <w:rPr>
                <w:rFonts w:ascii="Arial" w:cs="Arial" w:eastAsia="Arial" w:hAnsi="Arial"/>
                <w:sz w:val="13"/>
                <w:szCs w:val="13"/>
                <w:b w:val="1"/>
                <w:bCs w:val="1"/>
                <w:color w:val="auto"/>
                <w:w w:val="99"/>
              </w:rPr>
              <w:t>Investments Redeemable</w:t>
            </w:r>
          </w:p>
        </w:tc>
      </w:tr>
      <w:tr>
        <w:trPr>
          <w:trHeight w:val="119"/>
        </w:trPr>
        <w:tc>
          <w:tcPr>
            <w:tcW w:w="114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0"/>
              </w:rPr>
              <w:t>Fair Value</w:t>
            </w:r>
          </w:p>
        </w:tc>
        <w:tc>
          <w:tcPr>
            <w:tcW w:w="5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r>
      <w:tr>
        <w:trPr>
          <w:trHeight w:val="139"/>
        </w:trPr>
        <w:tc>
          <w:tcPr>
            <w:tcW w:w="11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560"/>
              <w:spacing w:after="0" w:line="139" w:lineRule="exact"/>
              <w:rPr>
                <w:sz w:val="20"/>
                <w:szCs w:val="20"/>
                <w:color w:val="auto"/>
              </w:rPr>
            </w:pPr>
            <w:r>
              <w:rPr>
                <w:rFonts w:ascii="Arial" w:cs="Arial" w:eastAsia="Arial" w:hAnsi="Arial"/>
                <w:sz w:val="13"/>
                <w:szCs w:val="13"/>
                <w:b w:val="1"/>
                <w:bCs w:val="1"/>
                <w:color w:val="auto"/>
                <w:w w:val="88"/>
              </w:rPr>
              <w:t>Unfunded</w:t>
            </w:r>
          </w:p>
        </w:tc>
        <w:tc>
          <w:tcPr>
            <w:tcW w:w="900" w:type="dxa"/>
            <w:vAlign w:val="bottom"/>
            <w:gridSpan w:val="2"/>
          </w:tcPr>
          <w:p>
            <w:pPr>
              <w:jc w:val="center"/>
              <w:ind w:right="260"/>
              <w:spacing w:after="0" w:line="139" w:lineRule="exact"/>
              <w:rPr>
                <w:sz w:val="20"/>
                <w:szCs w:val="20"/>
                <w:color w:val="auto"/>
              </w:rPr>
            </w:pPr>
            <w:r>
              <w:rPr>
                <w:rFonts w:ascii="Arial" w:cs="Arial" w:eastAsia="Arial" w:hAnsi="Arial"/>
                <w:sz w:val="13"/>
                <w:szCs w:val="13"/>
                <w:b w:val="1"/>
                <w:bCs w:val="1"/>
                <w:color w:val="auto"/>
                <w:w w:val="92"/>
              </w:rPr>
              <w:t>Not</w:t>
            </w:r>
          </w:p>
        </w:tc>
        <w:tc>
          <w:tcPr>
            <w:tcW w:w="740" w:type="dxa"/>
            <w:vAlign w:val="bottom"/>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w w:val="92"/>
              </w:rPr>
              <w:t>Next</w:t>
            </w:r>
          </w:p>
        </w:tc>
        <w:tc>
          <w:tcPr>
            <w:tcW w:w="40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4"/>
              </w:rPr>
              <w:t>5-10</w:t>
            </w:r>
          </w:p>
        </w:tc>
        <w:tc>
          <w:tcPr>
            <w:tcW w:w="220" w:type="dxa"/>
            <w:vAlign w:val="bottom"/>
          </w:tcPr>
          <w:p>
            <w:pPr>
              <w:spacing w:after="0"/>
              <w:rPr>
                <w:sz w:val="12"/>
                <w:szCs w:val="12"/>
                <w:color w:val="auto"/>
              </w:rPr>
            </w:pPr>
          </w:p>
        </w:tc>
        <w:tc>
          <w:tcPr>
            <w:tcW w:w="76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2"/>
                <w:szCs w:val="12"/>
                <w:color w:val="auto"/>
              </w:rPr>
            </w:pPr>
          </w:p>
        </w:tc>
        <w:tc>
          <w:tcPr>
            <w:tcW w:w="980" w:type="dxa"/>
            <w:vAlign w:val="bottom"/>
            <w:gridSpan w:val="2"/>
          </w:tcPr>
          <w:p>
            <w:pPr>
              <w:jc w:val="right"/>
              <w:ind w:right="320"/>
              <w:spacing w:after="0" w:line="139" w:lineRule="exact"/>
              <w:rPr>
                <w:sz w:val="20"/>
                <w:szCs w:val="20"/>
                <w:color w:val="auto"/>
              </w:rPr>
            </w:pPr>
            <w:r>
              <w:rPr>
                <w:rFonts w:ascii="Arial" w:cs="Arial" w:eastAsia="Arial" w:hAnsi="Arial"/>
                <w:sz w:val="13"/>
                <w:szCs w:val="13"/>
                <w:b w:val="1"/>
                <w:bCs w:val="1"/>
                <w:color w:val="auto"/>
                <w:w w:val="85"/>
              </w:rPr>
              <w:t>Redemption</w:t>
            </w:r>
          </w:p>
        </w:tc>
        <w:tc>
          <w:tcPr>
            <w:tcW w:w="82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7"/>
              </w:rPr>
              <w:t>Redemption</w:t>
            </w:r>
          </w:p>
        </w:tc>
      </w:tr>
      <w:tr>
        <w:trPr>
          <w:trHeight w:val="152"/>
        </w:trPr>
        <w:tc>
          <w:tcPr>
            <w:tcW w:w="11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b w:val="1"/>
                <w:bCs w:val="1"/>
                <w:color w:val="auto"/>
                <w:w w:val="93"/>
              </w:rPr>
              <w:t>Fair Value</w:t>
            </w:r>
          </w:p>
        </w:tc>
        <w:tc>
          <w:tcPr>
            <w:tcW w:w="320" w:type="dxa"/>
            <w:vAlign w:val="bottom"/>
          </w:tcPr>
          <w:p>
            <w:pPr>
              <w:spacing w:after="0"/>
              <w:rPr>
                <w:sz w:val="13"/>
                <w:szCs w:val="13"/>
                <w:color w:val="auto"/>
              </w:rPr>
            </w:pPr>
          </w:p>
        </w:tc>
        <w:tc>
          <w:tcPr>
            <w:tcW w:w="1220" w:type="dxa"/>
            <w:vAlign w:val="bottom"/>
            <w:gridSpan w:val="3"/>
          </w:tcPr>
          <w:p>
            <w:pPr>
              <w:spacing w:after="0"/>
              <w:rPr>
                <w:sz w:val="20"/>
                <w:szCs w:val="20"/>
                <w:color w:val="auto"/>
              </w:rPr>
            </w:pPr>
            <w:r>
              <w:rPr>
                <w:rFonts w:ascii="Arial" w:cs="Arial" w:eastAsia="Arial" w:hAnsi="Arial"/>
                <w:sz w:val="13"/>
                <w:szCs w:val="13"/>
                <w:b w:val="1"/>
                <w:bCs w:val="1"/>
                <w:color w:val="auto"/>
              </w:rPr>
              <w:t>Commitments</w:t>
            </w: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Redeemable</w:t>
            </w:r>
          </w:p>
        </w:tc>
        <w:tc>
          <w:tcPr>
            <w:tcW w:w="7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5 Years</w:t>
            </w:r>
          </w:p>
        </w:tc>
        <w:tc>
          <w:tcPr>
            <w:tcW w:w="6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Years</w:t>
            </w: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Thereafter</w:t>
            </w:r>
          </w:p>
        </w:tc>
        <w:tc>
          <w:tcPr>
            <w:tcW w:w="980" w:type="dxa"/>
            <w:vAlign w:val="bottom"/>
            <w:gridSpan w:val="2"/>
          </w:tcPr>
          <w:p>
            <w:pPr>
              <w:ind w:left="40"/>
              <w:spacing w:after="0"/>
              <w:rPr>
                <w:sz w:val="20"/>
                <w:szCs w:val="20"/>
                <w:color w:val="auto"/>
              </w:rPr>
            </w:pPr>
            <w:r>
              <w:rPr>
                <w:rFonts w:ascii="Arial" w:cs="Arial" w:eastAsia="Arial" w:hAnsi="Arial"/>
                <w:sz w:val="13"/>
                <w:szCs w:val="13"/>
                <w:b w:val="1"/>
                <w:bCs w:val="1"/>
                <w:color w:val="auto"/>
              </w:rPr>
              <w:t>Frequency</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8"/>
              </w:rPr>
              <w:t>Notice Period</w:t>
            </w:r>
          </w:p>
        </w:tc>
      </w:tr>
      <w:tr>
        <w:trPr>
          <w:trHeight w:val="182"/>
        </w:trPr>
        <w:tc>
          <w:tcPr>
            <w:tcW w:w="418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6"/>
                <w:szCs w:val="16"/>
                <w:color w:val="auto"/>
              </w:rPr>
              <w:t>Alternative investment funds:</w:t>
            </w: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r>
      <w:tr>
        <w:trPr>
          <w:trHeight w:val="202"/>
        </w:trPr>
        <w:tc>
          <w:tcPr>
            <w:tcW w:w="4180" w:type="dxa"/>
            <w:vAlign w:val="bottom"/>
            <w:gridSpan w:val="2"/>
          </w:tcPr>
          <w:p>
            <w:pPr>
              <w:ind w:left="400"/>
              <w:spacing w:after="0"/>
              <w:rPr>
                <w:sz w:val="20"/>
                <w:szCs w:val="20"/>
                <w:color w:val="auto"/>
              </w:rPr>
            </w:pPr>
            <w:r>
              <w:rPr>
                <w:rFonts w:ascii="Arial" w:cs="Arial" w:eastAsia="Arial" w:hAnsi="Arial"/>
                <w:sz w:val="16"/>
                <w:szCs w:val="16"/>
                <w:color w:val="auto"/>
              </w:rPr>
              <w:t>Hedge funds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22,893</w:t>
            </w:r>
          </w:p>
        </w:tc>
        <w:tc>
          <w:tcPr>
            <w:tcW w:w="420" w:type="dxa"/>
            <w:vAlign w:val="bottom"/>
            <w:gridSpan w:val="2"/>
          </w:tcPr>
          <w:p>
            <w:pPr>
              <w:ind w:left="320"/>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center"/>
              <w:ind w:right="260"/>
              <w:spacing w:after="0"/>
              <w:rPr>
                <w:sz w:val="20"/>
                <w:szCs w:val="20"/>
                <w:color w:val="auto"/>
              </w:rPr>
            </w:pPr>
            <w:r>
              <w:rPr>
                <w:rFonts w:ascii="Arial" w:cs="Arial" w:eastAsia="Arial" w:hAnsi="Arial"/>
                <w:sz w:val="16"/>
                <w:szCs w:val="16"/>
                <w:color w:val="auto"/>
              </w:rPr>
              <w:t>NA</w:t>
            </w:r>
          </w:p>
        </w:tc>
        <w:tc>
          <w:tcPr>
            <w:tcW w:w="740" w:type="dxa"/>
            <w:vAlign w:val="bottom"/>
            <w:gridSpan w:val="2"/>
          </w:tcPr>
          <w:p>
            <w:pPr>
              <w:jc w:val="center"/>
              <w:ind w:right="240"/>
              <w:spacing w:after="0"/>
              <w:rPr>
                <w:sz w:val="20"/>
                <w:szCs w:val="20"/>
                <w:color w:val="auto"/>
              </w:rPr>
            </w:pPr>
            <w:r>
              <w:rPr>
                <w:rFonts w:ascii="Arial" w:cs="Arial" w:eastAsia="Arial" w:hAnsi="Arial"/>
                <w:sz w:val="16"/>
                <w:szCs w:val="16"/>
                <w:color w:val="auto"/>
                <w:w w:val="98"/>
              </w:rPr>
              <w:t>NA</w:t>
            </w:r>
          </w:p>
        </w:tc>
        <w:tc>
          <w:tcPr>
            <w:tcW w:w="620" w:type="dxa"/>
            <w:vAlign w:val="bottom"/>
            <w:gridSpan w:val="2"/>
          </w:tcPr>
          <w:p>
            <w:pPr>
              <w:jc w:val="center"/>
              <w:ind w:right="220"/>
              <w:spacing w:after="0"/>
              <w:rPr>
                <w:sz w:val="20"/>
                <w:szCs w:val="20"/>
                <w:color w:val="auto"/>
              </w:rPr>
            </w:pPr>
            <w:r>
              <w:rPr>
                <w:rFonts w:ascii="Arial" w:cs="Arial" w:eastAsia="Arial" w:hAnsi="Arial"/>
                <w:sz w:val="16"/>
                <w:szCs w:val="16"/>
                <w:color w:val="auto"/>
              </w:rPr>
              <w:t>NA</w:t>
            </w: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color w:val="auto"/>
              </w:rPr>
              <w:t>NA</w:t>
            </w:r>
          </w:p>
        </w:tc>
        <w:tc>
          <w:tcPr>
            <w:tcW w:w="980" w:type="dxa"/>
            <w:vAlign w:val="bottom"/>
            <w:gridSpan w:val="2"/>
          </w:tcPr>
          <w:p>
            <w:pPr>
              <w:ind w:left="120"/>
              <w:spacing w:after="0"/>
              <w:rPr>
                <w:sz w:val="20"/>
                <w:szCs w:val="20"/>
                <w:color w:val="auto"/>
              </w:rPr>
            </w:pPr>
            <w:r>
              <w:rPr>
                <w:rFonts w:ascii="Arial" w:cs="Arial" w:eastAsia="Arial" w:hAnsi="Arial"/>
                <w:sz w:val="16"/>
                <w:szCs w:val="16"/>
                <w:color w:val="auto"/>
              </w:rPr>
              <w:t>(a)</w:t>
            </w:r>
          </w:p>
        </w:tc>
        <w:tc>
          <w:tcPr>
            <w:tcW w:w="820" w:type="dxa"/>
            <w:vAlign w:val="bottom"/>
          </w:tcPr>
          <w:p>
            <w:pPr>
              <w:jc w:val="center"/>
              <w:spacing w:after="0"/>
              <w:rPr>
                <w:sz w:val="20"/>
                <w:szCs w:val="20"/>
                <w:color w:val="auto"/>
              </w:rPr>
            </w:pPr>
            <w:r>
              <w:rPr>
                <w:rFonts w:ascii="Arial" w:cs="Arial" w:eastAsia="Arial" w:hAnsi="Arial"/>
                <w:sz w:val="16"/>
                <w:szCs w:val="16"/>
                <w:color w:val="auto"/>
                <w:w w:val="92"/>
              </w:rPr>
              <w:t>&lt;30-60 days</w:t>
            </w:r>
          </w:p>
        </w:tc>
      </w:tr>
      <w:tr>
        <w:trPr>
          <w:trHeight w:val="202"/>
        </w:trPr>
        <w:tc>
          <w:tcPr>
            <w:tcW w:w="41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Funds of funds</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color w:val="auto"/>
              </w:rPr>
              <w:t>NA</w:t>
            </w:r>
          </w:p>
        </w:tc>
        <w:tc>
          <w:tcPr>
            <w:tcW w:w="74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8"/>
              </w:rPr>
              <w:t>NA</w:t>
            </w:r>
          </w:p>
        </w:tc>
        <w:tc>
          <w:tcPr>
            <w:tcW w:w="6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rPr>
              <w:t>NA</w:t>
            </w: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rPr>
              <w:t>NA</w:t>
            </w:r>
          </w:p>
        </w:tc>
        <w:tc>
          <w:tcPr>
            <w:tcW w:w="9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(b)</w:t>
            </w: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&lt;30-90 days</w:t>
            </w:r>
          </w:p>
        </w:tc>
      </w:tr>
      <w:tr>
        <w:trPr>
          <w:trHeight w:val="202"/>
        </w:trPr>
        <w:tc>
          <w:tcPr>
            <w:tcW w:w="4180" w:type="dxa"/>
            <w:vAlign w:val="bottom"/>
            <w:gridSpan w:val="2"/>
          </w:tcPr>
          <w:p>
            <w:pPr>
              <w:ind w:left="40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1,679</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center"/>
              <w:ind w:right="260"/>
              <w:spacing w:after="0"/>
              <w:rPr>
                <w:sz w:val="20"/>
                <w:szCs w:val="20"/>
                <w:color w:val="auto"/>
              </w:rPr>
            </w:pPr>
            <w:r>
              <w:rPr>
                <w:rFonts w:ascii="Arial" w:cs="Arial" w:eastAsia="Arial" w:hAnsi="Arial"/>
                <w:sz w:val="16"/>
                <w:szCs w:val="16"/>
                <w:color w:val="auto"/>
              </w:rPr>
              <w:t>NA</w:t>
            </w:r>
          </w:p>
        </w:tc>
        <w:tc>
          <w:tcPr>
            <w:tcW w:w="740" w:type="dxa"/>
            <w:vAlign w:val="bottom"/>
            <w:gridSpan w:val="2"/>
          </w:tcPr>
          <w:p>
            <w:pPr>
              <w:jc w:val="center"/>
              <w:ind w:right="240"/>
              <w:spacing w:after="0"/>
              <w:rPr>
                <w:sz w:val="20"/>
                <w:szCs w:val="20"/>
                <w:color w:val="auto"/>
              </w:rPr>
            </w:pPr>
            <w:r>
              <w:rPr>
                <w:rFonts w:ascii="Arial" w:cs="Arial" w:eastAsia="Arial" w:hAnsi="Arial"/>
                <w:sz w:val="16"/>
                <w:szCs w:val="16"/>
                <w:color w:val="auto"/>
                <w:w w:val="98"/>
              </w:rPr>
              <w:t>NA</w:t>
            </w:r>
          </w:p>
        </w:tc>
        <w:tc>
          <w:tcPr>
            <w:tcW w:w="620" w:type="dxa"/>
            <w:vAlign w:val="bottom"/>
            <w:gridSpan w:val="2"/>
          </w:tcPr>
          <w:p>
            <w:pPr>
              <w:jc w:val="center"/>
              <w:ind w:right="220"/>
              <w:spacing w:after="0"/>
              <w:rPr>
                <w:sz w:val="20"/>
                <w:szCs w:val="20"/>
                <w:color w:val="auto"/>
              </w:rPr>
            </w:pPr>
            <w:r>
              <w:rPr>
                <w:rFonts w:ascii="Arial" w:cs="Arial" w:eastAsia="Arial" w:hAnsi="Arial"/>
                <w:sz w:val="16"/>
                <w:szCs w:val="16"/>
                <w:color w:val="auto"/>
              </w:rPr>
              <w:t>NA</w:t>
            </w: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color w:val="auto"/>
              </w:rPr>
              <w:t>NA</w:t>
            </w:r>
          </w:p>
        </w:tc>
        <w:tc>
          <w:tcPr>
            <w:tcW w:w="980" w:type="dxa"/>
            <w:vAlign w:val="bottom"/>
            <w:gridSpan w:val="2"/>
          </w:tcPr>
          <w:p>
            <w:pPr>
              <w:ind w:left="120"/>
              <w:spacing w:after="0"/>
              <w:rPr>
                <w:sz w:val="20"/>
                <w:szCs w:val="20"/>
                <w:color w:val="auto"/>
              </w:rPr>
            </w:pPr>
            <w:r>
              <w:rPr>
                <w:rFonts w:ascii="Arial" w:cs="Arial" w:eastAsia="Arial" w:hAnsi="Arial"/>
                <w:sz w:val="16"/>
                <w:szCs w:val="16"/>
                <w:color w:val="auto"/>
              </w:rPr>
              <w:t>(c)</w:t>
            </w:r>
          </w:p>
        </w:tc>
        <w:tc>
          <w:tcPr>
            <w:tcW w:w="820" w:type="dxa"/>
            <w:vAlign w:val="bottom"/>
          </w:tcPr>
          <w:p>
            <w:pPr>
              <w:jc w:val="center"/>
              <w:spacing w:after="0"/>
              <w:rPr>
                <w:sz w:val="20"/>
                <w:szCs w:val="20"/>
                <w:color w:val="auto"/>
              </w:rPr>
            </w:pPr>
            <w:r>
              <w:rPr>
                <w:rFonts w:ascii="Arial" w:cs="Arial" w:eastAsia="Arial" w:hAnsi="Arial"/>
                <w:sz w:val="16"/>
                <w:szCs w:val="16"/>
                <w:color w:val="auto"/>
                <w:w w:val="92"/>
              </w:rPr>
              <w:t>&lt;30-60 days</w:t>
            </w:r>
          </w:p>
        </w:tc>
      </w:tr>
      <w:tr>
        <w:trPr>
          <w:trHeight w:val="202"/>
        </w:trPr>
        <w:tc>
          <w:tcPr>
            <w:tcW w:w="4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Debt funds</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color w:val="auto"/>
              </w:rPr>
              <w:t>NA</w:t>
            </w:r>
          </w:p>
        </w:tc>
        <w:tc>
          <w:tcPr>
            <w:tcW w:w="74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8"/>
              </w:rPr>
              <w:t>NA</w:t>
            </w:r>
          </w:p>
        </w:tc>
        <w:tc>
          <w:tcPr>
            <w:tcW w:w="6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rPr>
              <w:t>NA</w:t>
            </w: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rPr>
              <w:t>NA</w:t>
            </w:r>
          </w:p>
        </w:tc>
        <w:tc>
          <w:tcPr>
            <w:tcW w:w="9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w:t>
            </w:r>
          </w:p>
        </w:tc>
        <w:tc>
          <w:tcPr>
            <w:tcW w:w="820" w:type="dxa"/>
            <w:vAlign w:val="bottom"/>
            <w:shd w:val="clear" w:color="auto" w:fill="CCEEFF"/>
          </w:tcPr>
          <w:p>
            <w:pPr>
              <w:spacing w:after="0"/>
              <w:rPr>
                <w:sz w:val="20"/>
                <w:szCs w:val="20"/>
                <w:color w:val="auto"/>
              </w:rPr>
            </w:pPr>
            <w:r>
              <w:rPr>
                <w:rFonts w:ascii="Arial" w:cs="Arial" w:eastAsia="Arial" w:hAnsi="Arial"/>
                <w:sz w:val="16"/>
                <w:szCs w:val="16"/>
                <w:color w:val="auto"/>
              </w:rPr>
              <w:t>30 days</w:t>
            </w:r>
          </w:p>
        </w:tc>
      </w:tr>
      <w:tr>
        <w:trPr>
          <w:trHeight w:val="202"/>
        </w:trPr>
        <w:tc>
          <w:tcPr>
            <w:tcW w:w="4180" w:type="dxa"/>
            <w:vAlign w:val="bottom"/>
            <w:gridSpan w:val="2"/>
          </w:tcPr>
          <w:p>
            <w:pPr>
              <w:spacing w:after="0"/>
              <w:rPr>
                <w:sz w:val="20"/>
                <w:szCs w:val="20"/>
                <w:color w:val="auto"/>
              </w:rPr>
            </w:pPr>
            <w:r>
              <w:rPr>
                <w:rFonts w:ascii="Arial" w:cs="Arial" w:eastAsia="Arial" w:hAnsi="Arial"/>
                <w:sz w:val="16"/>
                <w:szCs w:val="16"/>
                <w:color w:val="auto"/>
              </w:rPr>
              <w:t>Equity funds</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47</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center"/>
              <w:ind w:right="260"/>
              <w:spacing w:after="0"/>
              <w:rPr>
                <w:sz w:val="20"/>
                <w:szCs w:val="20"/>
                <w:color w:val="auto"/>
              </w:rPr>
            </w:pPr>
            <w:r>
              <w:rPr>
                <w:rFonts w:ascii="Arial" w:cs="Arial" w:eastAsia="Arial" w:hAnsi="Arial"/>
                <w:sz w:val="16"/>
                <w:szCs w:val="16"/>
                <w:color w:val="auto"/>
              </w:rPr>
              <w:t>NA</w:t>
            </w:r>
          </w:p>
        </w:tc>
        <w:tc>
          <w:tcPr>
            <w:tcW w:w="740" w:type="dxa"/>
            <w:vAlign w:val="bottom"/>
            <w:gridSpan w:val="2"/>
          </w:tcPr>
          <w:p>
            <w:pPr>
              <w:jc w:val="center"/>
              <w:ind w:right="240"/>
              <w:spacing w:after="0"/>
              <w:rPr>
                <w:sz w:val="20"/>
                <w:szCs w:val="20"/>
                <w:color w:val="auto"/>
              </w:rPr>
            </w:pPr>
            <w:r>
              <w:rPr>
                <w:rFonts w:ascii="Arial" w:cs="Arial" w:eastAsia="Arial" w:hAnsi="Arial"/>
                <w:sz w:val="16"/>
                <w:szCs w:val="16"/>
                <w:color w:val="auto"/>
                <w:w w:val="98"/>
              </w:rPr>
              <w:t>NA</w:t>
            </w:r>
          </w:p>
        </w:tc>
        <w:tc>
          <w:tcPr>
            <w:tcW w:w="620" w:type="dxa"/>
            <w:vAlign w:val="bottom"/>
            <w:gridSpan w:val="2"/>
          </w:tcPr>
          <w:p>
            <w:pPr>
              <w:jc w:val="center"/>
              <w:ind w:right="220"/>
              <w:spacing w:after="0"/>
              <w:rPr>
                <w:sz w:val="20"/>
                <w:szCs w:val="20"/>
                <w:color w:val="auto"/>
              </w:rPr>
            </w:pPr>
            <w:r>
              <w:rPr>
                <w:rFonts w:ascii="Arial" w:cs="Arial" w:eastAsia="Arial" w:hAnsi="Arial"/>
                <w:sz w:val="16"/>
                <w:szCs w:val="16"/>
                <w:color w:val="auto"/>
              </w:rPr>
              <w:t>NA</w:t>
            </w: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color w:val="auto"/>
              </w:rPr>
              <w:t>NA</w:t>
            </w:r>
          </w:p>
        </w:tc>
        <w:tc>
          <w:tcPr>
            <w:tcW w:w="980" w:type="dxa"/>
            <w:vAlign w:val="bottom"/>
            <w:gridSpan w:val="2"/>
          </w:tcPr>
          <w:p>
            <w:pPr>
              <w:ind w:left="120"/>
              <w:spacing w:after="0"/>
              <w:rPr>
                <w:sz w:val="20"/>
                <w:szCs w:val="20"/>
                <w:color w:val="auto"/>
              </w:rPr>
            </w:pPr>
            <w:r>
              <w:rPr>
                <w:rFonts w:ascii="Arial" w:cs="Arial" w:eastAsia="Arial" w:hAnsi="Arial"/>
                <w:sz w:val="16"/>
                <w:szCs w:val="16"/>
                <w:color w:val="auto"/>
              </w:rPr>
              <w:t>(e)</w:t>
            </w:r>
          </w:p>
        </w:tc>
        <w:tc>
          <w:tcPr>
            <w:tcW w:w="820" w:type="dxa"/>
            <w:vAlign w:val="bottom"/>
          </w:tcPr>
          <w:p>
            <w:pPr>
              <w:jc w:val="center"/>
              <w:spacing w:after="0"/>
              <w:rPr>
                <w:sz w:val="20"/>
                <w:szCs w:val="20"/>
                <w:color w:val="auto"/>
              </w:rPr>
            </w:pPr>
            <w:r>
              <w:rPr>
                <w:rFonts w:ascii="Arial" w:cs="Arial" w:eastAsia="Arial" w:hAnsi="Arial"/>
                <w:sz w:val="16"/>
                <w:szCs w:val="16"/>
                <w:color w:val="auto"/>
                <w:w w:val="92"/>
              </w:rPr>
              <w:t>&lt;30-90 days</w:t>
            </w:r>
          </w:p>
        </w:tc>
      </w:tr>
      <w:tr>
        <w:trPr>
          <w:trHeight w:val="202"/>
        </w:trPr>
        <w:tc>
          <w:tcPr>
            <w:tcW w:w="4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Private equity funds:</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2"/>
        </w:trPr>
        <w:tc>
          <w:tcPr>
            <w:tcW w:w="4180" w:type="dxa"/>
            <w:vAlign w:val="bottom"/>
            <w:gridSpan w:val="2"/>
          </w:tcPr>
          <w:p>
            <w:pPr>
              <w:ind w:left="400"/>
              <w:spacing w:after="0"/>
              <w:rPr>
                <w:sz w:val="20"/>
                <w:szCs w:val="20"/>
                <w:color w:val="auto"/>
              </w:rPr>
            </w:pPr>
            <w:r>
              <w:rPr>
                <w:rFonts w:ascii="Arial" w:cs="Arial" w:eastAsia="Arial" w:hAnsi="Arial"/>
                <w:sz w:val="16"/>
                <w:szCs w:val="16"/>
                <w:color w:val="auto"/>
              </w:rPr>
              <w:t>Equity growth</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44,682</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5,131(f)</w:t>
            </w:r>
          </w:p>
        </w:tc>
        <w:tc>
          <w:tcPr>
            <w:tcW w:w="66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24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w w:val="94"/>
              </w:rPr>
              <w:t>7%</w:t>
            </w:r>
          </w:p>
        </w:tc>
        <w:tc>
          <w:tcPr>
            <w:tcW w:w="220" w:type="dxa"/>
            <w:vAlign w:val="bottom"/>
          </w:tcPr>
          <w:p>
            <w:pPr>
              <w:spacing w:after="0"/>
              <w:rPr>
                <w:sz w:val="17"/>
                <w:szCs w:val="17"/>
                <w:color w:val="auto"/>
              </w:rPr>
            </w:pPr>
          </w:p>
        </w:tc>
        <w:tc>
          <w:tcPr>
            <w:tcW w:w="400" w:type="dxa"/>
            <w:vAlign w:val="bottom"/>
          </w:tcPr>
          <w:p>
            <w:pPr>
              <w:jc w:val="center"/>
              <w:spacing w:after="0"/>
              <w:rPr>
                <w:sz w:val="20"/>
                <w:szCs w:val="20"/>
                <w:color w:val="auto"/>
              </w:rPr>
            </w:pPr>
            <w:r>
              <w:rPr>
                <w:rFonts w:ascii="Arial" w:cs="Arial" w:eastAsia="Arial" w:hAnsi="Arial"/>
                <w:sz w:val="16"/>
                <w:szCs w:val="16"/>
                <w:color w:val="auto"/>
                <w:w w:val="93"/>
              </w:rPr>
              <w:t>91%</w:t>
            </w:r>
          </w:p>
        </w:tc>
        <w:tc>
          <w:tcPr>
            <w:tcW w:w="22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4"/>
              </w:rPr>
              <w:t>2%</w:t>
            </w:r>
          </w:p>
        </w:tc>
        <w:tc>
          <w:tcPr>
            <w:tcW w:w="240" w:type="dxa"/>
            <w:vAlign w:val="bottom"/>
          </w:tcPr>
          <w:p>
            <w:pPr>
              <w:spacing w:after="0"/>
              <w:rPr>
                <w:sz w:val="17"/>
                <w:szCs w:val="17"/>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NA</w:t>
            </w:r>
          </w:p>
        </w:tc>
        <w:tc>
          <w:tcPr>
            <w:tcW w:w="820" w:type="dxa"/>
            <w:vAlign w:val="bottom"/>
          </w:tcPr>
          <w:p>
            <w:pPr>
              <w:jc w:val="center"/>
              <w:spacing w:after="0"/>
              <w:rPr>
                <w:sz w:val="20"/>
                <w:szCs w:val="20"/>
                <w:color w:val="auto"/>
              </w:rPr>
            </w:pPr>
            <w:r>
              <w:rPr>
                <w:rFonts w:ascii="Arial" w:cs="Arial" w:eastAsia="Arial" w:hAnsi="Arial"/>
                <w:sz w:val="16"/>
                <w:szCs w:val="16"/>
                <w:color w:val="auto"/>
              </w:rPr>
              <w:t>NA</w:t>
            </w:r>
          </w:p>
        </w:tc>
      </w:tr>
      <w:tr>
        <w:trPr>
          <w:trHeight w:val="202"/>
        </w:trPr>
        <w:tc>
          <w:tcPr>
            <w:tcW w:w="41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Mezzanine debt</w:t>
            </w: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34,853</w:t>
            </w: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NA</w:t>
            </w: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r>
      <w:tr>
        <w:trPr>
          <w:trHeight w:val="206"/>
        </w:trPr>
        <w:tc>
          <w:tcPr>
            <w:tcW w:w="4180" w:type="dxa"/>
            <w:vAlign w:val="bottom"/>
            <w:gridSpan w:val="2"/>
          </w:tcPr>
          <w:p>
            <w:pPr>
              <w:spacing w:after="0"/>
              <w:rPr>
                <w:sz w:val="20"/>
                <w:szCs w:val="20"/>
                <w:color w:val="auto"/>
              </w:rPr>
            </w:pPr>
            <w:r>
              <w:rPr>
                <w:rFonts w:ascii="Arial" w:cs="Arial" w:eastAsia="Arial" w:hAnsi="Arial"/>
                <w:sz w:val="16"/>
                <w:szCs w:val="16"/>
                <w:color w:val="auto"/>
              </w:rPr>
              <w:t>Total</w:t>
            </w:r>
          </w:p>
        </w:tc>
        <w:tc>
          <w:tcPr>
            <w:tcW w:w="10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104,644</w:t>
            </w:r>
          </w:p>
        </w:tc>
        <w:tc>
          <w:tcPr>
            <w:tcW w:w="420" w:type="dxa"/>
            <w:vAlign w:val="bottom"/>
            <w:gridSpan w:val="2"/>
          </w:tcPr>
          <w:p>
            <w:pPr>
              <w:ind w:left="320"/>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440"/>
              <w:spacing w:after="0"/>
              <w:rPr>
                <w:sz w:val="20"/>
                <w:szCs w:val="20"/>
                <w:color w:val="auto"/>
              </w:rPr>
            </w:pPr>
            <w:r>
              <w:rPr>
                <w:rFonts w:ascii="Arial" w:cs="Arial" w:eastAsia="Arial" w:hAnsi="Arial"/>
                <w:sz w:val="16"/>
                <w:szCs w:val="16"/>
                <w:color w:val="auto"/>
              </w:rPr>
              <w:t>5,131</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93"/>
        </w:trPr>
        <w:tc>
          <w:tcPr>
            <w:tcW w:w="1140" w:type="dxa"/>
            <w:vAlign w:val="bottom"/>
            <w:tcBorders>
              <w:bottom w:val="single" w:sz="8" w:color="auto"/>
            </w:tcBorders>
          </w:tcPr>
          <w:p>
            <w:pPr>
              <w:spacing w:after="0"/>
              <w:rPr>
                <w:sz w:val="8"/>
                <w:szCs w:val="8"/>
                <w:color w:val="auto"/>
              </w:rPr>
            </w:pPr>
          </w:p>
        </w:tc>
        <w:tc>
          <w:tcPr>
            <w:tcW w:w="3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r>
    </w:tbl>
    <w:p>
      <w:pPr>
        <w:spacing w:after="0" w:line="17" w:lineRule="exact"/>
        <w:rPr>
          <w:sz w:val="20"/>
          <w:szCs w:val="20"/>
          <w:color w:val="auto"/>
        </w:rPr>
      </w:pPr>
    </w:p>
    <w:p>
      <w:pPr>
        <w:ind w:left="460" w:hanging="459"/>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weekly (22%), monthly (61%) and quarterly (17%)</w:t>
      </w:r>
    </w:p>
    <w:p>
      <w:pPr>
        <w:spacing w:after="0" w:line="24" w:lineRule="exact"/>
        <w:rPr>
          <w:rFonts w:ascii="Arial" w:cs="Arial" w:eastAsia="Arial" w:hAnsi="Arial"/>
          <w:sz w:val="16"/>
          <w:szCs w:val="16"/>
          <w:color w:val="auto"/>
        </w:rPr>
      </w:pPr>
    </w:p>
    <w:p>
      <w:pPr>
        <w:ind w:left="460" w:hanging="459"/>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monthly (98%) and quarterly (2%)</w:t>
      </w:r>
    </w:p>
    <w:p>
      <w:pPr>
        <w:spacing w:after="0" w:line="18" w:lineRule="exact"/>
        <w:rPr>
          <w:rFonts w:ascii="Arial" w:cs="Arial" w:eastAsia="Arial" w:hAnsi="Arial"/>
          <w:sz w:val="16"/>
          <w:szCs w:val="16"/>
          <w:color w:val="auto"/>
        </w:rPr>
      </w:pPr>
    </w:p>
    <w:p>
      <w:pPr>
        <w:ind w:left="460" w:hanging="459"/>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daily (19%) and monthly (81%)</w:t>
      </w:r>
    </w:p>
    <w:p>
      <w:pPr>
        <w:spacing w:after="0" w:line="18" w:lineRule="exact"/>
        <w:rPr>
          <w:rFonts w:ascii="Arial" w:cs="Arial" w:eastAsia="Arial" w:hAnsi="Arial"/>
          <w:sz w:val="16"/>
          <w:szCs w:val="16"/>
          <w:color w:val="auto"/>
        </w:rPr>
      </w:pPr>
    </w:p>
    <w:p>
      <w:pPr>
        <w:ind w:left="460" w:hanging="459"/>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daily (100%)</w:t>
      </w:r>
    </w:p>
    <w:p>
      <w:pPr>
        <w:spacing w:after="0" w:line="18" w:lineRule="exact"/>
        <w:rPr>
          <w:rFonts w:ascii="Arial" w:cs="Arial" w:eastAsia="Arial" w:hAnsi="Arial"/>
          <w:sz w:val="16"/>
          <w:szCs w:val="16"/>
          <w:color w:val="auto"/>
        </w:rPr>
      </w:pPr>
    </w:p>
    <w:p>
      <w:pPr>
        <w:ind w:left="460" w:hanging="459"/>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daily (13%), monthly (60%) and quarterly (27%)</w:t>
      </w:r>
    </w:p>
    <w:p>
      <w:pPr>
        <w:spacing w:after="0" w:line="18" w:lineRule="exact"/>
        <w:rPr>
          <w:rFonts w:ascii="Arial" w:cs="Arial" w:eastAsia="Arial" w:hAnsi="Arial"/>
          <w:sz w:val="16"/>
          <w:szCs w:val="16"/>
          <w:color w:val="auto"/>
        </w:rPr>
      </w:pPr>
    </w:p>
    <w:p>
      <w:pPr>
        <w:ind w:left="460" w:right="60" w:hanging="459"/>
        <w:spacing w:after="0" w:line="288"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Unfunded commitments to private equity investments consolidated but not owned by Lazard of $6,588 are excluded. Such commitments are required to be funded by capital contributions from noncontrolling interest holders.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rPr>
              <w:t>December 31, 2014</w:t>
            </w: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19"/>
        </w:trPr>
        <w:tc>
          <w:tcPr>
            <w:tcW w:w="3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80" w:type="dxa"/>
            <w:vAlign w:val="bottom"/>
            <w:gridSpan w:val="6"/>
          </w:tcPr>
          <w:p>
            <w:pPr>
              <w:jc w:val="center"/>
              <w:ind w:right="200"/>
              <w:spacing w:after="0" w:line="119" w:lineRule="exact"/>
              <w:rPr>
                <w:sz w:val="20"/>
                <w:szCs w:val="20"/>
                <w:color w:val="auto"/>
              </w:rPr>
            </w:pPr>
            <w:r>
              <w:rPr>
                <w:rFonts w:ascii="Arial" w:cs="Arial" w:eastAsia="Arial" w:hAnsi="Arial"/>
                <w:sz w:val="13"/>
                <w:szCs w:val="13"/>
                <w:b w:val="1"/>
                <w:bCs w:val="1"/>
                <w:color w:val="auto"/>
                <w:w w:val="88"/>
              </w:rPr>
              <w:t>Estimated Liquidation Period of</w:t>
            </w: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52"/>
        </w:trPr>
        <w:tc>
          <w:tcPr>
            <w:tcW w:w="3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 of</w:t>
            </w:r>
          </w:p>
        </w:tc>
        <w:tc>
          <w:tcPr>
            <w:tcW w:w="2380" w:type="dxa"/>
            <w:vAlign w:val="bottom"/>
            <w:gridSpan w:val="6"/>
          </w:tcPr>
          <w:p>
            <w:pPr>
              <w:jc w:val="center"/>
              <w:ind w:right="200"/>
              <w:spacing w:after="0"/>
              <w:rPr>
                <w:sz w:val="20"/>
                <w:szCs w:val="20"/>
                <w:color w:val="auto"/>
              </w:rPr>
            </w:pPr>
            <w:r>
              <w:rPr>
                <w:rFonts w:ascii="Arial" w:cs="Arial" w:eastAsia="Arial" w:hAnsi="Arial"/>
                <w:sz w:val="13"/>
                <w:szCs w:val="13"/>
                <w:b w:val="1"/>
                <w:bCs w:val="1"/>
                <w:color w:val="auto"/>
                <w:w w:val="87"/>
              </w:rPr>
              <w:t>Investments Not Redeemable</w:t>
            </w:r>
          </w:p>
        </w:tc>
        <w:tc>
          <w:tcPr>
            <w:tcW w:w="1860" w:type="dxa"/>
            <w:vAlign w:val="bottom"/>
            <w:gridSpan w:val="3"/>
          </w:tcPr>
          <w:p>
            <w:pPr>
              <w:ind w:left="260"/>
              <w:spacing w:after="0"/>
              <w:rPr>
                <w:sz w:val="20"/>
                <w:szCs w:val="20"/>
                <w:color w:val="auto"/>
              </w:rPr>
            </w:pPr>
            <w:r>
              <w:rPr>
                <w:rFonts w:ascii="Arial" w:cs="Arial" w:eastAsia="Arial" w:hAnsi="Arial"/>
                <w:sz w:val="13"/>
                <w:szCs w:val="13"/>
                <w:b w:val="1"/>
                <w:bCs w:val="1"/>
                <w:color w:val="auto"/>
              </w:rPr>
              <w:t>Investments Redeemable</w:t>
            </w:r>
          </w:p>
        </w:tc>
      </w:tr>
      <w:tr>
        <w:trPr>
          <w:trHeight w:val="119"/>
        </w:trPr>
        <w:tc>
          <w:tcPr>
            <w:tcW w:w="3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0"/>
              </w:rPr>
              <w:t>Fair Value</w:t>
            </w:r>
          </w:p>
        </w:tc>
        <w:tc>
          <w:tcPr>
            <w:tcW w:w="5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r>
      <w:tr>
        <w:trPr>
          <w:trHeight w:val="139"/>
        </w:trPr>
        <w:tc>
          <w:tcPr>
            <w:tcW w:w="3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560"/>
              <w:spacing w:after="0" w:line="139" w:lineRule="exact"/>
              <w:rPr>
                <w:sz w:val="20"/>
                <w:szCs w:val="20"/>
                <w:color w:val="auto"/>
              </w:rPr>
            </w:pPr>
            <w:r>
              <w:rPr>
                <w:rFonts w:ascii="Arial" w:cs="Arial" w:eastAsia="Arial" w:hAnsi="Arial"/>
                <w:sz w:val="13"/>
                <w:szCs w:val="13"/>
                <w:b w:val="1"/>
                <w:bCs w:val="1"/>
                <w:color w:val="auto"/>
                <w:w w:val="88"/>
              </w:rPr>
              <w:t>Unfunded</w:t>
            </w:r>
          </w:p>
        </w:tc>
        <w:tc>
          <w:tcPr>
            <w:tcW w:w="900" w:type="dxa"/>
            <w:vAlign w:val="bottom"/>
            <w:gridSpan w:val="2"/>
          </w:tcPr>
          <w:p>
            <w:pPr>
              <w:jc w:val="center"/>
              <w:ind w:right="220"/>
              <w:spacing w:after="0" w:line="139" w:lineRule="exact"/>
              <w:rPr>
                <w:sz w:val="20"/>
                <w:szCs w:val="20"/>
                <w:color w:val="auto"/>
              </w:rPr>
            </w:pPr>
            <w:r>
              <w:rPr>
                <w:rFonts w:ascii="Arial" w:cs="Arial" w:eastAsia="Arial" w:hAnsi="Arial"/>
                <w:sz w:val="13"/>
                <w:szCs w:val="13"/>
                <w:b w:val="1"/>
                <w:bCs w:val="1"/>
                <w:color w:val="auto"/>
                <w:w w:val="92"/>
              </w:rPr>
              <w:t>Not</w:t>
            </w:r>
          </w:p>
        </w:tc>
        <w:tc>
          <w:tcPr>
            <w:tcW w:w="760" w:type="dxa"/>
            <w:vAlign w:val="bottom"/>
            <w:gridSpan w:val="2"/>
          </w:tcPr>
          <w:p>
            <w:pPr>
              <w:jc w:val="center"/>
              <w:ind w:right="220"/>
              <w:spacing w:after="0" w:line="139" w:lineRule="exact"/>
              <w:rPr>
                <w:sz w:val="20"/>
                <w:szCs w:val="20"/>
                <w:color w:val="auto"/>
              </w:rPr>
            </w:pPr>
            <w:r>
              <w:rPr>
                <w:rFonts w:ascii="Arial" w:cs="Arial" w:eastAsia="Arial" w:hAnsi="Arial"/>
                <w:sz w:val="13"/>
                <w:szCs w:val="13"/>
                <w:b w:val="1"/>
                <w:bCs w:val="1"/>
                <w:color w:val="auto"/>
                <w:w w:val="92"/>
              </w:rPr>
              <w:t>Next</w:t>
            </w:r>
          </w:p>
        </w:tc>
        <w:tc>
          <w:tcPr>
            <w:tcW w:w="38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4"/>
              </w:rPr>
              <w:t>5-10</w:t>
            </w:r>
          </w:p>
        </w:tc>
        <w:tc>
          <w:tcPr>
            <w:tcW w:w="240" w:type="dxa"/>
            <w:vAlign w:val="bottom"/>
          </w:tcPr>
          <w:p>
            <w:pPr>
              <w:spacing w:after="0"/>
              <w:rPr>
                <w:sz w:val="12"/>
                <w:szCs w:val="12"/>
                <w:color w:val="auto"/>
              </w:rPr>
            </w:pPr>
          </w:p>
        </w:tc>
        <w:tc>
          <w:tcPr>
            <w:tcW w:w="78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2"/>
                <w:szCs w:val="12"/>
                <w:color w:val="auto"/>
              </w:rPr>
            </w:pPr>
          </w:p>
        </w:tc>
        <w:tc>
          <w:tcPr>
            <w:tcW w:w="1000" w:type="dxa"/>
            <w:vAlign w:val="bottom"/>
            <w:gridSpan w:val="2"/>
          </w:tcPr>
          <w:p>
            <w:pPr>
              <w:ind w:left="20"/>
              <w:spacing w:after="0" w:line="139" w:lineRule="exact"/>
              <w:rPr>
                <w:sz w:val="20"/>
                <w:szCs w:val="20"/>
                <w:color w:val="auto"/>
              </w:rPr>
            </w:pPr>
            <w:r>
              <w:rPr>
                <w:rFonts w:ascii="Arial" w:cs="Arial" w:eastAsia="Arial" w:hAnsi="Arial"/>
                <w:sz w:val="13"/>
                <w:szCs w:val="13"/>
                <w:b w:val="1"/>
                <w:bCs w:val="1"/>
                <w:color w:val="auto"/>
              </w:rPr>
              <w:t>Redemption</w:t>
            </w:r>
          </w:p>
        </w:tc>
        <w:tc>
          <w:tcPr>
            <w:tcW w:w="86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7"/>
              </w:rPr>
              <w:t>Redemption</w:t>
            </w:r>
          </w:p>
        </w:tc>
      </w:tr>
      <w:tr>
        <w:trPr>
          <w:trHeight w:val="152"/>
        </w:trPr>
        <w:tc>
          <w:tcPr>
            <w:tcW w:w="3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b w:val="1"/>
                <w:bCs w:val="1"/>
                <w:color w:val="auto"/>
                <w:w w:val="93"/>
              </w:rPr>
              <w:t>Fair Value</w:t>
            </w:r>
          </w:p>
        </w:tc>
        <w:tc>
          <w:tcPr>
            <w:tcW w:w="320" w:type="dxa"/>
            <w:vAlign w:val="bottom"/>
          </w:tcPr>
          <w:p>
            <w:pPr>
              <w:spacing w:after="0"/>
              <w:rPr>
                <w:sz w:val="13"/>
                <w:szCs w:val="13"/>
                <w:color w:val="auto"/>
              </w:rPr>
            </w:pPr>
          </w:p>
        </w:tc>
        <w:tc>
          <w:tcPr>
            <w:tcW w:w="1220" w:type="dxa"/>
            <w:vAlign w:val="bottom"/>
            <w:gridSpan w:val="3"/>
          </w:tcPr>
          <w:p>
            <w:pPr>
              <w:spacing w:after="0"/>
              <w:rPr>
                <w:sz w:val="20"/>
                <w:szCs w:val="20"/>
                <w:color w:val="auto"/>
              </w:rPr>
            </w:pPr>
            <w:r>
              <w:rPr>
                <w:rFonts w:ascii="Arial" w:cs="Arial" w:eastAsia="Arial" w:hAnsi="Arial"/>
                <w:sz w:val="13"/>
                <w:szCs w:val="13"/>
                <w:b w:val="1"/>
                <w:bCs w:val="1"/>
                <w:color w:val="auto"/>
              </w:rPr>
              <w:t>Commitments</w:t>
            </w: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Redeemable</w:t>
            </w: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2"/>
              </w:rPr>
              <w:t>5 Years</w:t>
            </w:r>
          </w:p>
        </w:tc>
        <w:tc>
          <w:tcPr>
            <w:tcW w:w="6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Years</w:t>
            </w: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Thereafter</w:t>
            </w:r>
          </w:p>
        </w:tc>
        <w:tc>
          <w:tcPr>
            <w:tcW w:w="1000" w:type="dxa"/>
            <w:vAlign w:val="bottom"/>
            <w:gridSpan w:val="2"/>
          </w:tcPr>
          <w:p>
            <w:pPr>
              <w:ind w:left="60"/>
              <w:spacing w:after="0"/>
              <w:rPr>
                <w:sz w:val="20"/>
                <w:szCs w:val="20"/>
                <w:color w:val="auto"/>
              </w:rPr>
            </w:pPr>
            <w:r>
              <w:rPr>
                <w:rFonts w:ascii="Arial" w:cs="Arial" w:eastAsia="Arial" w:hAnsi="Arial"/>
                <w:sz w:val="13"/>
                <w:szCs w:val="13"/>
                <w:b w:val="1"/>
                <w:bCs w:val="1"/>
                <w:color w:val="auto"/>
              </w:rPr>
              <w:t>Frequency</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8"/>
              </w:rPr>
              <w:t>Notice Period</w:t>
            </w:r>
          </w:p>
        </w:tc>
      </w:tr>
      <w:tr>
        <w:trPr>
          <w:trHeight w:val="182"/>
        </w:trPr>
        <w:tc>
          <w:tcPr>
            <w:tcW w:w="30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6"/>
                <w:szCs w:val="16"/>
                <w:color w:val="auto"/>
              </w:rPr>
              <w:t>Alternative investment funds:</w:t>
            </w:r>
          </w:p>
        </w:tc>
        <w:tc>
          <w:tcPr>
            <w:tcW w:w="10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r>
      <w:tr>
        <w:trPr>
          <w:trHeight w:val="202"/>
        </w:trPr>
        <w:tc>
          <w:tcPr>
            <w:tcW w:w="3040" w:type="dxa"/>
            <w:vAlign w:val="bottom"/>
          </w:tcPr>
          <w:p>
            <w:pPr>
              <w:ind w:left="400"/>
              <w:spacing w:after="0"/>
              <w:rPr>
                <w:sz w:val="20"/>
                <w:szCs w:val="20"/>
                <w:color w:val="auto"/>
              </w:rPr>
            </w:pPr>
            <w:r>
              <w:rPr>
                <w:rFonts w:ascii="Arial" w:cs="Arial" w:eastAsia="Arial" w:hAnsi="Arial"/>
                <w:sz w:val="16"/>
                <w:szCs w:val="16"/>
                <w:color w:val="auto"/>
              </w:rPr>
              <w:t>Hedge funds</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31,042</w:t>
            </w:r>
          </w:p>
        </w:tc>
        <w:tc>
          <w:tcPr>
            <w:tcW w:w="420" w:type="dxa"/>
            <w:vAlign w:val="bottom"/>
            <w:gridSpan w:val="2"/>
          </w:tcPr>
          <w:p>
            <w:pPr>
              <w:ind w:left="320"/>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center"/>
              <w:ind w:right="220"/>
              <w:spacing w:after="0"/>
              <w:rPr>
                <w:sz w:val="20"/>
                <w:szCs w:val="20"/>
                <w:color w:val="auto"/>
              </w:rPr>
            </w:pPr>
            <w:r>
              <w:rPr>
                <w:rFonts w:ascii="Arial" w:cs="Arial" w:eastAsia="Arial" w:hAnsi="Arial"/>
                <w:sz w:val="16"/>
                <w:szCs w:val="16"/>
                <w:color w:val="auto"/>
              </w:rPr>
              <w:t>NA</w:t>
            </w:r>
          </w:p>
        </w:tc>
        <w:tc>
          <w:tcPr>
            <w:tcW w:w="760" w:type="dxa"/>
            <w:vAlign w:val="bottom"/>
            <w:gridSpan w:val="2"/>
          </w:tcPr>
          <w:p>
            <w:pPr>
              <w:jc w:val="center"/>
              <w:ind w:right="240"/>
              <w:spacing w:after="0"/>
              <w:rPr>
                <w:sz w:val="20"/>
                <w:szCs w:val="20"/>
                <w:color w:val="auto"/>
              </w:rPr>
            </w:pPr>
            <w:r>
              <w:rPr>
                <w:rFonts w:ascii="Arial" w:cs="Arial" w:eastAsia="Arial" w:hAnsi="Arial"/>
                <w:sz w:val="16"/>
                <w:szCs w:val="16"/>
                <w:color w:val="auto"/>
              </w:rPr>
              <w:t>NA</w:t>
            </w:r>
          </w:p>
        </w:tc>
        <w:tc>
          <w:tcPr>
            <w:tcW w:w="620" w:type="dxa"/>
            <w:vAlign w:val="bottom"/>
            <w:gridSpan w:val="2"/>
          </w:tcPr>
          <w:p>
            <w:pPr>
              <w:jc w:val="center"/>
              <w:ind w:right="240"/>
              <w:spacing w:after="0"/>
              <w:rPr>
                <w:sz w:val="20"/>
                <w:szCs w:val="20"/>
                <w:color w:val="auto"/>
              </w:rPr>
            </w:pPr>
            <w:r>
              <w:rPr>
                <w:rFonts w:ascii="Arial" w:cs="Arial" w:eastAsia="Arial" w:hAnsi="Arial"/>
                <w:sz w:val="16"/>
                <w:szCs w:val="16"/>
                <w:color w:val="auto"/>
                <w:w w:val="98"/>
              </w:rPr>
              <w:t>NA</w:t>
            </w: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color w:val="auto"/>
              </w:rPr>
              <w:t>NA</w:t>
            </w:r>
          </w:p>
        </w:tc>
        <w:tc>
          <w:tcPr>
            <w:tcW w:w="1000" w:type="dxa"/>
            <w:vAlign w:val="bottom"/>
            <w:gridSpan w:val="2"/>
          </w:tcPr>
          <w:p>
            <w:pPr>
              <w:ind w:left="120"/>
              <w:spacing w:after="0"/>
              <w:rPr>
                <w:sz w:val="20"/>
                <w:szCs w:val="20"/>
                <w:color w:val="auto"/>
              </w:rPr>
            </w:pPr>
            <w:r>
              <w:rPr>
                <w:rFonts w:ascii="Arial" w:cs="Arial" w:eastAsia="Arial" w:hAnsi="Arial"/>
                <w:sz w:val="16"/>
                <w:szCs w:val="16"/>
                <w:color w:val="auto"/>
              </w:rPr>
              <w:t>(a)</w:t>
            </w:r>
          </w:p>
        </w:tc>
        <w:tc>
          <w:tcPr>
            <w:tcW w:w="860" w:type="dxa"/>
            <w:vAlign w:val="bottom"/>
          </w:tcPr>
          <w:p>
            <w:pPr>
              <w:jc w:val="center"/>
              <w:spacing w:after="0"/>
              <w:rPr>
                <w:sz w:val="20"/>
                <w:szCs w:val="20"/>
                <w:color w:val="auto"/>
              </w:rPr>
            </w:pPr>
            <w:r>
              <w:rPr>
                <w:rFonts w:ascii="Arial" w:cs="Arial" w:eastAsia="Arial" w:hAnsi="Arial"/>
                <w:sz w:val="16"/>
                <w:szCs w:val="16"/>
                <w:color w:val="auto"/>
                <w:w w:val="92"/>
              </w:rPr>
              <w:t>&lt;30-60 days</w:t>
            </w:r>
          </w:p>
        </w:tc>
      </w:tr>
      <w:tr>
        <w:trPr>
          <w:trHeight w:val="202"/>
        </w:trPr>
        <w:tc>
          <w:tcPr>
            <w:tcW w:w="30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Funds of funds</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rPr>
              <w:t>NA</w:t>
            </w:r>
          </w:p>
        </w:tc>
        <w:tc>
          <w:tcPr>
            <w:tcW w:w="76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rPr>
              <w:t>NA</w:t>
            </w:r>
          </w:p>
        </w:tc>
        <w:tc>
          <w:tcPr>
            <w:tcW w:w="6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8"/>
              </w:rPr>
              <w:t>NA</w:t>
            </w: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rPr>
              <w:t>NA</w:t>
            </w:r>
          </w:p>
        </w:tc>
        <w:tc>
          <w:tcPr>
            <w:tcW w:w="10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(b)</w:t>
            </w: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&lt;30-90 days</w:t>
            </w:r>
          </w:p>
        </w:tc>
      </w:tr>
      <w:tr>
        <w:trPr>
          <w:trHeight w:val="202"/>
        </w:trPr>
        <w:tc>
          <w:tcPr>
            <w:tcW w:w="3040" w:type="dxa"/>
            <w:vAlign w:val="bottom"/>
          </w:tcPr>
          <w:p>
            <w:pPr>
              <w:ind w:left="400"/>
              <w:spacing w:after="0"/>
              <w:rPr>
                <w:sz w:val="20"/>
                <w:szCs w:val="20"/>
                <w:color w:val="auto"/>
              </w:rPr>
            </w:pPr>
            <w:r>
              <w:rPr>
                <w:rFonts w:ascii="Arial" w:cs="Arial" w:eastAsia="Arial" w:hAnsi="Arial"/>
                <w:sz w:val="16"/>
                <w:szCs w:val="16"/>
                <w:color w:val="auto"/>
              </w:rPr>
              <w:t>Other</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3,188</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center"/>
              <w:ind w:right="220"/>
              <w:spacing w:after="0"/>
              <w:rPr>
                <w:sz w:val="20"/>
                <w:szCs w:val="20"/>
                <w:color w:val="auto"/>
              </w:rPr>
            </w:pPr>
            <w:r>
              <w:rPr>
                <w:rFonts w:ascii="Arial" w:cs="Arial" w:eastAsia="Arial" w:hAnsi="Arial"/>
                <w:sz w:val="16"/>
                <w:szCs w:val="16"/>
                <w:color w:val="auto"/>
              </w:rPr>
              <w:t>NA</w:t>
            </w:r>
          </w:p>
        </w:tc>
        <w:tc>
          <w:tcPr>
            <w:tcW w:w="760" w:type="dxa"/>
            <w:vAlign w:val="bottom"/>
            <w:gridSpan w:val="2"/>
          </w:tcPr>
          <w:p>
            <w:pPr>
              <w:jc w:val="center"/>
              <w:ind w:right="240"/>
              <w:spacing w:after="0"/>
              <w:rPr>
                <w:sz w:val="20"/>
                <w:szCs w:val="20"/>
                <w:color w:val="auto"/>
              </w:rPr>
            </w:pPr>
            <w:r>
              <w:rPr>
                <w:rFonts w:ascii="Arial" w:cs="Arial" w:eastAsia="Arial" w:hAnsi="Arial"/>
                <w:sz w:val="16"/>
                <w:szCs w:val="16"/>
                <w:color w:val="auto"/>
              </w:rPr>
              <w:t>NA</w:t>
            </w:r>
          </w:p>
        </w:tc>
        <w:tc>
          <w:tcPr>
            <w:tcW w:w="620" w:type="dxa"/>
            <w:vAlign w:val="bottom"/>
            <w:gridSpan w:val="2"/>
          </w:tcPr>
          <w:p>
            <w:pPr>
              <w:jc w:val="center"/>
              <w:ind w:right="240"/>
              <w:spacing w:after="0"/>
              <w:rPr>
                <w:sz w:val="20"/>
                <w:szCs w:val="20"/>
                <w:color w:val="auto"/>
              </w:rPr>
            </w:pPr>
            <w:r>
              <w:rPr>
                <w:rFonts w:ascii="Arial" w:cs="Arial" w:eastAsia="Arial" w:hAnsi="Arial"/>
                <w:sz w:val="16"/>
                <w:szCs w:val="16"/>
                <w:color w:val="auto"/>
                <w:w w:val="98"/>
              </w:rPr>
              <w:t>NA</w:t>
            </w: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color w:val="auto"/>
              </w:rPr>
              <w:t>NA</w:t>
            </w:r>
          </w:p>
        </w:tc>
        <w:tc>
          <w:tcPr>
            <w:tcW w:w="1000" w:type="dxa"/>
            <w:vAlign w:val="bottom"/>
            <w:gridSpan w:val="2"/>
          </w:tcPr>
          <w:p>
            <w:pPr>
              <w:ind w:left="120"/>
              <w:spacing w:after="0"/>
              <w:rPr>
                <w:sz w:val="20"/>
                <w:szCs w:val="20"/>
                <w:color w:val="auto"/>
              </w:rPr>
            </w:pPr>
            <w:r>
              <w:rPr>
                <w:rFonts w:ascii="Arial" w:cs="Arial" w:eastAsia="Arial" w:hAnsi="Arial"/>
                <w:sz w:val="16"/>
                <w:szCs w:val="16"/>
                <w:color w:val="auto"/>
              </w:rPr>
              <w:t>(c)</w:t>
            </w:r>
          </w:p>
        </w:tc>
        <w:tc>
          <w:tcPr>
            <w:tcW w:w="860" w:type="dxa"/>
            <w:vAlign w:val="bottom"/>
          </w:tcPr>
          <w:p>
            <w:pPr>
              <w:jc w:val="center"/>
              <w:spacing w:after="0"/>
              <w:rPr>
                <w:sz w:val="20"/>
                <w:szCs w:val="20"/>
                <w:color w:val="auto"/>
              </w:rPr>
            </w:pPr>
            <w:r>
              <w:rPr>
                <w:rFonts w:ascii="Arial" w:cs="Arial" w:eastAsia="Arial" w:hAnsi="Arial"/>
                <w:sz w:val="16"/>
                <w:szCs w:val="16"/>
                <w:color w:val="auto"/>
                <w:w w:val="92"/>
              </w:rPr>
              <w:t>&lt;30-60 days</w:t>
            </w:r>
          </w:p>
        </w:tc>
      </w:tr>
      <w:tr>
        <w:trPr>
          <w:trHeight w:val="202"/>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Debt funds</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rPr>
              <w:t>NA</w:t>
            </w:r>
          </w:p>
        </w:tc>
        <w:tc>
          <w:tcPr>
            <w:tcW w:w="76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rPr>
              <w:t>NA</w:t>
            </w:r>
          </w:p>
        </w:tc>
        <w:tc>
          <w:tcPr>
            <w:tcW w:w="6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8"/>
              </w:rPr>
              <w:t>NA</w:t>
            </w: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rPr>
              <w:t>NA</w:t>
            </w:r>
          </w:p>
        </w:tc>
        <w:tc>
          <w:tcPr>
            <w:tcW w:w="10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w:t>
            </w:r>
          </w:p>
        </w:tc>
        <w:tc>
          <w:tcPr>
            <w:tcW w:w="860" w:type="dxa"/>
            <w:vAlign w:val="bottom"/>
            <w:shd w:val="clear" w:color="auto" w:fill="CCEEFF"/>
          </w:tcPr>
          <w:p>
            <w:pPr>
              <w:spacing w:after="0"/>
              <w:rPr>
                <w:sz w:val="20"/>
                <w:szCs w:val="20"/>
                <w:color w:val="auto"/>
              </w:rPr>
            </w:pPr>
            <w:r>
              <w:rPr>
                <w:rFonts w:ascii="Arial" w:cs="Arial" w:eastAsia="Arial" w:hAnsi="Arial"/>
                <w:sz w:val="16"/>
                <w:szCs w:val="16"/>
                <w:color w:val="auto"/>
              </w:rPr>
              <w:t>30 days</w:t>
            </w:r>
          </w:p>
        </w:tc>
      </w:tr>
      <w:tr>
        <w:trPr>
          <w:trHeight w:val="202"/>
        </w:trPr>
        <w:tc>
          <w:tcPr>
            <w:tcW w:w="3040" w:type="dxa"/>
            <w:vAlign w:val="bottom"/>
          </w:tcPr>
          <w:p>
            <w:pPr>
              <w:spacing w:after="0"/>
              <w:rPr>
                <w:sz w:val="20"/>
                <w:szCs w:val="20"/>
                <w:color w:val="auto"/>
              </w:rPr>
            </w:pPr>
            <w:r>
              <w:rPr>
                <w:rFonts w:ascii="Arial" w:cs="Arial" w:eastAsia="Arial" w:hAnsi="Arial"/>
                <w:sz w:val="16"/>
                <w:szCs w:val="16"/>
                <w:color w:val="auto"/>
              </w:rPr>
              <w:t>Equity funds</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43</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center"/>
              <w:ind w:right="220"/>
              <w:spacing w:after="0"/>
              <w:rPr>
                <w:sz w:val="20"/>
                <w:szCs w:val="20"/>
                <w:color w:val="auto"/>
              </w:rPr>
            </w:pPr>
            <w:r>
              <w:rPr>
                <w:rFonts w:ascii="Arial" w:cs="Arial" w:eastAsia="Arial" w:hAnsi="Arial"/>
                <w:sz w:val="16"/>
                <w:szCs w:val="16"/>
                <w:color w:val="auto"/>
              </w:rPr>
              <w:t>NA</w:t>
            </w:r>
          </w:p>
        </w:tc>
        <w:tc>
          <w:tcPr>
            <w:tcW w:w="760" w:type="dxa"/>
            <w:vAlign w:val="bottom"/>
            <w:gridSpan w:val="2"/>
          </w:tcPr>
          <w:p>
            <w:pPr>
              <w:jc w:val="center"/>
              <w:ind w:right="240"/>
              <w:spacing w:after="0"/>
              <w:rPr>
                <w:sz w:val="20"/>
                <w:szCs w:val="20"/>
                <w:color w:val="auto"/>
              </w:rPr>
            </w:pPr>
            <w:r>
              <w:rPr>
                <w:rFonts w:ascii="Arial" w:cs="Arial" w:eastAsia="Arial" w:hAnsi="Arial"/>
                <w:sz w:val="16"/>
                <w:szCs w:val="16"/>
                <w:color w:val="auto"/>
              </w:rPr>
              <w:t>NA</w:t>
            </w:r>
          </w:p>
        </w:tc>
        <w:tc>
          <w:tcPr>
            <w:tcW w:w="620" w:type="dxa"/>
            <w:vAlign w:val="bottom"/>
            <w:gridSpan w:val="2"/>
          </w:tcPr>
          <w:p>
            <w:pPr>
              <w:jc w:val="center"/>
              <w:ind w:right="240"/>
              <w:spacing w:after="0"/>
              <w:rPr>
                <w:sz w:val="20"/>
                <w:szCs w:val="20"/>
                <w:color w:val="auto"/>
              </w:rPr>
            </w:pPr>
            <w:r>
              <w:rPr>
                <w:rFonts w:ascii="Arial" w:cs="Arial" w:eastAsia="Arial" w:hAnsi="Arial"/>
                <w:sz w:val="16"/>
                <w:szCs w:val="16"/>
                <w:color w:val="auto"/>
                <w:w w:val="98"/>
              </w:rPr>
              <w:t>NA</w:t>
            </w: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color w:val="auto"/>
              </w:rPr>
              <w:t>NA</w:t>
            </w:r>
          </w:p>
        </w:tc>
        <w:tc>
          <w:tcPr>
            <w:tcW w:w="1000" w:type="dxa"/>
            <w:vAlign w:val="bottom"/>
            <w:gridSpan w:val="2"/>
          </w:tcPr>
          <w:p>
            <w:pPr>
              <w:ind w:left="120"/>
              <w:spacing w:after="0"/>
              <w:rPr>
                <w:sz w:val="20"/>
                <w:szCs w:val="20"/>
                <w:color w:val="auto"/>
              </w:rPr>
            </w:pPr>
            <w:r>
              <w:rPr>
                <w:rFonts w:ascii="Arial" w:cs="Arial" w:eastAsia="Arial" w:hAnsi="Arial"/>
                <w:sz w:val="16"/>
                <w:szCs w:val="16"/>
                <w:color w:val="auto"/>
              </w:rPr>
              <w:t>(e)</w:t>
            </w:r>
          </w:p>
        </w:tc>
        <w:tc>
          <w:tcPr>
            <w:tcW w:w="860" w:type="dxa"/>
            <w:vAlign w:val="bottom"/>
          </w:tcPr>
          <w:p>
            <w:pPr>
              <w:spacing w:after="0"/>
              <w:rPr>
                <w:sz w:val="20"/>
                <w:szCs w:val="20"/>
                <w:color w:val="auto"/>
              </w:rPr>
            </w:pPr>
            <w:r>
              <w:rPr>
                <w:rFonts w:ascii="Arial" w:cs="Arial" w:eastAsia="Arial" w:hAnsi="Arial"/>
                <w:sz w:val="16"/>
                <w:szCs w:val="16"/>
                <w:color w:val="auto"/>
              </w:rPr>
              <w:t>30-90 days</w:t>
            </w:r>
          </w:p>
        </w:tc>
      </w:tr>
      <w:tr>
        <w:trPr>
          <w:trHeight w:val="202"/>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Private equity funds:</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2"/>
        </w:trPr>
        <w:tc>
          <w:tcPr>
            <w:tcW w:w="3040" w:type="dxa"/>
            <w:vAlign w:val="bottom"/>
          </w:tcPr>
          <w:p>
            <w:pPr>
              <w:ind w:left="400"/>
              <w:spacing w:after="0"/>
              <w:rPr>
                <w:sz w:val="20"/>
                <w:szCs w:val="20"/>
                <w:color w:val="auto"/>
              </w:rPr>
            </w:pPr>
            <w:r>
              <w:rPr>
                <w:rFonts w:ascii="Arial" w:cs="Arial" w:eastAsia="Arial" w:hAnsi="Arial"/>
                <w:sz w:val="16"/>
                <w:szCs w:val="16"/>
                <w:color w:val="auto"/>
              </w:rPr>
              <w:t>Equity growth</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75,578</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18,676(f)</w:t>
            </w:r>
          </w:p>
        </w:tc>
        <w:tc>
          <w:tcPr>
            <w:tcW w:w="68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22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w w:val="93"/>
              </w:rPr>
              <w:t>10%</w:t>
            </w:r>
          </w:p>
        </w:tc>
        <w:tc>
          <w:tcPr>
            <w:tcW w:w="240" w:type="dxa"/>
            <w:vAlign w:val="bottom"/>
          </w:tcPr>
          <w:p>
            <w:pPr>
              <w:spacing w:after="0"/>
              <w:rPr>
                <w:sz w:val="17"/>
                <w:szCs w:val="17"/>
                <w:color w:val="auto"/>
              </w:rPr>
            </w:pPr>
          </w:p>
        </w:tc>
        <w:tc>
          <w:tcPr>
            <w:tcW w:w="380" w:type="dxa"/>
            <w:vAlign w:val="bottom"/>
          </w:tcPr>
          <w:p>
            <w:pPr>
              <w:jc w:val="center"/>
              <w:spacing w:after="0"/>
              <w:rPr>
                <w:sz w:val="20"/>
                <w:szCs w:val="20"/>
                <w:color w:val="auto"/>
              </w:rPr>
            </w:pPr>
            <w:r>
              <w:rPr>
                <w:rFonts w:ascii="Arial" w:cs="Arial" w:eastAsia="Arial" w:hAnsi="Arial"/>
                <w:sz w:val="16"/>
                <w:szCs w:val="16"/>
                <w:color w:val="auto"/>
                <w:w w:val="93"/>
              </w:rPr>
              <w:t>63%</w:t>
            </w:r>
          </w:p>
        </w:tc>
        <w:tc>
          <w:tcPr>
            <w:tcW w:w="24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93"/>
              </w:rPr>
              <w:t>27%</w:t>
            </w:r>
          </w:p>
        </w:tc>
        <w:tc>
          <w:tcPr>
            <w:tcW w:w="220" w:type="dxa"/>
            <w:vAlign w:val="bottom"/>
          </w:tcPr>
          <w:p>
            <w:pPr>
              <w:spacing w:after="0"/>
              <w:rPr>
                <w:sz w:val="17"/>
                <w:szCs w:val="17"/>
                <w:color w:val="auto"/>
              </w:rPr>
            </w:pPr>
          </w:p>
        </w:tc>
        <w:tc>
          <w:tcPr>
            <w:tcW w:w="1000" w:type="dxa"/>
            <w:vAlign w:val="bottom"/>
            <w:gridSpan w:val="2"/>
          </w:tcPr>
          <w:p>
            <w:pPr>
              <w:ind w:left="460"/>
              <w:spacing w:after="0"/>
              <w:rPr>
                <w:sz w:val="20"/>
                <w:szCs w:val="20"/>
                <w:color w:val="auto"/>
              </w:rPr>
            </w:pPr>
            <w:r>
              <w:rPr>
                <w:rFonts w:ascii="Arial" w:cs="Arial" w:eastAsia="Arial" w:hAnsi="Arial"/>
                <w:sz w:val="16"/>
                <w:szCs w:val="16"/>
                <w:color w:val="auto"/>
              </w:rPr>
              <w:t>NA</w:t>
            </w:r>
          </w:p>
        </w:tc>
        <w:tc>
          <w:tcPr>
            <w:tcW w:w="860" w:type="dxa"/>
            <w:vAlign w:val="bottom"/>
          </w:tcPr>
          <w:p>
            <w:pPr>
              <w:jc w:val="center"/>
              <w:spacing w:after="0"/>
              <w:rPr>
                <w:sz w:val="20"/>
                <w:szCs w:val="20"/>
                <w:color w:val="auto"/>
              </w:rPr>
            </w:pPr>
            <w:r>
              <w:rPr>
                <w:rFonts w:ascii="Arial" w:cs="Arial" w:eastAsia="Arial" w:hAnsi="Arial"/>
                <w:sz w:val="16"/>
                <w:szCs w:val="16"/>
                <w:color w:val="auto"/>
              </w:rPr>
              <w:t>NA</w:t>
            </w:r>
          </w:p>
        </w:tc>
      </w:tr>
      <w:tr>
        <w:trPr>
          <w:trHeight w:val="202"/>
        </w:trPr>
        <w:tc>
          <w:tcPr>
            <w:tcW w:w="30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Mezzanine debt</w:t>
            </w:r>
          </w:p>
        </w:tc>
        <w:tc>
          <w:tcPr>
            <w:tcW w:w="10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38,892</w:t>
            </w: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100%</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NA</w:t>
            </w: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r>
      <w:tr>
        <w:trPr>
          <w:trHeight w:val="206"/>
        </w:trPr>
        <w:tc>
          <w:tcPr>
            <w:tcW w:w="3040" w:type="dxa"/>
            <w:vAlign w:val="bottom"/>
          </w:tcPr>
          <w:p>
            <w:pPr>
              <w:spacing w:after="0"/>
              <w:rPr>
                <w:sz w:val="20"/>
                <w:szCs w:val="20"/>
                <w:color w:val="auto"/>
              </w:rPr>
            </w:pPr>
            <w:r>
              <w:rPr>
                <w:rFonts w:ascii="Arial" w:cs="Arial" w:eastAsia="Arial" w:hAnsi="Arial"/>
                <w:sz w:val="16"/>
                <w:szCs w:val="16"/>
                <w:color w:val="auto"/>
              </w:rPr>
              <w:t>Total</w:t>
            </w:r>
          </w:p>
        </w:tc>
        <w:tc>
          <w:tcPr>
            <w:tcW w:w="116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149,222</w:t>
            </w:r>
          </w:p>
        </w:tc>
        <w:tc>
          <w:tcPr>
            <w:tcW w:w="420" w:type="dxa"/>
            <w:vAlign w:val="bottom"/>
            <w:gridSpan w:val="2"/>
          </w:tcPr>
          <w:p>
            <w:pPr>
              <w:ind w:left="32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18,676</w:t>
            </w: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
        </w:trPr>
        <w:tc>
          <w:tcPr>
            <w:tcW w:w="3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31"/>
        </w:trPr>
        <w:tc>
          <w:tcPr>
            <w:tcW w:w="3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w:t>
            </w: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440" w:right="23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LAZARD LTD</w:t>
      </w:r>
    </w:p>
    <w:p>
      <w:pPr>
        <w:spacing w:after="0" w:line="94"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auto"/>
        </w:rPr>
        <w:t>NOTES TO CONDENSED CONSOLIDATED FINANCIAL STATEMENTS—(Continued)</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(UNAUDITED)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(dollars in thousands, except for per share data,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165735</wp:posOffset>
            </wp:positionV>
            <wp:extent cx="7232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271" w:lineRule="exact"/>
        <w:rPr>
          <w:sz w:val="20"/>
          <w:szCs w:val="20"/>
          <w:color w:val="auto"/>
        </w:rPr>
      </w:pPr>
    </w:p>
    <w:p>
      <w:pPr>
        <w:ind w:left="460" w:hanging="459"/>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weekly (15%), monthly (66%) and quarterly (19%)</w:t>
      </w:r>
    </w:p>
    <w:p>
      <w:pPr>
        <w:spacing w:after="0" w:line="24" w:lineRule="exact"/>
        <w:rPr>
          <w:rFonts w:ascii="Arial" w:cs="Arial" w:eastAsia="Arial" w:hAnsi="Arial"/>
          <w:sz w:val="16"/>
          <w:szCs w:val="16"/>
          <w:color w:val="auto"/>
        </w:rPr>
      </w:pPr>
    </w:p>
    <w:p>
      <w:pPr>
        <w:ind w:left="460" w:hanging="459"/>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monthly (98%) and quarterly (2%)</w:t>
      </w:r>
    </w:p>
    <w:p>
      <w:pPr>
        <w:spacing w:after="0" w:line="18" w:lineRule="exact"/>
        <w:rPr>
          <w:rFonts w:ascii="Arial" w:cs="Arial" w:eastAsia="Arial" w:hAnsi="Arial"/>
          <w:sz w:val="16"/>
          <w:szCs w:val="16"/>
          <w:color w:val="auto"/>
        </w:rPr>
      </w:pPr>
    </w:p>
    <w:p>
      <w:pPr>
        <w:ind w:left="460" w:hanging="459"/>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daily (11%), weekly (3%) and monthly (86%)</w:t>
      </w:r>
    </w:p>
    <w:p>
      <w:pPr>
        <w:spacing w:after="0" w:line="18" w:lineRule="exact"/>
        <w:rPr>
          <w:rFonts w:ascii="Arial" w:cs="Arial" w:eastAsia="Arial" w:hAnsi="Arial"/>
          <w:sz w:val="16"/>
          <w:szCs w:val="16"/>
          <w:color w:val="auto"/>
        </w:rPr>
      </w:pPr>
    </w:p>
    <w:p>
      <w:pPr>
        <w:ind w:left="460" w:hanging="459"/>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daily (100%)</w:t>
      </w:r>
    </w:p>
    <w:p>
      <w:pPr>
        <w:spacing w:after="0" w:line="18" w:lineRule="exact"/>
        <w:rPr>
          <w:rFonts w:ascii="Arial" w:cs="Arial" w:eastAsia="Arial" w:hAnsi="Arial"/>
          <w:sz w:val="16"/>
          <w:szCs w:val="16"/>
          <w:color w:val="auto"/>
        </w:rPr>
      </w:pPr>
    </w:p>
    <w:p>
      <w:pPr>
        <w:ind w:left="460" w:hanging="459"/>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daily (14%), monthly (58%) and quarterly (28%)</w:t>
      </w:r>
    </w:p>
    <w:p>
      <w:pPr>
        <w:spacing w:after="0" w:line="18" w:lineRule="exact"/>
        <w:rPr>
          <w:rFonts w:ascii="Arial" w:cs="Arial" w:eastAsia="Arial" w:hAnsi="Arial"/>
          <w:sz w:val="16"/>
          <w:szCs w:val="16"/>
          <w:color w:val="auto"/>
        </w:rPr>
      </w:pPr>
    </w:p>
    <w:p>
      <w:pPr>
        <w:ind w:left="460" w:right="40" w:hanging="459"/>
        <w:spacing w:after="0" w:line="288"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Unfunded commitments to private equity investments consolidated but not owned by Lazard of $6,888 are excluded. Such commitments are required to be funded by capital contributions from noncontrolling interest holders.</w:t>
      </w:r>
    </w:p>
    <w:p>
      <w:pPr>
        <w:spacing w:after="0" w:line="109"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5"/>
          <w:szCs w:val="15"/>
          <w:color w:val="auto"/>
        </w:rPr>
        <w:t>See Note 4 of Notes to Condensed Consolidated Financial Statements for discussion of significant investment strategies for investments with value based on NAV.</w:t>
      </w:r>
    </w:p>
    <w:p>
      <w:pPr>
        <w:spacing w:after="0" w:line="182" w:lineRule="exact"/>
        <w:rPr>
          <w:sz w:val="20"/>
          <w:szCs w:val="20"/>
          <w:color w:val="auto"/>
        </w:rPr>
      </w:pPr>
    </w:p>
    <w:p>
      <w:pPr>
        <w:ind w:right="20" w:firstLine="457"/>
        <w:spacing w:after="0" w:line="290" w:lineRule="auto"/>
        <w:rPr>
          <w:sz w:val="20"/>
          <w:szCs w:val="20"/>
          <w:color w:val="auto"/>
        </w:rPr>
      </w:pPr>
      <w:r>
        <w:rPr>
          <w:rFonts w:ascii="Arial" w:cs="Arial" w:eastAsia="Arial" w:hAnsi="Arial"/>
          <w:sz w:val="15"/>
          <w:szCs w:val="15"/>
          <w:b w:val="1"/>
          <w:bCs w:val="1"/>
          <w:i w:val="1"/>
          <w:iCs w:val="1"/>
          <w:color w:val="auto"/>
        </w:rPr>
        <w:t>Investment Capital Funding Commitments—</w:t>
      </w:r>
      <w:r>
        <w:rPr>
          <w:rFonts w:ascii="Arial" w:cs="Arial" w:eastAsia="Arial" w:hAnsi="Arial"/>
          <w:sz w:val="15"/>
          <w:szCs w:val="15"/>
          <w:color w:val="auto"/>
        </w:rPr>
        <w:t>At June 30, 2015, the Company’s maximum unfunded commitments for capital contributions to investment funds arose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from (i) commitments to CP II, which amounted to $570 for potential “follow-on investments” and/or for fund expenses through the earlier of February 25, 2017 or the liquidation of the fund, (ii) commitments to EGCP III, which amounted to $12,036, through the earlier of October 12, 2016 (</w:t>
      </w:r>
      <w:r>
        <w:rPr>
          <w:rFonts w:ascii="Arial" w:cs="Arial" w:eastAsia="Arial" w:hAnsi="Arial"/>
          <w:sz w:val="15"/>
          <w:szCs w:val="15"/>
          <w:i w:val="1"/>
          <w:iCs w:val="1"/>
          <w:color w:val="auto"/>
        </w:rPr>
        <w:t>i.e</w:t>
      </w:r>
      <w:r>
        <w:rPr>
          <w:rFonts w:ascii="Arial" w:cs="Arial" w:eastAsia="Arial" w:hAnsi="Arial"/>
          <w:sz w:val="15"/>
          <w:szCs w:val="15"/>
          <w:color w:val="auto"/>
        </w:rPr>
        <w:t>., the end of the investment period) for investments and/or expenses (with a portion of the undrawn amount of such commitments as of that date remaining committed until October 12, 2023 in respect of “follow-on investments” and/or fund expenses) or the liquidation of the fund and (iii) commitments to COF2, which amounted to $4,192, through the earlier of November 11, 2016 (</w:t>
      </w:r>
      <w:r>
        <w:rPr>
          <w:rFonts w:ascii="Arial" w:cs="Arial" w:eastAsia="Arial" w:hAnsi="Arial"/>
          <w:sz w:val="15"/>
          <w:szCs w:val="15"/>
          <w:i w:val="1"/>
          <w:iCs w:val="1"/>
          <w:color w:val="auto"/>
        </w:rPr>
        <w:t>i.e</w:t>
      </w:r>
      <w:r>
        <w:rPr>
          <w:rFonts w:ascii="Arial" w:cs="Arial" w:eastAsia="Arial" w:hAnsi="Arial"/>
          <w:sz w:val="15"/>
          <w:szCs w:val="15"/>
          <w:color w:val="auto"/>
        </w:rPr>
        <w:t>., the end of the investment period) for investments and/or fund expenses (with a portion of the undrawn amount of such commitments as of that date remaining committed until November 11, 2019 in respect of “follow-on investments” and/or fund expenses) or the liquidation of the fund.</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July 2015, our commitments to COF2 were reduced to approximately $230.</w:t>
      </w:r>
    </w:p>
    <w:p>
      <w:pPr>
        <w:spacing w:after="0" w:line="284" w:lineRule="exact"/>
        <w:rPr>
          <w:sz w:val="20"/>
          <w:szCs w:val="20"/>
          <w:color w:val="auto"/>
        </w:rPr>
      </w:pPr>
    </w:p>
    <w:p>
      <w:pPr>
        <w:ind w:left="460" w:hanging="459"/>
        <w:spacing w:after="0"/>
        <w:tabs>
          <w:tab w:leader="none" w:pos="460" w:val="left"/>
        </w:tabs>
        <w:numPr>
          <w:ilvl w:val="0"/>
          <w:numId w:val="1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DERIVATIVES</w:t>
      </w:r>
    </w:p>
    <w:p>
      <w:pPr>
        <w:spacing w:after="0" w:line="94" w:lineRule="exact"/>
        <w:rPr>
          <w:sz w:val="20"/>
          <w:szCs w:val="20"/>
          <w:color w:val="auto"/>
        </w:rPr>
      </w:pPr>
    </w:p>
    <w:p>
      <w:pPr>
        <w:ind w:right="60" w:firstLine="457"/>
        <w:spacing w:after="0" w:line="291" w:lineRule="auto"/>
        <w:rPr>
          <w:sz w:val="20"/>
          <w:szCs w:val="20"/>
          <w:color w:val="auto"/>
        </w:rPr>
      </w:pPr>
      <w:r>
        <w:rPr>
          <w:rFonts w:ascii="Arial" w:cs="Arial" w:eastAsia="Arial" w:hAnsi="Arial"/>
          <w:sz w:val="15"/>
          <w:szCs w:val="15"/>
          <w:color w:val="auto"/>
        </w:rPr>
        <w:t>The Company enters into forward foreign currency exchange rate contracts, interest rate swaps, interest rate futures, total return swap contracts on various equity and debt indices and other derivative contracts to economically hedge exposures to fluctuations in currency exchange rates, interest rates and equity and debt prices.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condensed consolidated statements of financial condition. Gains and losses on the Company’s derivative instruments not designated as hedging instruments are included in “interest income” and “interest expense”, respectively, or “revenue-other”, depending on the nature of the underlying item, in the condensed consolidated statements of operations.</w:t>
      </w:r>
    </w:p>
    <w:p>
      <w:pPr>
        <w:spacing w:after="0" w:line="112" w:lineRule="exact"/>
        <w:rPr>
          <w:sz w:val="20"/>
          <w:szCs w:val="20"/>
          <w:color w:val="auto"/>
        </w:rPr>
      </w:pPr>
    </w:p>
    <w:p>
      <w:pPr>
        <w:ind w:firstLine="457"/>
        <w:spacing w:after="0" w:line="270" w:lineRule="auto"/>
        <w:rPr>
          <w:sz w:val="20"/>
          <w:szCs w:val="20"/>
          <w:color w:val="auto"/>
        </w:rPr>
      </w:pPr>
      <w:r>
        <w:rPr>
          <w:rFonts w:ascii="Arial" w:cs="Arial" w:eastAsia="Arial" w:hAnsi="Arial"/>
          <w:sz w:val="16"/>
          <w:szCs w:val="16"/>
          <w:color w:val="auto"/>
        </w:rPr>
        <w:t>In addition to the derivative instruments described above, the Company records derivative liabilities relating to its obligations pertaining to LFI and other similar deferred compensation arrangements, the fair value of which is based on the value of the underlying investments, adjusted for estimated forfeitures, and is included in “accrued compensation and benefits” in the condensed consolidated statements of financial condition. Changes in the fair value of the derivative liabilities are included in “compensation and benefits” in the condensed consolidated statements of operations, the impact of which equally offsets the changes in the fair value of investments which are currently expected to be delivered upon settlement of LFI and other similar deferred compensation arrangements, which are reported in “revenue-other” in the condensed consolidated statements of operations.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00"/>
          </w:cols>
          <w:pgMar w:left="240" w:top="440" w:right="25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LAZARD LTD</w:t>
      </w:r>
    </w:p>
    <w:p>
      <w:pPr>
        <w:spacing w:after="0" w:line="94"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auto"/>
        </w:rPr>
        <w:t>NOTES TO CONDENSED CONSOLIDATED FINANCIAL STATEMENTS—(Continued)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except for per share data, unless otherwise noted)</w:t>
      </w:r>
    </w:p>
    <w:p>
      <w:pPr>
        <w:spacing w:after="0" w:line="152" w:lineRule="exact"/>
        <w:rPr>
          <w:sz w:val="20"/>
          <w:szCs w:val="20"/>
          <w:color w:val="auto"/>
        </w:rPr>
      </w:pPr>
    </w:p>
    <w:p>
      <w:pPr>
        <w:jc w:val="both"/>
        <w:ind w:right="420" w:firstLine="457"/>
        <w:spacing w:after="0" w:line="306" w:lineRule="auto"/>
        <w:rPr>
          <w:sz w:val="20"/>
          <w:szCs w:val="20"/>
          <w:color w:val="auto"/>
        </w:rPr>
      </w:pPr>
      <w:r>
        <w:rPr>
          <w:rFonts w:ascii="Arial" w:cs="Arial" w:eastAsia="Arial" w:hAnsi="Arial"/>
          <w:sz w:val="15"/>
          <w:szCs w:val="15"/>
          <w:color w:val="auto"/>
        </w:rPr>
        <w:t>The tables below present the fair values of the Company’s derivative instruments reported within “other assets” and “other liabilities” and the fair values of the Company’s derivative liabilities relating to its obligations pertaining to LFI and other similar deferred compensation arrangements (see Note 12 of Notes to Condensed Consolidated Financial Statements) on the accompanying condensed consolidated statements of financial condition as of June 30, 2015 and December 31, 2014:</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8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22"/>
              <w:spacing w:after="0"/>
              <w:rPr>
                <w:sz w:val="20"/>
                <w:szCs w:val="20"/>
                <w:color w:val="auto"/>
              </w:rPr>
            </w:pPr>
            <w:r>
              <w:rPr>
                <w:rFonts w:ascii="Arial" w:cs="Arial" w:eastAsia="Arial" w:hAnsi="Arial"/>
                <w:sz w:val="13"/>
                <w:szCs w:val="13"/>
                <w:b w:val="1"/>
                <w:bCs w:val="1"/>
                <w:color w:val="auto"/>
                <w:w w:val="84"/>
              </w:rPr>
              <w:t>June 30,</w:t>
            </w:r>
          </w:p>
        </w:tc>
        <w:tc>
          <w:tcPr>
            <w:tcW w:w="320" w:type="dxa"/>
            <w:vAlign w:val="bottom"/>
          </w:tcPr>
          <w:p>
            <w:pPr>
              <w:spacing w:after="0"/>
              <w:rPr>
                <w:sz w:val="13"/>
                <w:szCs w:val="13"/>
                <w:color w:val="auto"/>
              </w:rPr>
            </w:pPr>
          </w:p>
        </w:tc>
        <w:tc>
          <w:tcPr>
            <w:tcW w:w="860" w:type="dxa"/>
            <w:vAlign w:val="bottom"/>
            <w:gridSpan w:val="3"/>
          </w:tcPr>
          <w:p>
            <w:pPr>
              <w:ind w:left="20"/>
              <w:spacing w:after="0"/>
              <w:rPr>
                <w:sz w:val="20"/>
                <w:szCs w:val="20"/>
                <w:color w:val="auto"/>
              </w:rPr>
            </w:pPr>
            <w:r>
              <w:rPr>
                <w:rFonts w:ascii="Arial" w:cs="Arial" w:eastAsia="Arial" w:hAnsi="Arial"/>
                <w:sz w:val="13"/>
                <w:szCs w:val="13"/>
                <w:b w:val="1"/>
                <w:bCs w:val="1"/>
                <w:color w:val="auto"/>
                <w:w w:val="96"/>
              </w:rPr>
              <w:t>December 31,</w:t>
            </w:r>
          </w:p>
        </w:tc>
        <w:tc>
          <w:tcPr>
            <w:tcW w:w="0" w:type="dxa"/>
            <w:vAlign w:val="bottom"/>
          </w:tcPr>
          <w:p>
            <w:pPr>
              <w:spacing w:after="0"/>
              <w:rPr>
                <w:sz w:val="1"/>
                <w:szCs w:val="1"/>
                <w:color w:val="auto"/>
              </w:rPr>
            </w:pPr>
          </w:p>
        </w:tc>
      </w:tr>
      <w:tr>
        <w:trPr>
          <w:trHeight w:val="152"/>
        </w:trPr>
        <w:tc>
          <w:tcPr>
            <w:tcW w:w="1140" w:type="dxa"/>
            <w:vAlign w:val="bottom"/>
            <w:tcBorders>
              <w:bottom w:val="single" w:sz="8" w:color="CCEEFF"/>
            </w:tcBorders>
          </w:tcPr>
          <w:p>
            <w:pPr>
              <w:spacing w:after="0"/>
              <w:rPr>
                <w:sz w:val="13"/>
                <w:szCs w:val="13"/>
                <w:color w:val="auto"/>
              </w:rPr>
            </w:pPr>
          </w:p>
        </w:tc>
        <w:tc>
          <w:tcPr>
            <w:tcW w:w="84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22"/>
              <w:spacing w:after="0"/>
              <w:rPr>
                <w:sz w:val="20"/>
                <w:szCs w:val="20"/>
                <w:color w:val="auto"/>
              </w:rPr>
            </w:pPr>
            <w:r>
              <w:rPr>
                <w:rFonts w:ascii="Arial" w:cs="Arial" w:eastAsia="Arial" w:hAnsi="Arial"/>
                <w:sz w:val="13"/>
                <w:szCs w:val="13"/>
                <w:b w:val="1"/>
                <w:bCs w:val="1"/>
                <w:color w:val="auto"/>
              </w:rPr>
              <w:t>2015</w:t>
            </w:r>
          </w:p>
        </w:tc>
        <w:tc>
          <w:tcPr>
            <w:tcW w:w="3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80"/>
              <w:spacing w:after="0"/>
              <w:rPr>
                <w:sz w:val="20"/>
                <w:szCs w:val="20"/>
                <w:color w:val="auto"/>
              </w:rPr>
            </w:pPr>
            <w:r>
              <w:rPr>
                <w:rFonts w:ascii="Arial" w:cs="Arial" w:eastAsia="Arial" w:hAnsi="Arial"/>
                <w:sz w:val="13"/>
                <w:szCs w:val="13"/>
                <w:b w:val="1"/>
                <w:bCs w:val="1"/>
                <w:color w:val="auto"/>
              </w:rPr>
              <w:t>2014</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960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b w:val="1"/>
                <w:bCs w:val="1"/>
                <w:color w:val="auto"/>
              </w:rPr>
              <w:t>Derivative Assets:</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9600" w:type="dxa"/>
            <w:vAlign w:val="bottom"/>
            <w:gridSpan w:val="2"/>
          </w:tcPr>
          <w:p>
            <w:pPr>
              <w:ind w:left="400"/>
              <w:spacing w:after="0"/>
              <w:rPr>
                <w:sz w:val="20"/>
                <w:szCs w:val="20"/>
                <w:color w:val="auto"/>
              </w:rPr>
            </w:pPr>
            <w:r>
              <w:rPr>
                <w:rFonts w:ascii="Arial" w:cs="Arial" w:eastAsia="Arial" w:hAnsi="Arial"/>
                <w:sz w:val="16"/>
                <w:szCs w:val="16"/>
                <w:color w:val="auto"/>
              </w:rPr>
              <w:t>Forward foreign currency exchange rate contracts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480</w:t>
            </w:r>
          </w:p>
        </w:tc>
        <w:tc>
          <w:tcPr>
            <w:tcW w:w="48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2,355</w:t>
            </w:r>
          </w:p>
        </w:tc>
        <w:tc>
          <w:tcPr>
            <w:tcW w:w="0" w:type="dxa"/>
            <w:vAlign w:val="bottom"/>
          </w:tcPr>
          <w:p>
            <w:pPr>
              <w:spacing w:after="0"/>
              <w:rPr>
                <w:sz w:val="1"/>
                <w:szCs w:val="1"/>
                <w:color w:val="auto"/>
              </w:rPr>
            </w:pPr>
          </w:p>
        </w:tc>
      </w:tr>
      <w:tr>
        <w:trPr>
          <w:trHeight w:val="202"/>
        </w:trPr>
        <w:tc>
          <w:tcPr>
            <w:tcW w:w="96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Total return swaps and other</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9600" w:type="dxa"/>
            <w:vAlign w:val="bottom"/>
            <w:gridSpan w:val="2"/>
            <w:vMerge w:val="restart"/>
          </w:tcPr>
          <w:p>
            <w:pPr>
              <w:ind w:left="400"/>
              <w:spacing w:after="0"/>
              <w:rPr>
                <w:sz w:val="20"/>
                <w:szCs w:val="20"/>
                <w:color w:val="auto"/>
              </w:rPr>
            </w:pPr>
            <w:r>
              <w:rPr>
                <w:rFonts w:ascii="Arial" w:cs="Arial" w:eastAsia="Arial" w:hAnsi="Arial"/>
                <w:sz w:val="16"/>
                <w:szCs w:val="16"/>
                <w:color w:val="auto"/>
              </w:rPr>
              <w:t>Total</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9600" w:type="dxa"/>
            <w:vAlign w:val="bottom"/>
            <w:gridSpan w:val="2"/>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1,582</w:t>
            </w:r>
          </w:p>
        </w:tc>
        <w:tc>
          <w:tcPr>
            <w:tcW w:w="48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2,355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96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Derivative Liabilities:</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9600" w:type="dxa"/>
            <w:vAlign w:val="bottom"/>
            <w:gridSpan w:val="2"/>
          </w:tcPr>
          <w:p>
            <w:pPr>
              <w:ind w:left="400"/>
              <w:spacing w:after="0"/>
              <w:rPr>
                <w:sz w:val="20"/>
                <w:szCs w:val="20"/>
                <w:color w:val="auto"/>
              </w:rPr>
            </w:pPr>
            <w:r>
              <w:rPr>
                <w:rFonts w:ascii="Arial" w:cs="Arial" w:eastAsia="Arial" w:hAnsi="Arial"/>
                <w:sz w:val="16"/>
                <w:szCs w:val="16"/>
                <w:color w:val="auto"/>
              </w:rPr>
              <w:t>Forward foreign currency exchange rate contracts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1,210</w:t>
            </w:r>
          </w:p>
        </w:tc>
        <w:tc>
          <w:tcPr>
            <w:tcW w:w="48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02"/>
        </w:trPr>
        <w:tc>
          <w:tcPr>
            <w:tcW w:w="96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Total return swaps and other (a)</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663</w:t>
            </w:r>
          </w:p>
        </w:tc>
        <w:tc>
          <w:tcPr>
            <w:tcW w:w="0" w:type="dxa"/>
            <w:vAlign w:val="bottom"/>
          </w:tcPr>
          <w:p>
            <w:pPr>
              <w:spacing w:after="0"/>
              <w:rPr>
                <w:sz w:val="1"/>
                <w:szCs w:val="1"/>
                <w:color w:val="auto"/>
              </w:rPr>
            </w:pPr>
          </w:p>
        </w:tc>
      </w:tr>
      <w:tr>
        <w:trPr>
          <w:trHeight w:val="202"/>
        </w:trPr>
        <w:tc>
          <w:tcPr>
            <w:tcW w:w="9600" w:type="dxa"/>
            <w:vAlign w:val="bottom"/>
            <w:gridSpan w:val="2"/>
          </w:tcPr>
          <w:p>
            <w:pPr>
              <w:ind w:left="400"/>
              <w:spacing w:after="0"/>
              <w:rPr>
                <w:sz w:val="20"/>
                <w:szCs w:val="20"/>
                <w:color w:val="auto"/>
              </w:rPr>
            </w:pPr>
            <w:r>
              <w:rPr>
                <w:rFonts w:ascii="Arial" w:cs="Arial" w:eastAsia="Arial" w:hAnsi="Arial"/>
                <w:sz w:val="16"/>
                <w:szCs w:val="16"/>
                <w:color w:val="auto"/>
              </w:rPr>
              <w:t>LFI and other similar deferred compensation arrangements</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3"/>
              </w:rPr>
              <w:t>202,063</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207,306</w:t>
            </w:r>
          </w:p>
        </w:tc>
        <w:tc>
          <w:tcPr>
            <w:tcW w:w="0" w:type="dxa"/>
            <w:vAlign w:val="bottom"/>
          </w:tcPr>
          <w:p>
            <w:pPr>
              <w:spacing w:after="0"/>
              <w:rPr>
                <w:sz w:val="1"/>
                <w:szCs w:val="1"/>
                <w:color w:val="auto"/>
              </w:rPr>
            </w:pPr>
          </w:p>
        </w:tc>
      </w:tr>
      <w:tr>
        <w:trPr>
          <w:trHeight w:val="25"/>
        </w:trPr>
        <w:tc>
          <w:tcPr>
            <w:tcW w:w="1140" w:type="dxa"/>
            <w:vAlign w:val="bottom"/>
          </w:tcPr>
          <w:p>
            <w:pPr>
              <w:spacing w:after="0"/>
              <w:rPr>
                <w:sz w:val="2"/>
                <w:szCs w:val="2"/>
                <w:color w:val="auto"/>
              </w:rPr>
            </w:pPr>
          </w:p>
        </w:tc>
        <w:tc>
          <w:tcPr>
            <w:tcW w:w="8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1140" w:type="dxa"/>
            <w:vAlign w:val="bottom"/>
            <w:shd w:val="clear" w:color="auto" w:fill="CCEEFF"/>
          </w:tcPr>
          <w:p>
            <w:pPr>
              <w:spacing w:after="0"/>
              <w:rPr>
                <w:sz w:val="17"/>
                <w:szCs w:val="17"/>
                <w:color w:val="auto"/>
              </w:rPr>
            </w:pPr>
          </w:p>
        </w:tc>
        <w:tc>
          <w:tcPr>
            <w:tcW w:w="84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203,273</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208,093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1140" w:type="dxa"/>
            <w:vAlign w:val="bottom"/>
            <w:tcBorders>
              <w:bottom w:val="single" w:sz="8" w:color="auto"/>
            </w:tcBorders>
          </w:tcPr>
          <w:p>
            <w:pPr>
              <w:spacing w:after="0"/>
              <w:rPr>
                <w:sz w:val="7"/>
                <w:szCs w:val="7"/>
                <w:color w:val="auto"/>
              </w:rPr>
            </w:pPr>
          </w:p>
        </w:tc>
        <w:tc>
          <w:tcPr>
            <w:tcW w:w="846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460" w:right="280" w:hanging="459"/>
        <w:spacing w:after="0" w:line="274"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 total return swaps, amounts represent the netting of gross derivative assets and liabilities of $1,323 and $221 as of June 30, 2015, respectively, and $1,123 and $1,786 as of December 31, 2014, respectively, for contracts with the same counterparty under legally enforceable master netting agreements. Such amounts are recorded “net” in “other assets”, with receivables for net cash collateral under such contracts of $9,954 and $12,364 as of June 30, 2015 and December 31, 2014, respectively.</w:t>
      </w:r>
    </w:p>
    <w:p>
      <w:pPr>
        <w:spacing w:after="0" w:line="121" w:lineRule="exact"/>
        <w:rPr>
          <w:sz w:val="20"/>
          <w:szCs w:val="20"/>
          <w:color w:val="auto"/>
        </w:rPr>
      </w:pPr>
    </w:p>
    <w:p>
      <w:pPr>
        <w:ind w:right="260" w:firstLine="457"/>
        <w:spacing w:after="0" w:line="280" w:lineRule="auto"/>
        <w:rPr>
          <w:sz w:val="20"/>
          <w:szCs w:val="20"/>
          <w:color w:val="auto"/>
        </w:rPr>
      </w:pPr>
      <w:r>
        <w:rPr>
          <w:rFonts w:ascii="Arial" w:cs="Arial" w:eastAsia="Arial" w:hAnsi="Arial"/>
          <w:sz w:val="16"/>
          <w:szCs w:val="16"/>
          <w:color w:val="auto"/>
        </w:rPr>
        <w:t>Net gains (losses) with respect to derivative instruments (predominantly reflected in “revenue-other”) and the Company’s derivative liabilities relating to its obligations pertaining to LFI and other similar deferred compensation arrangements (included in “compensation and benefits” expense) as reflected on the accompanying condensed consolidated statements of operations for the three month and six month periods ended June 30, 2015 and 2014, were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820" w:type="dxa"/>
            <w:vAlign w:val="bottom"/>
            <w:gridSpan w:val="5"/>
          </w:tcPr>
          <w:p>
            <w:pPr>
              <w:jc w:val="right"/>
              <w:ind w:right="460"/>
              <w:spacing w:after="0"/>
              <w:rPr>
                <w:sz w:val="20"/>
                <w:szCs w:val="20"/>
                <w:color w:val="auto"/>
              </w:rPr>
            </w:pPr>
            <w:r>
              <w:rPr>
                <w:rFonts w:ascii="Arial" w:cs="Arial" w:eastAsia="Arial" w:hAnsi="Arial"/>
                <w:sz w:val="13"/>
                <w:szCs w:val="13"/>
                <w:b w:val="1"/>
                <w:bCs w:val="1"/>
                <w:color w:val="auto"/>
              </w:rPr>
              <w:t>Three Months Ended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6"/>
          </w:tcPr>
          <w:p>
            <w:pPr>
              <w:jc w:val="right"/>
              <w:ind w:right="40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52"/>
        </w:trPr>
        <w:tc>
          <w:tcPr>
            <w:tcW w:w="476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8"/>
              </w:rPr>
              <w:t>June 30,</w:t>
            </w:r>
          </w:p>
        </w:tc>
        <w:tc>
          <w:tcPr>
            <w:tcW w:w="5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88"/>
              </w:rPr>
              <w:t>June 30,</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760" w:type="dxa"/>
            <w:vAlign w:val="bottom"/>
            <w:tcBorders>
              <w:bottom w:val="single" w:sz="8" w:color="CCEEFF"/>
            </w:tcBorders>
          </w:tcPr>
          <w:p>
            <w:pPr>
              <w:spacing w:after="0"/>
              <w:rPr>
                <w:sz w:val="11"/>
                <w:szCs w:val="11"/>
                <w:color w:val="auto"/>
              </w:rPr>
            </w:pPr>
          </w:p>
        </w:tc>
        <w:tc>
          <w:tcPr>
            <w:tcW w:w="296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ind w:right="67"/>
              <w:spacing w:after="0" w:line="132" w:lineRule="exact"/>
              <w:rPr>
                <w:sz w:val="20"/>
                <w:szCs w:val="20"/>
                <w:color w:val="auto"/>
              </w:rPr>
            </w:pPr>
            <w:r>
              <w:rPr>
                <w:rFonts w:ascii="Arial" w:cs="Arial" w:eastAsia="Arial" w:hAnsi="Arial"/>
                <w:sz w:val="13"/>
                <w:szCs w:val="13"/>
                <w:b w:val="1"/>
                <w:bCs w:val="1"/>
                <w:color w:val="auto"/>
              </w:rPr>
              <w:t>2015</w:t>
            </w:r>
          </w:p>
        </w:tc>
        <w:tc>
          <w:tcPr>
            <w:tcW w:w="4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82"/>
              <w:spacing w:after="0" w:line="132" w:lineRule="exact"/>
              <w:rPr>
                <w:sz w:val="20"/>
                <w:szCs w:val="20"/>
                <w:color w:val="auto"/>
              </w:rPr>
            </w:pPr>
            <w:r>
              <w:rPr>
                <w:rFonts w:ascii="Arial" w:cs="Arial" w:eastAsia="Arial" w:hAnsi="Arial"/>
                <w:sz w:val="13"/>
                <w:szCs w:val="13"/>
                <w:b w:val="1"/>
                <w:bCs w:val="1"/>
                <w:color w:val="auto"/>
              </w:rPr>
              <w:t>2014</w:t>
            </w:r>
          </w:p>
        </w:tc>
        <w:tc>
          <w:tcPr>
            <w:tcW w:w="26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84"/>
              <w:spacing w:after="0" w:line="132" w:lineRule="exact"/>
              <w:rPr>
                <w:sz w:val="20"/>
                <w:szCs w:val="20"/>
                <w:color w:val="auto"/>
              </w:rPr>
            </w:pPr>
            <w:r>
              <w:rPr>
                <w:rFonts w:ascii="Arial" w:cs="Arial" w:eastAsia="Arial" w:hAnsi="Arial"/>
                <w:sz w:val="13"/>
                <w:szCs w:val="13"/>
                <w:b w:val="1"/>
                <w:bCs w:val="1"/>
                <w:color w:val="auto"/>
                <w:w w:val="96"/>
              </w:rPr>
              <w:t>2015</w:t>
            </w:r>
          </w:p>
        </w:tc>
        <w:tc>
          <w:tcPr>
            <w:tcW w:w="24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02"/>
              <w:spacing w:after="0" w:line="132" w:lineRule="exact"/>
              <w:rPr>
                <w:sz w:val="20"/>
                <w:szCs w:val="20"/>
                <w:color w:val="auto"/>
              </w:rPr>
            </w:pPr>
            <w:r>
              <w:rPr>
                <w:rFonts w:ascii="Arial" w:cs="Arial" w:eastAsia="Arial" w:hAnsi="Arial"/>
                <w:sz w:val="13"/>
                <w:szCs w:val="13"/>
                <w:b w:val="1"/>
                <w:bCs w:val="1"/>
                <w:color w:val="auto"/>
              </w:rPr>
              <w:t>2014</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Forward foreign currency exchange rate contracts</w:t>
            </w:r>
          </w:p>
        </w:tc>
        <w:tc>
          <w:tcPr>
            <w:tcW w:w="29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3"/>
              </w:rPr>
              <w:t>$(4,023)</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11,377</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760" w:type="dxa"/>
            <w:vAlign w:val="bottom"/>
          </w:tcPr>
          <w:p>
            <w:pPr>
              <w:spacing w:after="0"/>
              <w:rPr>
                <w:sz w:val="20"/>
                <w:szCs w:val="20"/>
                <w:color w:val="auto"/>
              </w:rPr>
            </w:pPr>
            <w:r>
              <w:rPr>
                <w:rFonts w:ascii="Arial" w:cs="Arial" w:eastAsia="Arial" w:hAnsi="Arial"/>
                <w:sz w:val="16"/>
                <w:szCs w:val="16"/>
                <w:color w:val="auto"/>
              </w:rPr>
              <w:t>LFI and other similar deferred compensation arrangements</w:t>
            </w:r>
          </w:p>
        </w:tc>
        <w:tc>
          <w:tcPr>
            <w:tcW w:w="3480" w:type="dxa"/>
            <w:vAlign w:val="bottom"/>
            <w:gridSpan w:val="2"/>
          </w:tcPr>
          <w:p>
            <w:pPr>
              <w:jc w:val="right"/>
              <w:spacing w:after="0"/>
              <w:rPr>
                <w:sz w:val="20"/>
                <w:szCs w:val="20"/>
                <w:color w:val="auto"/>
              </w:rPr>
            </w:pPr>
            <w:r>
              <w:rPr>
                <w:rFonts w:ascii="Arial" w:cs="Arial" w:eastAsia="Arial" w:hAnsi="Arial"/>
                <w:sz w:val="16"/>
                <w:szCs w:val="16"/>
                <w:color w:val="auto"/>
              </w:rPr>
              <w:t>1,894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(8,906)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17"/>
              <w:spacing w:after="0"/>
              <w:rPr>
                <w:sz w:val="20"/>
                <w:szCs w:val="20"/>
                <w:color w:val="auto"/>
              </w:rPr>
            </w:pPr>
            <w:r>
              <w:rPr>
                <w:rFonts w:ascii="Arial" w:cs="Arial" w:eastAsia="Arial" w:hAnsi="Arial"/>
                <w:sz w:val="16"/>
                <w:szCs w:val="16"/>
                <w:color w:val="auto"/>
                <w:w w:val="98"/>
              </w:rPr>
              <w:t>(2,242)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w w:val="93"/>
              </w:rPr>
              <w:t>(11,532)</w:t>
            </w:r>
          </w:p>
        </w:tc>
        <w:tc>
          <w:tcPr>
            <w:tcW w:w="0" w:type="dxa"/>
            <w:vAlign w:val="bottom"/>
          </w:tcPr>
          <w:p>
            <w:pPr>
              <w:spacing w:after="0"/>
              <w:rPr>
                <w:sz w:val="1"/>
                <w:szCs w:val="1"/>
                <w:color w:val="auto"/>
              </w:rPr>
            </w:pPr>
          </w:p>
        </w:tc>
      </w:tr>
      <w:tr>
        <w:trPr>
          <w:trHeight w:val="205"/>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Total return swaps and other</w:t>
            </w:r>
          </w:p>
        </w:tc>
        <w:tc>
          <w:tcPr>
            <w:tcW w:w="29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17"/>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(6,325)</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17"/>
              <w:spacing w:after="0"/>
              <w:rPr>
                <w:sz w:val="20"/>
                <w:szCs w:val="20"/>
                <w:color w:val="auto"/>
              </w:rPr>
            </w:pPr>
            <w:r>
              <w:rPr>
                <w:rFonts w:ascii="Arial" w:cs="Arial" w:eastAsia="Arial" w:hAnsi="Arial"/>
                <w:sz w:val="16"/>
                <w:szCs w:val="16"/>
                <w:color w:val="auto"/>
                <w:w w:val="98"/>
              </w:rPr>
              <w:t>(3,184)</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(8,271)</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6"/>
                <w:szCs w:val="16"/>
                <w:color w:val="auto"/>
              </w:rPr>
              <w:t>Total</w:t>
            </w:r>
          </w:p>
        </w:tc>
        <w:tc>
          <w:tcPr>
            <w:tcW w:w="29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760" w:type="dxa"/>
            <w:vAlign w:val="bottom"/>
            <w:vMerge w:val="continue"/>
          </w:tcPr>
          <w:p>
            <w:pPr>
              <w:spacing w:after="0"/>
              <w:rPr>
                <w:sz w:val="17"/>
                <w:szCs w:val="17"/>
                <w:color w:val="auto"/>
              </w:rPr>
            </w:pPr>
          </w:p>
        </w:tc>
        <w:tc>
          <w:tcPr>
            <w:tcW w:w="3920" w:type="dxa"/>
            <w:vAlign w:val="bottom"/>
            <w:gridSpan w:val="3"/>
          </w:tcPr>
          <w:p>
            <w:pPr>
              <w:jc w:val="right"/>
              <w:ind w:right="317"/>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(2,145)</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w w:val="90"/>
              </w:rPr>
              <w:t>(15,053)</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77"/>
              <w:spacing w:after="0"/>
              <w:rPr>
                <w:sz w:val="20"/>
                <w:szCs w:val="20"/>
                <w:color w:val="auto"/>
              </w:rPr>
            </w:pPr>
            <w:r>
              <w:rPr>
                <w:rFonts w:ascii="Arial" w:cs="Arial" w:eastAsia="Arial" w:hAnsi="Arial"/>
                <w:sz w:val="16"/>
                <w:szCs w:val="16"/>
                <w:color w:val="auto"/>
              </w:rPr>
              <w:t>5,951</w:t>
            </w:r>
          </w:p>
        </w:tc>
        <w:tc>
          <w:tcPr>
            <w:tcW w:w="28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w w:val="93"/>
              </w:rPr>
              <w:t>(20,778)</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960" w:type="dxa"/>
            <w:vAlign w:val="bottom"/>
            <w:vMerge w:val="restart"/>
          </w:tcPr>
          <w:p>
            <w:pPr>
              <w:jc w:val="right"/>
              <w:ind w:right="1838"/>
              <w:spacing w:after="0"/>
              <w:rPr>
                <w:sz w:val="20"/>
                <w:szCs w:val="20"/>
                <w:color w:val="auto"/>
              </w:rPr>
            </w:pPr>
            <w:r>
              <w:rPr>
                <w:rFonts w:ascii="Arial" w:cs="Arial" w:eastAsia="Arial" w:hAnsi="Arial"/>
                <w:sz w:val="16"/>
                <w:szCs w:val="16"/>
                <w:color w:val="auto"/>
              </w:rPr>
              <w:t>20</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76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0" w:right="23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LAZARD LTD</w:t>
      </w:r>
    </w:p>
    <w:p>
      <w:pPr>
        <w:spacing w:after="0" w:line="94"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auto"/>
        </w:rPr>
        <w:t>NOTES TO CONDENSED CONSOLIDATED FINANCIAL STATEMENTS—(Continued)</w:t>
      </w:r>
    </w:p>
    <w:p>
      <w:pPr>
        <w:spacing w:after="0" w:line="29"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(UNAUDITED)</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(dollars in thousands, except for per share data, unless otherwise noted)</w:t>
      </w:r>
    </w:p>
    <w:p>
      <w:pPr>
        <w:spacing w:after="0" w:line="152" w:lineRule="exact"/>
        <w:rPr>
          <w:sz w:val="20"/>
          <w:szCs w:val="20"/>
          <w:color w:val="auto"/>
        </w:rPr>
      </w:pPr>
    </w:p>
    <w:p>
      <w:pPr>
        <w:ind w:left="460" w:hanging="459"/>
        <w:spacing w:after="0"/>
        <w:tabs>
          <w:tab w:leader="none" w:pos="460" w:val="left"/>
        </w:tabs>
        <w:numPr>
          <w:ilvl w:val="0"/>
          <w:numId w:val="1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PROPERTY</w:t>
      </w:r>
    </w:p>
    <w:p>
      <w:pPr>
        <w:spacing w:after="0" w:line="94" w:lineRule="exact"/>
        <w:rPr>
          <w:rFonts w:ascii="Arial" w:cs="Arial" w:eastAsia="Arial" w:hAnsi="Arial"/>
          <w:sz w:val="16"/>
          <w:szCs w:val="16"/>
          <w:b w:val="1"/>
          <w:bCs w:val="1"/>
          <w:i w:val="1"/>
          <w:iCs w:val="1"/>
          <w:color w:val="auto"/>
        </w:rPr>
      </w:pPr>
    </w:p>
    <w:p>
      <w:pPr>
        <w:ind w:left="460"/>
        <w:spacing w:after="0"/>
        <w:rPr>
          <w:rFonts w:ascii="Arial" w:cs="Arial" w:eastAsia="Arial" w:hAnsi="Arial"/>
          <w:sz w:val="16"/>
          <w:szCs w:val="16"/>
          <w:b w:val="1"/>
          <w:bCs w:val="1"/>
          <w:i w:val="1"/>
          <w:iCs w:val="1"/>
          <w:color w:val="auto"/>
        </w:rPr>
      </w:pPr>
      <w:r>
        <w:rPr>
          <w:rFonts w:ascii="Arial" w:cs="Arial" w:eastAsia="Arial" w:hAnsi="Arial"/>
          <w:sz w:val="16"/>
          <w:szCs w:val="16"/>
          <w:color w:val="auto"/>
        </w:rPr>
        <w:t>At June 30, 2015 and December 31, 2014, property consists of the following:</w:t>
      </w:r>
    </w:p>
    <w:p>
      <w:pPr>
        <w:spacing w:after="0" w:line="194" w:lineRule="exact"/>
        <w:rPr>
          <w:sz w:val="20"/>
          <w:szCs w:val="20"/>
          <w:color w:val="auto"/>
        </w:rPr>
      </w:pPr>
    </w:p>
    <w:tbl>
      <w:tblPr>
        <w:tblLayout w:type="fixed"/>
        <w:tblInd w:w="1440" w:type="dxa"/>
        <w:tblCellMar>
          <w:top w:w="0" w:type="dxa"/>
          <w:left w:w="0" w:type="dxa"/>
          <w:bottom w:w="0" w:type="dxa"/>
          <w:right w:w="0" w:type="dxa"/>
        </w:tblCellMar>
      </w:tblPr>
      <w:tr>
        <w:trPr>
          <w:trHeight w:val="149"/>
        </w:trPr>
        <w:tc>
          <w:tcPr>
            <w:tcW w:w="5460" w:type="dxa"/>
            <w:vAlign w:val="bottom"/>
          </w:tcPr>
          <w:p>
            <w:pPr>
              <w:spacing w:after="0"/>
              <w:rPr>
                <w:sz w:val="13"/>
                <w:szCs w:val="13"/>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86"/>
              </w:rPr>
              <w:t>Estimated</w:t>
            </w: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9"/>
        </w:trPr>
        <w:tc>
          <w:tcPr>
            <w:tcW w:w="5460" w:type="dxa"/>
            <w:vAlign w:val="bottom"/>
          </w:tcPr>
          <w:p>
            <w:pPr>
              <w:spacing w:after="0"/>
              <w:rPr>
                <w:sz w:val="12"/>
                <w:szCs w:val="12"/>
                <w:color w:val="auto"/>
              </w:rPr>
            </w:pPr>
          </w:p>
        </w:tc>
        <w:tc>
          <w:tcPr>
            <w:tcW w:w="1160" w:type="dxa"/>
            <w:vAlign w:val="bottom"/>
            <w:gridSpan w:val="2"/>
          </w:tcPr>
          <w:p>
            <w:pPr>
              <w:jc w:val="center"/>
              <w:ind w:right="480"/>
              <w:spacing w:after="0" w:line="139" w:lineRule="exact"/>
              <w:rPr>
                <w:sz w:val="20"/>
                <w:szCs w:val="20"/>
                <w:color w:val="auto"/>
              </w:rPr>
            </w:pPr>
            <w:r>
              <w:rPr>
                <w:rFonts w:ascii="Arial" w:cs="Arial" w:eastAsia="Arial" w:hAnsi="Arial"/>
                <w:sz w:val="13"/>
                <w:szCs w:val="13"/>
                <w:b w:val="1"/>
                <w:bCs w:val="1"/>
                <w:color w:val="auto"/>
                <w:w w:val="86"/>
              </w:rPr>
              <w:t>Depreciable</w:t>
            </w:r>
          </w:p>
        </w:tc>
        <w:tc>
          <w:tcPr>
            <w:tcW w:w="1100" w:type="dxa"/>
            <w:vAlign w:val="bottom"/>
            <w:gridSpan w:val="2"/>
          </w:tcPr>
          <w:p>
            <w:pPr>
              <w:ind w:left="100"/>
              <w:spacing w:after="0" w:line="139" w:lineRule="exact"/>
              <w:rPr>
                <w:sz w:val="20"/>
                <w:szCs w:val="20"/>
                <w:color w:val="auto"/>
              </w:rPr>
            </w:pPr>
            <w:r>
              <w:rPr>
                <w:rFonts w:ascii="Arial" w:cs="Arial" w:eastAsia="Arial" w:hAnsi="Arial"/>
                <w:sz w:val="13"/>
                <w:szCs w:val="13"/>
                <w:b w:val="1"/>
                <w:bCs w:val="1"/>
                <w:color w:val="auto"/>
              </w:rPr>
              <w:t>June 30,</w:t>
            </w:r>
          </w:p>
        </w:tc>
        <w:tc>
          <w:tcPr>
            <w:tcW w:w="84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w w:val="96"/>
              </w:rPr>
              <w:t>December 31,</w:t>
            </w:r>
          </w:p>
        </w:tc>
      </w:tr>
      <w:tr>
        <w:trPr>
          <w:trHeight w:val="152"/>
        </w:trPr>
        <w:tc>
          <w:tcPr>
            <w:tcW w:w="5460" w:type="dxa"/>
            <w:vAlign w:val="bottom"/>
          </w:tcPr>
          <w:p>
            <w:pPr>
              <w:spacing w:after="0"/>
              <w:rPr>
                <w:sz w:val="13"/>
                <w:szCs w:val="13"/>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87"/>
              </w:rPr>
              <w:t>Life in Years</w:t>
            </w:r>
          </w:p>
        </w:tc>
        <w:tc>
          <w:tcPr>
            <w:tcW w:w="640" w:type="dxa"/>
            <w:vAlign w:val="bottom"/>
          </w:tcPr>
          <w:p>
            <w:pPr>
              <w:jc w:val="right"/>
              <w:ind w:right="122"/>
              <w:spacing w:after="0"/>
              <w:rPr>
                <w:sz w:val="20"/>
                <w:szCs w:val="20"/>
                <w:color w:val="auto"/>
              </w:rPr>
            </w:pPr>
            <w:r>
              <w:rPr>
                <w:rFonts w:ascii="Arial" w:cs="Arial" w:eastAsia="Arial" w:hAnsi="Arial"/>
                <w:sz w:val="13"/>
                <w:szCs w:val="13"/>
                <w:b w:val="1"/>
                <w:bCs w:val="1"/>
                <w:color w:val="auto"/>
              </w:rPr>
              <w:t>2015</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ind w:right="160"/>
              <w:spacing w:after="0"/>
              <w:rPr>
                <w:sz w:val="20"/>
                <w:szCs w:val="20"/>
                <w:color w:val="auto"/>
              </w:rPr>
            </w:pPr>
            <w:r>
              <w:rPr>
                <w:rFonts w:ascii="Arial" w:cs="Arial" w:eastAsia="Arial" w:hAnsi="Arial"/>
                <w:sz w:val="13"/>
                <w:szCs w:val="13"/>
                <w:b w:val="1"/>
                <w:bCs w:val="1"/>
                <w:color w:val="auto"/>
              </w:rPr>
              <w:t>2014</w:t>
            </w:r>
          </w:p>
        </w:tc>
        <w:tc>
          <w:tcPr>
            <w:tcW w:w="100" w:type="dxa"/>
            <w:vAlign w:val="bottom"/>
          </w:tcPr>
          <w:p>
            <w:pPr>
              <w:spacing w:after="0"/>
              <w:rPr>
                <w:sz w:val="13"/>
                <w:szCs w:val="13"/>
                <w:color w:val="auto"/>
              </w:rPr>
            </w:pPr>
          </w:p>
        </w:tc>
      </w:tr>
      <w:tr>
        <w:trPr>
          <w:trHeight w:val="195"/>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Buildings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4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$140,986</w:t>
            </w:r>
          </w:p>
        </w:tc>
        <w:tc>
          <w:tcPr>
            <w:tcW w:w="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152,982</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5460" w:type="dxa"/>
            <w:vAlign w:val="bottom"/>
          </w:tcPr>
          <w:p>
            <w:pPr>
              <w:spacing w:after="0"/>
              <w:rPr>
                <w:sz w:val="20"/>
                <w:szCs w:val="20"/>
                <w:color w:val="auto"/>
              </w:rPr>
            </w:pPr>
            <w:r>
              <w:rPr>
                <w:rFonts w:ascii="Arial" w:cs="Arial" w:eastAsia="Arial" w:hAnsi="Arial"/>
                <w:sz w:val="16"/>
                <w:szCs w:val="16"/>
                <w:color w:val="auto"/>
              </w:rPr>
              <w:t>Leasehold improvements</w:t>
            </w:r>
          </w:p>
        </w:tc>
        <w:tc>
          <w:tcPr>
            <w:tcW w:w="1160" w:type="dxa"/>
            <w:vAlign w:val="bottom"/>
            <w:gridSpan w:val="2"/>
          </w:tcPr>
          <w:p>
            <w:pPr>
              <w:jc w:val="right"/>
              <w:ind w:right="460"/>
              <w:spacing w:after="0"/>
              <w:rPr>
                <w:sz w:val="20"/>
                <w:szCs w:val="20"/>
                <w:color w:val="auto"/>
              </w:rPr>
            </w:pPr>
            <w:r>
              <w:rPr>
                <w:rFonts w:ascii="Arial" w:cs="Arial" w:eastAsia="Arial" w:hAnsi="Arial"/>
                <w:sz w:val="16"/>
                <w:szCs w:val="16"/>
                <w:color w:val="auto"/>
              </w:rPr>
              <w:t>3-20</w:t>
            </w:r>
          </w:p>
        </w:tc>
        <w:tc>
          <w:tcPr>
            <w:tcW w:w="1100" w:type="dxa"/>
            <w:vAlign w:val="bottom"/>
            <w:gridSpan w:val="2"/>
          </w:tcPr>
          <w:p>
            <w:pPr>
              <w:jc w:val="right"/>
              <w:ind w:right="460"/>
              <w:spacing w:after="0"/>
              <w:rPr>
                <w:sz w:val="20"/>
                <w:szCs w:val="20"/>
                <w:color w:val="auto"/>
              </w:rPr>
            </w:pPr>
            <w:r>
              <w:rPr>
                <w:rFonts w:ascii="Arial" w:cs="Arial" w:eastAsia="Arial" w:hAnsi="Arial"/>
                <w:sz w:val="16"/>
                <w:szCs w:val="16"/>
                <w:color w:val="auto"/>
              </w:rPr>
              <w:t>168,192</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167,837</w:t>
            </w:r>
          </w:p>
        </w:tc>
        <w:tc>
          <w:tcPr>
            <w:tcW w:w="100" w:type="dxa"/>
            <w:vAlign w:val="bottom"/>
          </w:tcPr>
          <w:p>
            <w:pPr>
              <w:spacing w:after="0"/>
              <w:rPr>
                <w:sz w:val="17"/>
                <w:szCs w:val="17"/>
                <w:color w:val="auto"/>
              </w:rPr>
            </w:pPr>
          </w:p>
        </w:tc>
      </w:tr>
      <w:tr>
        <w:trPr>
          <w:trHeight w:val="202"/>
        </w:trPr>
        <w:tc>
          <w:tcPr>
            <w:tcW w:w="5460" w:type="dxa"/>
            <w:vAlign w:val="bottom"/>
            <w:shd w:val="clear" w:color="auto" w:fill="CCEEFF"/>
          </w:tcPr>
          <w:p>
            <w:pPr>
              <w:spacing w:after="0"/>
              <w:rPr>
                <w:sz w:val="20"/>
                <w:szCs w:val="20"/>
                <w:color w:val="auto"/>
              </w:rPr>
            </w:pPr>
            <w:r>
              <w:rPr>
                <w:rFonts w:ascii="Arial" w:cs="Arial" w:eastAsia="Arial" w:hAnsi="Arial"/>
                <w:sz w:val="16"/>
                <w:szCs w:val="16"/>
                <w:color w:val="auto"/>
              </w:rPr>
              <w:t>Furniture and equipment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3-10</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153,107</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150,458</w:t>
            </w:r>
          </w:p>
        </w:tc>
        <w:tc>
          <w:tcPr>
            <w:tcW w:w="100" w:type="dxa"/>
            <w:vAlign w:val="bottom"/>
            <w:shd w:val="clear" w:color="auto" w:fill="CCEEFF"/>
          </w:tcPr>
          <w:p>
            <w:pPr>
              <w:spacing w:after="0"/>
              <w:rPr>
                <w:sz w:val="17"/>
                <w:szCs w:val="17"/>
                <w:color w:val="auto"/>
              </w:rPr>
            </w:pPr>
          </w:p>
        </w:tc>
      </w:tr>
      <w:tr>
        <w:trPr>
          <w:trHeight w:val="208"/>
        </w:trPr>
        <w:tc>
          <w:tcPr>
            <w:tcW w:w="5460" w:type="dxa"/>
            <w:vAlign w:val="bottom"/>
          </w:tcPr>
          <w:p>
            <w:pPr>
              <w:spacing w:after="0"/>
              <w:rPr>
                <w:sz w:val="20"/>
                <w:szCs w:val="20"/>
                <w:color w:val="auto"/>
              </w:rPr>
            </w:pPr>
            <w:r>
              <w:rPr>
                <w:rFonts w:ascii="Arial" w:cs="Arial" w:eastAsia="Arial" w:hAnsi="Arial"/>
                <w:sz w:val="16"/>
                <w:szCs w:val="16"/>
                <w:color w:val="auto"/>
              </w:rPr>
              <w:t>Construction in progress</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6,923</w:t>
            </w:r>
          </w:p>
        </w:tc>
        <w:tc>
          <w:tcPr>
            <w:tcW w:w="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7,578</w:t>
            </w:r>
          </w:p>
        </w:tc>
        <w:tc>
          <w:tcPr>
            <w:tcW w:w="100" w:type="dxa"/>
            <w:vAlign w:val="bottom"/>
          </w:tcPr>
          <w:p>
            <w:pPr>
              <w:spacing w:after="0"/>
              <w:rPr>
                <w:sz w:val="18"/>
                <w:szCs w:val="18"/>
                <w:color w:val="auto"/>
              </w:rPr>
            </w:pPr>
          </w:p>
        </w:tc>
      </w:tr>
      <w:tr>
        <w:trPr>
          <w:trHeight w:val="202"/>
        </w:trPr>
        <w:tc>
          <w:tcPr>
            <w:tcW w:w="54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w:t>
            </w: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469,208</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478,855</w:t>
            </w:r>
          </w:p>
        </w:tc>
        <w:tc>
          <w:tcPr>
            <w:tcW w:w="100" w:type="dxa"/>
            <w:vAlign w:val="bottom"/>
            <w:shd w:val="clear" w:color="auto" w:fill="CCEEFF"/>
          </w:tcPr>
          <w:p>
            <w:pPr>
              <w:spacing w:after="0"/>
              <w:rPr>
                <w:sz w:val="17"/>
                <w:szCs w:val="17"/>
                <w:color w:val="auto"/>
              </w:rPr>
            </w:pPr>
          </w:p>
        </w:tc>
      </w:tr>
      <w:tr>
        <w:trPr>
          <w:trHeight w:val="208"/>
        </w:trPr>
        <w:tc>
          <w:tcPr>
            <w:tcW w:w="5460" w:type="dxa"/>
            <w:vAlign w:val="bottom"/>
          </w:tcPr>
          <w:p>
            <w:pPr>
              <w:spacing w:after="0"/>
              <w:rPr>
                <w:sz w:val="20"/>
                <w:szCs w:val="20"/>
                <w:color w:val="auto"/>
              </w:rPr>
            </w:pPr>
            <w:r>
              <w:rPr>
                <w:rFonts w:ascii="Arial" w:cs="Arial" w:eastAsia="Arial" w:hAnsi="Arial"/>
                <w:sz w:val="16"/>
                <w:szCs w:val="16"/>
                <w:color w:val="auto"/>
              </w:rPr>
              <w:t>Less - Accumulated depreciation and amortization</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255,463</w:t>
            </w:r>
          </w:p>
        </w:tc>
        <w:tc>
          <w:tcPr>
            <w:tcW w:w="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256,286</w:t>
            </w:r>
          </w:p>
        </w:tc>
        <w:tc>
          <w:tcPr>
            <w:tcW w:w="100" w:type="dxa"/>
            <w:vAlign w:val="bottom"/>
          </w:tcPr>
          <w:p>
            <w:pPr>
              <w:spacing w:after="0"/>
              <w:rPr>
                <w:sz w:val="18"/>
                <w:szCs w:val="18"/>
                <w:color w:val="auto"/>
              </w:rPr>
            </w:pPr>
          </w:p>
        </w:tc>
      </w:tr>
      <w:tr>
        <w:trPr>
          <w:trHeight w:val="202"/>
        </w:trPr>
        <w:tc>
          <w:tcPr>
            <w:tcW w:w="5460" w:type="dxa"/>
            <w:vAlign w:val="bottom"/>
            <w:shd w:val="clear" w:color="auto" w:fill="CCEEFF"/>
          </w:tcPr>
          <w:p>
            <w:pPr>
              <w:spacing w:after="0"/>
              <w:rPr>
                <w:sz w:val="20"/>
                <w:szCs w:val="20"/>
                <w:color w:val="auto"/>
              </w:rPr>
            </w:pPr>
            <w:r>
              <w:rPr>
                <w:rFonts w:ascii="Arial" w:cs="Arial" w:eastAsia="Arial" w:hAnsi="Arial"/>
                <w:sz w:val="16"/>
                <w:szCs w:val="16"/>
                <w:color w:val="auto"/>
              </w:rPr>
              <w:t>Property</w:t>
            </w: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213,745</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222,569</w:t>
            </w:r>
          </w:p>
        </w:tc>
        <w:tc>
          <w:tcPr>
            <w:tcW w:w="100" w:type="dxa"/>
            <w:vAlign w:val="bottom"/>
            <w:shd w:val="clear" w:color="auto" w:fill="CCEEFF"/>
          </w:tcPr>
          <w:p>
            <w:pPr>
              <w:spacing w:after="0"/>
              <w:rPr>
                <w:sz w:val="17"/>
                <w:szCs w:val="17"/>
                <w:color w:val="auto"/>
              </w:rPr>
            </w:pPr>
          </w:p>
        </w:tc>
      </w:tr>
      <w:tr>
        <w:trPr>
          <w:trHeight w:val="20"/>
        </w:trPr>
        <w:tc>
          <w:tcPr>
            <w:tcW w:w="5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0" w:lineRule="exact"/>
        <w:rPr>
          <w:sz w:val="20"/>
          <w:szCs w:val="20"/>
          <w:color w:val="auto"/>
        </w:rPr>
      </w:pPr>
    </w:p>
    <w:p>
      <w:pPr>
        <w:ind w:left="460" w:hanging="459"/>
        <w:spacing w:after="0"/>
        <w:tabs>
          <w:tab w:leader="none" w:pos="460" w:val="left"/>
        </w:tabs>
        <w:numPr>
          <w:ilvl w:val="0"/>
          <w:numId w:val="1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GOODWILL AND OTHER INTANGIBLE ASSETS</w:t>
      </w:r>
    </w:p>
    <w:p>
      <w:pPr>
        <w:spacing w:after="0" w:line="94" w:lineRule="exact"/>
        <w:rPr>
          <w:rFonts w:ascii="Arial" w:cs="Arial" w:eastAsia="Arial" w:hAnsi="Arial"/>
          <w:sz w:val="16"/>
          <w:szCs w:val="16"/>
          <w:b w:val="1"/>
          <w:bCs w:val="1"/>
          <w:i w:val="1"/>
          <w:iCs w:val="1"/>
          <w:color w:val="auto"/>
        </w:rPr>
      </w:pPr>
    </w:p>
    <w:p>
      <w:pPr>
        <w:ind w:left="460"/>
        <w:spacing w:after="0"/>
        <w:rPr>
          <w:rFonts w:ascii="Arial" w:cs="Arial" w:eastAsia="Arial" w:hAnsi="Arial"/>
          <w:sz w:val="16"/>
          <w:szCs w:val="16"/>
          <w:b w:val="1"/>
          <w:bCs w:val="1"/>
          <w:i w:val="1"/>
          <w:iCs w:val="1"/>
          <w:color w:val="auto"/>
        </w:rPr>
      </w:pPr>
      <w:r>
        <w:rPr>
          <w:rFonts w:ascii="Arial" w:cs="Arial" w:eastAsia="Arial" w:hAnsi="Arial"/>
          <w:sz w:val="16"/>
          <w:szCs w:val="16"/>
          <w:color w:val="auto"/>
        </w:rPr>
        <w:t>The components of goodwill and other intangible assets at June 30, 2015 and December 31, 2014 are presented below:</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640" w:type="dxa"/>
            <w:vAlign w:val="bottom"/>
          </w:tcPr>
          <w:p>
            <w:pPr>
              <w:jc w:val="right"/>
              <w:ind w:right="24"/>
              <w:spacing w:after="0"/>
              <w:rPr>
                <w:sz w:val="20"/>
                <w:szCs w:val="20"/>
                <w:color w:val="auto"/>
              </w:rPr>
            </w:pPr>
            <w:r>
              <w:rPr>
                <w:rFonts w:ascii="Arial" w:cs="Arial" w:eastAsia="Arial" w:hAnsi="Arial"/>
                <w:sz w:val="13"/>
                <w:szCs w:val="13"/>
                <w:b w:val="1"/>
                <w:bCs w:val="1"/>
                <w:color w:val="auto"/>
                <w:w w:val="99"/>
              </w:rPr>
              <w:t>June 30,</w:t>
            </w:r>
          </w:p>
        </w:tc>
        <w:tc>
          <w:tcPr>
            <w:tcW w:w="1180" w:type="dxa"/>
            <w:vAlign w:val="bottom"/>
            <w:gridSpan w:val="4"/>
          </w:tcPr>
          <w:p>
            <w:pPr>
              <w:ind w:left="360"/>
              <w:spacing w:after="0"/>
              <w:rPr>
                <w:sz w:val="20"/>
                <w:szCs w:val="20"/>
                <w:color w:val="auto"/>
              </w:rPr>
            </w:pPr>
            <w:r>
              <w:rPr>
                <w:rFonts w:ascii="Arial" w:cs="Arial" w:eastAsia="Arial" w:hAnsi="Arial"/>
                <w:sz w:val="13"/>
                <w:szCs w:val="13"/>
                <w:b w:val="1"/>
                <w:bCs w:val="1"/>
                <w:color w:val="auto"/>
                <w:w w:val="94"/>
              </w:rPr>
              <w:t>December 31,</w:t>
            </w:r>
          </w:p>
        </w:tc>
      </w:tr>
      <w:tr>
        <w:trPr>
          <w:trHeight w:val="152"/>
        </w:trPr>
        <w:tc>
          <w:tcPr>
            <w:tcW w:w="2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2420" w:type="dxa"/>
            <w:vAlign w:val="bottom"/>
            <w:gridSpan w:val="2"/>
          </w:tcPr>
          <w:p>
            <w:pPr>
              <w:jc w:val="right"/>
              <w:ind w:right="124"/>
              <w:spacing w:after="0"/>
              <w:rPr>
                <w:sz w:val="20"/>
                <w:szCs w:val="20"/>
                <w:color w:val="auto"/>
              </w:rPr>
            </w:pPr>
            <w:r>
              <w:rPr>
                <w:rFonts w:ascii="Arial" w:cs="Arial" w:eastAsia="Arial" w:hAnsi="Arial"/>
                <w:sz w:val="13"/>
                <w:szCs w:val="13"/>
                <w:b w:val="1"/>
                <w:bCs w:val="1"/>
                <w:color w:val="auto"/>
              </w:rPr>
              <w:t>2015</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ind w:right="183"/>
              <w:spacing w:after="0"/>
              <w:rPr>
                <w:sz w:val="20"/>
                <w:szCs w:val="20"/>
                <w:color w:val="auto"/>
              </w:rPr>
            </w:pPr>
            <w:r>
              <w:rPr>
                <w:rFonts w:ascii="Arial" w:cs="Arial" w:eastAsia="Arial" w:hAnsi="Arial"/>
                <w:sz w:val="13"/>
                <w:szCs w:val="13"/>
                <w:b w:val="1"/>
                <w:bCs w:val="1"/>
                <w:color w:val="auto"/>
              </w:rPr>
              <w:t>2014</w:t>
            </w:r>
          </w:p>
        </w:tc>
        <w:tc>
          <w:tcPr>
            <w:tcW w:w="80" w:type="dxa"/>
            <w:vAlign w:val="bottom"/>
          </w:tcPr>
          <w:p>
            <w:pPr>
              <w:spacing w:after="0"/>
              <w:rPr>
                <w:sz w:val="13"/>
                <w:szCs w:val="13"/>
                <w:color w:val="auto"/>
              </w:rPr>
            </w:pPr>
          </w:p>
        </w:tc>
      </w:tr>
      <w:tr>
        <w:trPr>
          <w:trHeight w:val="195"/>
        </w:trPr>
        <w:tc>
          <w:tcPr>
            <w:tcW w:w="20" w:type="dxa"/>
            <w:vAlign w:val="bottom"/>
          </w:tcPr>
          <w:p>
            <w:pPr>
              <w:spacing w:after="0"/>
              <w:rPr>
                <w:sz w:val="16"/>
                <w:szCs w:val="16"/>
                <w:color w:val="auto"/>
              </w:rPr>
            </w:pPr>
          </w:p>
        </w:tc>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Goodwill</w:t>
            </w:r>
          </w:p>
        </w:tc>
        <w:tc>
          <w:tcPr>
            <w:tcW w:w="17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$326,822</w:t>
            </w:r>
          </w:p>
        </w:tc>
        <w:tc>
          <w:tcPr>
            <w:tcW w:w="3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335,402</w:t>
            </w:r>
          </w:p>
        </w:tc>
        <w:tc>
          <w:tcPr>
            <w:tcW w:w="80" w:type="dxa"/>
            <w:vAlign w:val="bottom"/>
            <w:tcBorders>
              <w:top w:val="single" w:sz="8" w:color="CCEEFF"/>
            </w:tcBorders>
            <w:shd w:val="clear" w:color="auto" w:fill="CCEEFF"/>
          </w:tcPr>
          <w:p>
            <w:pPr>
              <w:spacing w:after="0"/>
              <w:rPr>
                <w:sz w:val="16"/>
                <w:szCs w:val="16"/>
                <w:color w:val="auto"/>
              </w:rPr>
            </w:pPr>
          </w:p>
        </w:tc>
      </w:tr>
      <w:tr>
        <w:trPr>
          <w:trHeight w:val="208"/>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6"/>
                <w:szCs w:val="16"/>
                <w:color w:val="auto"/>
              </w:rPr>
              <w:t>Other intangible assets (net of accumulated amortization)</w:t>
            </w:r>
          </w:p>
        </w:tc>
        <w:tc>
          <w:tcPr>
            <w:tcW w:w="178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9,147</w:t>
            </w: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12,036</w:t>
            </w:r>
          </w:p>
        </w:tc>
        <w:tc>
          <w:tcPr>
            <w:tcW w:w="8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520" w:type="dxa"/>
            <w:vAlign w:val="bottom"/>
            <w:shd w:val="clear" w:color="auto" w:fill="CCEEFF"/>
          </w:tcPr>
          <w:p>
            <w:pPr>
              <w:spacing w:after="0"/>
              <w:rPr>
                <w:sz w:val="17"/>
                <w:szCs w:val="17"/>
                <w:color w:val="auto"/>
              </w:rPr>
            </w:pP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335,969</w:t>
            </w:r>
          </w:p>
        </w:tc>
        <w:tc>
          <w:tcPr>
            <w:tcW w:w="500" w:type="dxa"/>
            <w:vAlign w:val="bottom"/>
            <w:gridSpan w:val="2"/>
            <w:shd w:val="clear" w:color="auto" w:fill="CCEEFF"/>
          </w:tcPr>
          <w:p>
            <w:pPr>
              <w:jc w:val="right"/>
              <w:ind w:right="2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347,438</w:t>
            </w:r>
          </w:p>
        </w:tc>
        <w:tc>
          <w:tcPr>
            <w:tcW w:w="8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6" w:lineRule="exact"/>
        <w:rPr>
          <w:sz w:val="20"/>
          <w:szCs w:val="20"/>
          <w:color w:val="auto"/>
        </w:rPr>
      </w:pPr>
    </w:p>
    <w:p>
      <w:pPr>
        <w:ind w:firstLine="457"/>
        <w:spacing w:after="0" w:line="296" w:lineRule="auto"/>
        <w:rPr>
          <w:sz w:val="20"/>
          <w:szCs w:val="20"/>
          <w:color w:val="auto"/>
        </w:rPr>
      </w:pPr>
      <w:r>
        <w:rPr>
          <w:rFonts w:ascii="Arial" w:cs="Arial" w:eastAsia="Arial" w:hAnsi="Arial"/>
          <w:sz w:val="16"/>
          <w:szCs w:val="16"/>
          <w:color w:val="auto"/>
        </w:rPr>
        <w:t>At June 30, 2015 and December 31, 2014, goodwill of $262,281 and $270,861, respectively, was attributable to the Company’s Financial Advisory segment and, at each such respective date, $64,541 of goodwill was attributable to the Company’s Asset Management segment.</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Changes in the carrying amount of goodwill for the six month periods ended June 30, 2015 and 2014 are as follows:</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40" w:type="dxa"/>
            <w:vAlign w:val="bottom"/>
            <w:gridSpan w:val="4"/>
          </w:tcPr>
          <w:p>
            <w:pPr>
              <w:ind w:left="36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June 30,</w:t>
            </w: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80" w:type="dxa"/>
            <w:vAlign w:val="bottom"/>
            <w:tcBorders>
              <w:bottom w:val="single" w:sz="8" w:color="CCEEFF"/>
            </w:tcBorders>
          </w:tcPr>
          <w:p>
            <w:pPr>
              <w:spacing w:after="0"/>
              <w:rPr>
                <w:sz w:val="11"/>
                <w:szCs w:val="11"/>
                <w:color w:val="auto"/>
              </w:rPr>
            </w:pPr>
          </w:p>
        </w:tc>
        <w:tc>
          <w:tcPr>
            <w:tcW w:w="230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ind w:right="129"/>
              <w:spacing w:after="0" w:line="132" w:lineRule="exact"/>
              <w:rPr>
                <w:sz w:val="20"/>
                <w:szCs w:val="20"/>
                <w:color w:val="auto"/>
              </w:rPr>
            </w:pPr>
            <w:r>
              <w:rPr>
                <w:rFonts w:ascii="Arial" w:cs="Arial" w:eastAsia="Arial" w:hAnsi="Arial"/>
                <w:sz w:val="13"/>
                <w:szCs w:val="13"/>
                <w:b w:val="1"/>
                <w:bCs w:val="1"/>
                <w:color w:val="auto"/>
              </w:rPr>
              <w:t>2015</w:t>
            </w:r>
          </w:p>
        </w:tc>
        <w:tc>
          <w:tcPr>
            <w:tcW w:w="46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ind w:right="123"/>
              <w:spacing w:after="0" w:line="132" w:lineRule="exact"/>
              <w:rPr>
                <w:sz w:val="20"/>
                <w:szCs w:val="20"/>
                <w:color w:val="auto"/>
              </w:rPr>
            </w:pPr>
            <w:r>
              <w:rPr>
                <w:rFonts w:ascii="Arial" w:cs="Arial" w:eastAsia="Arial" w:hAnsi="Arial"/>
                <w:sz w:val="13"/>
                <w:szCs w:val="13"/>
                <w:b w:val="1"/>
                <w:bCs w:val="1"/>
                <w:color w:val="auto"/>
              </w:rPr>
              <w:t>2014</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Balance, January 1</w:t>
            </w:r>
          </w:p>
        </w:tc>
        <w:tc>
          <w:tcPr>
            <w:tcW w:w="23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$ 335,402</w:t>
            </w:r>
          </w:p>
        </w:tc>
        <w:tc>
          <w:tcPr>
            <w:tcW w:w="4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$ 345,453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tcPr>
          <w:p>
            <w:pPr>
              <w:spacing w:after="0"/>
              <w:rPr>
                <w:sz w:val="20"/>
                <w:szCs w:val="20"/>
                <w:color w:val="auto"/>
              </w:rPr>
            </w:pPr>
            <w:r>
              <w:rPr>
                <w:rFonts w:ascii="Arial" w:cs="Arial" w:eastAsia="Arial" w:hAnsi="Arial"/>
                <w:sz w:val="16"/>
                <w:szCs w:val="16"/>
                <w:color w:val="auto"/>
              </w:rPr>
              <w:t>Foreign currency translation adjustments</w:t>
            </w:r>
          </w:p>
        </w:tc>
        <w:tc>
          <w:tcPr>
            <w:tcW w:w="2300" w:type="dxa"/>
            <w:vAlign w:val="bottom"/>
          </w:tcPr>
          <w:p>
            <w:pPr>
              <w:spacing w:after="0"/>
              <w:rPr>
                <w:sz w:val="17"/>
                <w:szCs w:val="17"/>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6"/>
                <w:szCs w:val="16"/>
                <w:color w:val="auto"/>
              </w:rPr>
              <w:t>(8,580)</w:t>
            </w:r>
          </w:p>
        </w:tc>
        <w:tc>
          <w:tcPr>
            <w:tcW w:w="640" w:type="dxa"/>
            <w:vAlign w:val="bottom"/>
          </w:tcPr>
          <w:p>
            <w:pPr>
              <w:jc w:val="right"/>
              <w:spacing w:after="0"/>
              <w:rPr>
                <w:sz w:val="20"/>
                <w:szCs w:val="20"/>
                <w:color w:val="auto"/>
              </w:rPr>
            </w:pPr>
            <w:r>
              <w:rPr>
                <w:rFonts w:ascii="Arial" w:cs="Arial" w:eastAsia="Arial" w:hAnsi="Arial"/>
                <w:sz w:val="16"/>
                <w:szCs w:val="16"/>
                <w:color w:val="auto"/>
              </w:rPr>
              <w:t>6,590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Balance, June 30</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$ 326,822</w:t>
            </w: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$ 352,043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right="340" w:firstLine="457"/>
        <w:spacing w:after="0" w:line="296" w:lineRule="auto"/>
        <w:rPr>
          <w:sz w:val="20"/>
          <w:szCs w:val="20"/>
          <w:color w:val="auto"/>
        </w:rPr>
      </w:pPr>
      <w:r>
        <w:rPr>
          <w:rFonts w:ascii="Arial" w:cs="Arial" w:eastAsia="Arial" w:hAnsi="Arial"/>
          <w:sz w:val="16"/>
          <w:szCs w:val="16"/>
          <w:color w:val="auto"/>
        </w:rPr>
        <w:t>All changes in the carrying amount of goodwill for the six month periods ended June 30, 2015 and 2014 are attributable to the Company’s Financial Advisory segment.</w:t>
      </w:r>
    </w:p>
    <w:p>
      <w:pPr>
        <w:spacing w:after="0" w:line="9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00"/>
          </w:cols>
          <w:pgMar w:left="240" w:top="440" w:right="45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LAZARD LTD</w:t>
      </w:r>
    </w:p>
    <w:p>
      <w:pPr>
        <w:spacing w:after="0" w:line="94"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auto"/>
        </w:rPr>
        <w:t>NOTES TO CONDENSED CONSOLIDATED FINANCIAL STATEMENTS—(Continued)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except for per share data, unless otherwise noted)</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gross cost and accumulated amortization of other intangible assets as of June 30, 2015 and December 31, 2014, by major intangible asset category,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16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3"/>
                <w:szCs w:val="13"/>
                <w:b w:val="1"/>
                <w:bCs w:val="1"/>
                <w:color w:val="auto"/>
              </w:rPr>
              <w:t>June 30, 2015</w:t>
            </w:r>
          </w:p>
        </w:tc>
        <w:tc>
          <w:tcPr>
            <w:tcW w:w="50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ind w:left="180"/>
              <w:spacing w:after="0"/>
              <w:rPr>
                <w:sz w:val="20"/>
                <w:szCs w:val="20"/>
                <w:color w:val="auto"/>
              </w:rPr>
            </w:pPr>
            <w:r>
              <w:rPr>
                <w:rFonts w:ascii="Arial" w:cs="Arial" w:eastAsia="Arial" w:hAnsi="Arial"/>
                <w:sz w:val="13"/>
                <w:szCs w:val="13"/>
                <w:b w:val="1"/>
                <w:bCs w:val="1"/>
                <w:color w:val="auto"/>
              </w:rPr>
              <w:t>December 31, 2014</w:t>
            </w: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19"/>
        </w:trPr>
        <w:tc>
          <w:tcPr>
            <w:tcW w:w="6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85"/>
              </w:rPr>
              <w:t>Net</w:t>
            </w: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ind w:right="103"/>
              <w:spacing w:after="0" w:line="119" w:lineRule="exact"/>
              <w:rPr>
                <w:sz w:val="20"/>
                <w:szCs w:val="20"/>
                <w:color w:val="auto"/>
              </w:rPr>
            </w:pPr>
            <w:r>
              <w:rPr>
                <w:rFonts w:ascii="Arial" w:cs="Arial" w:eastAsia="Arial" w:hAnsi="Arial"/>
                <w:sz w:val="13"/>
                <w:szCs w:val="13"/>
                <w:b w:val="1"/>
                <w:bCs w:val="1"/>
                <w:color w:val="auto"/>
              </w:rPr>
              <w:t>Net</w:t>
            </w:r>
          </w:p>
        </w:tc>
        <w:tc>
          <w:tcPr>
            <w:tcW w:w="80" w:type="dxa"/>
            <w:vAlign w:val="bottom"/>
          </w:tcPr>
          <w:p>
            <w:pPr>
              <w:spacing w:after="0"/>
              <w:rPr>
                <w:sz w:val="10"/>
                <w:szCs w:val="10"/>
                <w:color w:val="auto"/>
              </w:rPr>
            </w:pPr>
          </w:p>
        </w:tc>
      </w:tr>
      <w:tr>
        <w:trPr>
          <w:trHeight w:val="139"/>
        </w:trPr>
        <w:tc>
          <w:tcPr>
            <w:tcW w:w="6160" w:type="dxa"/>
            <w:vAlign w:val="bottom"/>
          </w:tcPr>
          <w:p>
            <w:pPr>
              <w:spacing w:after="0"/>
              <w:rPr>
                <w:sz w:val="12"/>
                <w:szCs w:val="12"/>
                <w:color w:val="auto"/>
              </w:rPr>
            </w:pPr>
          </w:p>
        </w:tc>
        <w:tc>
          <w:tcPr>
            <w:tcW w:w="680" w:type="dxa"/>
            <w:vAlign w:val="bottom"/>
            <w:gridSpan w:val="2"/>
          </w:tcPr>
          <w:p>
            <w:pPr>
              <w:jc w:val="center"/>
              <w:ind w:right="160"/>
              <w:spacing w:after="0" w:line="139" w:lineRule="exact"/>
              <w:rPr>
                <w:sz w:val="20"/>
                <w:szCs w:val="20"/>
                <w:color w:val="auto"/>
              </w:rPr>
            </w:pPr>
            <w:r>
              <w:rPr>
                <w:rFonts w:ascii="Arial" w:cs="Arial" w:eastAsia="Arial" w:hAnsi="Arial"/>
                <w:sz w:val="13"/>
                <w:szCs w:val="13"/>
                <w:b w:val="1"/>
                <w:bCs w:val="1"/>
                <w:color w:val="auto"/>
                <w:w w:val="85"/>
              </w:rPr>
              <w:t>Gross</w:t>
            </w:r>
          </w:p>
        </w:tc>
        <w:tc>
          <w:tcPr>
            <w:tcW w:w="180" w:type="dxa"/>
            <w:vAlign w:val="bottom"/>
          </w:tcPr>
          <w:p>
            <w:pPr>
              <w:spacing w:after="0"/>
              <w:rPr>
                <w:sz w:val="12"/>
                <w:szCs w:val="12"/>
                <w:color w:val="auto"/>
              </w:rPr>
            </w:pPr>
          </w:p>
        </w:tc>
        <w:tc>
          <w:tcPr>
            <w:tcW w:w="1040" w:type="dxa"/>
            <w:vAlign w:val="bottom"/>
            <w:gridSpan w:val="3"/>
          </w:tcPr>
          <w:p>
            <w:pPr>
              <w:jc w:val="right"/>
              <w:ind w:right="320"/>
              <w:spacing w:after="0" w:line="139" w:lineRule="exact"/>
              <w:rPr>
                <w:sz w:val="20"/>
                <w:szCs w:val="20"/>
                <w:color w:val="auto"/>
              </w:rPr>
            </w:pPr>
            <w:r>
              <w:rPr>
                <w:rFonts w:ascii="Arial" w:cs="Arial" w:eastAsia="Arial" w:hAnsi="Arial"/>
                <w:sz w:val="13"/>
                <w:szCs w:val="13"/>
                <w:b w:val="1"/>
                <w:bCs w:val="1"/>
                <w:color w:val="auto"/>
                <w:w w:val="85"/>
              </w:rPr>
              <w:t>Accumulated</w:t>
            </w:r>
          </w:p>
        </w:tc>
        <w:tc>
          <w:tcPr>
            <w:tcW w:w="50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3"/>
              </w:rPr>
              <w:t>Carrying</w:t>
            </w:r>
          </w:p>
        </w:tc>
        <w:tc>
          <w:tcPr>
            <w:tcW w:w="320" w:type="dxa"/>
            <w:vAlign w:val="bottom"/>
          </w:tcPr>
          <w:p>
            <w:pPr>
              <w:spacing w:after="0"/>
              <w:rPr>
                <w:sz w:val="12"/>
                <w:szCs w:val="12"/>
                <w:color w:val="auto"/>
              </w:rPr>
            </w:pPr>
          </w:p>
        </w:tc>
        <w:tc>
          <w:tcPr>
            <w:tcW w:w="540" w:type="dxa"/>
            <w:vAlign w:val="bottom"/>
          </w:tcPr>
          <w:p>
            <w:pPr>
              <w:jc w:val="right"/>
              <w:ind w:right="30"/>
              <w:spacing w:after="0" w:line="139" w:lineRule="exact"/>
              <w:rPr>
                <w:sz w:val="20"/>
                <w:szCs w:val="20"/>
                <w:color w:val="auto"/>
              </w:rPr>
            </w:pPr>
            <w:r>
              <w:rPr>
                <w:rFonts w:ascii="Arial" w:cs="Arial" w:eastAsia="Arial" w:hAnsi="Arial"/>
                <w:sz w:val="13"/>
                <w:szCs w:val="13"/>
                <w:b w:val="1"/>
                <w:bCs w:val="1"/>
                <w:color w:val="auto"/>
              </w:rPr>
              <w:t>Gross</w:t>
            </w:r>
          </w:p>
        </w:tc>
        <w:tc>
          <w:tcPr>
            <w:tcW w:w="320" w:type="dxa"/>
            <w:vAlign w:val="bottom"/>
          </w:tcPr>
          <w:p>
            <w:pPr>
              <w:spacing w:after="0"/>
              <w:rPr>
                <w:sz w:val="12"/>
                <w:szCs w:val="12"/>
                <w:color w:val="auto"/>
              </w:rPr>
            </w:pPr>
          </w:p>
        </w:tc>
        <w:tc>
          <w:tcPr>
            <w:tcW w:w="1060" w:type="dxa"/>
            <w:vAlign w:val="bottom"/>
            <w:gridSpan w:val="3"/>
          </w:tcPr>
          <w:p>
            <w:pPr>
              <w:ind w:left="20"/>
              <w:spacing w:after="0" w:line="139" w:lineRule="exact"/>
              <w:rPr>
                <w:sz w:val="20"/>
                <w:szCs w:val="20"/>
                <w:color w:val="auto"/>
              </w:rPr>
            </w:pPr>
            <w:r>
              <w:rPr>
                <w:rFonts w:ascii="Arial" w:cs="Arial" w:eastAsia="Arial" w:hAnsi="Arial"/>
                <w:sz w:val="13"/>
                <w:szCs w:val="13"/>
                <w:b w:val="1"/>
                <w:bCs w:val="1"/>
                <w:color w:val="auto"/>
              </w:rPr>
              <w:t>Accumulated</w:t>
            </w:r>
          </w:p>
        </w:tc>
        <w:tc>
          <w:tcPr>
            <w:tcW w:w="620" w:type="dxa"/>
            <w:vAlign w:val="bottom"/>
            <w:gridSpan w:val="3"/>
          </w:tcPr>
          <w:p>
            <w:pPr>
              <w:ind w:left="20"/>
              <w:spacing w:after="0" w:line="139" w:lineRule="exact"/>
              <w:rPr>
                <w:sz w:val="20"/>
                <w:szCs w:val="20"/>
                <w:color w:val="auto"/>
              </w:rPr>
            </w:pPr>
            <w:r>
              <w:rPr>
                <w:rFonts w:ascii="Arial" w:cs="Arial" w:eastAsia="Arial" w:hAnsi="Arial"/>
                <w:sz w:val="13"/>
                <w:szCs w:val="13"/>
                <w:b w:val="1"/>
                <w:bCs w:val="1"/>
                <w:color w:val="auto"/>
              </w:rPr>
              <w:t>Carrying</w:t>
            </w:r>
          </w:p>
        </w:tc>
      </w:tr>
      <w:tr>
        <w:trPr>
          <w:trHeight w:val="152"/>
        </w:trPr>
        <w:tc>
          <w:tcPr>
            <w:tcW w:w="6160" w:type="dxa"/>
            <w:vAlign w:val="bottom"/>
          </w:tcPr>
          <w:p>
            <w:pPr>
              <w:spacing w:after="0"/>
              <w:rPr>
                <w:sz w:val="13"/>
                <w:szCs w:val="13"/>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2"/>
              </w:rPr>
              <w:t>Cost</w:t>
            </w:r>
          </w:p>
        </w:tc>
        <w:tc>
          <w:tcPr>
            <w:tcW w:w="180" w:type="dxa"/>
            <w:vAlign w:val="bottom"/>
          </w:tcPr>
          <w:p>
            <w:pPr>
              <w:spacing w:after="0"/>
              <w:rPr>
                <w:sz w:val="13"/>
                <w:szCs w:val="13"/>
                <w:color w:val="auto"/>
              </w:rPr>
            </w:pPr>
          </w:p>
        </w:tc>
        <w:tc>
          <w:tcPr>
            <w:tcW w:w="1040" w:type="dxa"/>
            <w:vAlign w:val="bottom"/>
            <w:gridSpan w:val="3"/>
          </w:tcPr>
          <w:p>
            <w:pPr>
              <w:jc w:val="right"/>
              <w:ind w:right="320"/>
              <w:spacing w:after="0"/>
              <w:rPr>
                <w:sz w:val="20"/>
                <w:szCs w:val="20"/>
                <w:color w:val="auto"/>
              </w:rPr>
            </w:pPr>
            <w:r>
              <w:rPr>
                <w:rFonts w:ascii="Arial" w:cs="Arial" w:eastAsia="Arial" w:hAnsi="Arial"/>
                <w:sz w:val="13"/>
                <w:szCs w:val="13"/>
                <w:b w:val="1"/>
                <w:bCs w:val="1"/>
                <w:color w:val="auto"/>
                <w:w w:val="88"/>
              </w:rPr>
              <w:t>Amortization</w:t>
            </w: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89"/>
              </w:rPr>
              <w:t>Amount</w:t>
            </w:r>
          </w:p>
        </w:tc>
        <w:tc>
          <w:tcPr>
            <w:tcW w:w="320" w:type="dxa"/>
            <w:vAlign w:val="bottom"/>
          </w:tcPr>
          <w:p>
            <w:pPr>
              <w:spacing w:after="0"/>
              <w:rPr>
                <w:sz w:val="13"/>
                <w:szCs w:val="13"/>
                <w:color w:val="auto"/>
              </w:rPr>
            </w:pPr>
          </w:p>
        </w:tc>
        <w:tc>
          <w:tcPr>
            <w:tcW w:w="540" w:type="dxa"/>
            <w:vAlign w:val="bottom"/>
          </w:tcPr>
          <w:p>
            <w:pPr>
              <w:jc w:val="right"/>
              <w:ind w:right="70"/>
              <w:spacing w:after="0"/>
              <w:rPr>
                <w:sz w:val="20"/>
                <w:szCs w:val="20"/>
                <w:color w:val="auto"/>
              </w:rPr>
            </w:pPr>
            <w:r>
              <w:rPr>
                <w:rFonts w:ascii="Arial" w:cs="Arial" w:eastAsia="Arial" w:hAnsi="Arial"/>
                <w:sz w:val="13"/>
                <w:szCs w:val="13"/>
                <w:b w:val="1"/>
                <w:bCs w:val="1"/>
                <w:color w:val="auto"/>
              </w:rPr>
              <w:t>Cost</w:t>
            </w:r>
          </w:p>
        </w:tc>
        <w:tc>
          <w:tcPr>
            <w:tcW w:w="320" w:type="dxa"/>
            <w:vAlign w:val="bottom"/>
          </w:tcPr>
          <w:p>
            <w:pPr>
              <w:spacing w:after="0"/>
              <w:rPr>
                <w:sz w:val="13"/>
                <w:szCs w:val="13"/>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3"/>
                <w:szCs w:val="13"/>
                <w:b w:val="1"/>
                <w:bCs w:val="1"/>
                <w:color w:val="auto"/>
                <w:w w:val="90"/>
              </w:rPr>
              <w:t>Amortization</w:t>
            </w:r>
          </w:p>
        </w:tc>
        <w:tc>
          <w:tcPr>
            <w:tcW w:w="620" w:type="dxa"/>
            <w:vAlign w:val="bottom"/>
            <w:gridSpan w:val="3"/>
          </w:tcPr>
          <w:p>
            <w:pPr>
              <w:ind w:left="40"/>
              <w:spacing w:after="0"/>
              <w:rPr>
                <w:sz w:val="20"/>
                <w:szCs w:val="20"/>
                <w:color w:val="auto"/>
              </w:rPr>
            </w:pPr>
            <w:r>
              <w:rPr>
                <w:rFonts w:ascii="Arial" w:cs="Arial" w:eastAsia="Arial" w:hAnsi="Arial"/>
                <w:sz w:val="13"/>
                <w:szCs w:val="13"/>
                <w:b w:val="1"/>
                <w:bCs w:val="1"/>
                <w:color w:val="auto"/>
              </w:rPr>
              <w:t>Amount</w:t>
            </w:r>
          </w:p>
        </w:tc>
      </w:tr>
      <w:tr>
        <w:trPr>
          <w:trHeight w:val="195"/>
        </w:trPr>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Performance fees</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$30,740</w:t>
            </w: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22,985</w:t>
            </w:r>
          </w:p>
        </w:tc>
        <w:tc>
          <w:tcPr>
            <w:tcW w:w="3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$ 7,755</w:t>
            </w:r>
          </w:p>
        </w:tc>
        <w:tc>
          <w:tcPr>
            <w:tcW w:w="3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$30,740</w:t>
            </w:r>
          </w:p>
        </w:tc>
        <w:tc>
          <w:tcPr>
            <w:tcW w:w="3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21,116</w:t>
            </w:r>
          </w:p>
        </w:tc>
        <w:tc>
          <w:tcPr>
            <w:tcW w:w="3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9,624</w:t>
            </w:r>
          </w:p>
        </w:tc>
        <w:tc>
          <w:tcPr>
            <w:tcW w:w="80" w:type="dxa"/>
            <w:vAlign w:val="bottom"/>
            <w:tcBorders>
              <w:top w:val="single" w:sz="8" w:color="CCEEFF"/>
            </w:tcBorders>
            <w:shd w:val="clear" w:color="auto" w:fill="CCEEFF"/>
          </w:tcPr>
          <w:p>
            <w:pPr>
              <w:spacing w:after="0"/>
              <w:rPr>
                <w:sz w:val="16"/>
                <w:szCs w:val="16"/>
                <w:color w:val="auto"/>
              </w:rPr>
            </w:pPr>
          </w:p>
        </w:tc>
      </w:tr>
      <w:tr>
        <w:trPr>
          <w:trHeight w:val="202"/>
        </w:trPr>
        <w:tc>
          <w:tcPr>
            <w:tcW w:w="6160" w:type="dxa"/>
            <w:vAlign w:val="bottom"/>
          </w:tcPr>
          <w:p>
            <w:pPr>
              <w:spacing w:after="0"/>
              <w:rPr>
                <w:sz w:val="20"/>
                <w:szCs w:val="20"/>
                <w:color w:val="auto"/>
              </w:rPr>
            </w:pPr>
            <w:r>
              <w:rPr>
                <w:rFonts w:ascii="Arial" w:cs="Arial" w:eastAsia="Arial" w:hAnsi="Arial"/>
                <w:sz w:val="16"/>
                <w:szCs w:val="16"/>
                <w:color w:val="auto"/>
              </w:rPr>
              <w:t>Management fees, customer relationships and non-compete agreements</w:t>
            </w:r>
          </w:p>
        </w:tc>
        <w:tc>
          <w:tcPr>
            <w:tcW w:w="540" w:type="dxa"/>
            <w:vAlign w:val="bottom"/>
          </w:tcPr>
          <w:p>
            <w:pPr>
              <w:jc w:val="right"/>
              <w:spacing w:after="0"/>
              <w:rPr>
                <w:sz w:val="20"/>
                <w:szCs w:val="20"/>
                <w:color w:val="auto"/>
              </w:rPr>
            </w:pPr>
            <w:r>
              <w:rPr>
                <w:rFonts w:ascii="Arial" w:cs="Arial" w:eastAsia="Arial" w:hAnsi="Arial"/>
                <w:sz w:val="16"/>
                <w:szCs w:val="16"/>
                <w:color w:val="auto"/>
              </w:rPr>
              <w:t>33,036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6"/>
                <w:szCs w:val="16"/>
                <w:color w:val="auto"/>
              </w:rPr>
              <w:t>31,644</w:t>
            </w:r>
          </w:p>
        </w:tc>
        <w:tc>
          <w:tcPr>
            <w:tcW w:w="500" w:type="dxa"/>
            <w:vAlign w:val="bottom"/>
          </w:tcPr>
          <w:p>
            <w:pPr>
              <w:jc w:val="right"/>
              <w:spacing w:after="0"/>
              <w:rPr>
                <w:sz w:val="20"/>
                <w:szCs w:val="20"/>
                <w:color w:val="auto"/>
              </w:rPr>
            </w:pPr>
            <w:r>
              <w:rPr>
                <w:rFonts w:ascii="Arial" w:cs="Arial" w:eastAsia="Arial" w:hAnsi="Arial"/>
                <w:sz w:val="16"/>
                <w:szCs w:val="16"/>
                <w:color w:val="auto"/>
              </w:rPr>
              <w:t>1,392</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33,050</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30,638</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2,412</w:t>
            </w:r>
          </w:p>
        </w:tc>
        <w:tc>
          <w:tcPr>
            <w:tcW w:w="80" w:type="dxa"/>
            <w:vAlign w:val="bottom"/>
          </w:tcPr>
          <w:p>
            <w:pPr>
              <w:spacing w:after="0"/>
              <w:rPr>
                <w:sz w:val="17"/>
                <w:szCs w:val="17"/>
                <w:color w:val="auto"/>
              </w:rPr>
            </w:pPr>
          </w:p>
        </w:tc>
      </w:tr>
      <w:tr>
        <w:trPr>
          <w:trHeight w:val="25"/>
        </w:trPr>
        <w:tc>
          <w:tcPr>
            <w:tcW w:w="6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2"/>
        </w:trPr>
        <w:tc>
          <w:tcPr>
            <w:tcW w:w="6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63,776</w:t>
            </w:r>
          </w:p>
        </w:tc>
        <w:tc>
          <w:tcPr>
            <w:tcW w:w="1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32"/>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54,629</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$ 9,147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63,790</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51,754</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12,036</w:t>
            </w:r>
          </w:p>
        </w:tc>
        <w:tc>
          <w:tcPr>
            <w:tcW w:w="80" w:type="dxa"/>
            <w:vAlign w:val="bottom"/>
            <w:shd w:val="clear" w:color="auto" w:fill="CCEEFF"/>
          </w:tcPr>
          <w:p>
            <w:pPr>
              <w:spacing w:after="0"/>
              <w:rPr>
                <w:sz w:val="17"/>
                <w:szCs w:val="17"/>
                <w:color w:val="auto"/>
              </w:rPr>
            </w:pPr>
          </w:p>
        </w:tc>
      </w:tr>
      <w:tr>
        <w:trPr>
          <w:trHeight w:val="20"/>
        </w:trPr>
        <w:tc>
          <w:tcPr>
            <w:tcW w:w="6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6" w:lineRule="exact"/>
        <w:rPr>
          <w:sz w:val="20"/>
          <w:szCs w:val="20"/>
          <w:color w:val="auto"/>
        </w:rPr>
      </w:pPr>
    </w:p>
    <w:p>
      <w:pPr>
        <w:ind w:right="420" w:firstLine="457"/>
        <w:spacing w:after="0" w:line="296" w:lineRule="auto"/>
        <w:rPr>
          <w:sz w:val="20"/>
          <w:szCs w:val="20"/>
          <w:color w:val="auto"/>
        </w:rPr>
      </w:pPr>
      <w:r>
        <w:rPr>
          <w:rFonts w:ascii="Arial" w:cs="Arial" w:eastAsia="Arial" w:hAnsi="Arial"/>
          <w:sz w:val="16"/>
          <w:szCs w:val="16"/>
          <w:color w:val="auto"/>
        </w:rPr>
        <w:t>Amortization expense of intangible assets for the three month and six month periods ended June 30, 2015 was $1,857 and $2,890, respectively, and for the three month and six month periods ended June 30, 2014 was $706 and $1,926, respectively. Estimated future amortization expense is as follows:</w:t>
      </w:r>
    </w:p>
    <w:p>
      <w:pPr>
        <w:spacing w:after="0" w:line="126"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5560" w:type="dxa"/>
            <w:vAlign w:val="bottom"/>
            <w:gridSpan w:val="4"/>
            <w:vMerge w:val="restart"/>
          </w:tcPr>
          <w:p>
            <w:pPr>
              <w:ind w:left="220"/>
              <w:spacing w:after="0"/>
              <w:rPr>
                <w:sz w:val="20"/>
                <w:szCs w:val="20"/>
                <w:color w:val="auto"/>
              </w:rPr>
            </w:pPr>
            <w:r>
              <w:rPr>
                <w:rFonts w:ascii="Arial" w:cs="Arial" w:eastAsia="Arial" w:hAnsi="Arial"/>
                <w:sz w:val="13"/>
                <w:szCs w:val="13"/>
                <w:b w:val="1"/>
                <w:bCs w:val="1"/>
                <w:color w:val="auto"/>
              </w:rPr>
              <w:t>Year Ending December 31,</w:t>
            </w:r>
          </w:p>
        </w:tc>
        <w:tc>
          <w:tcPr>
            <w:tcW w:w="380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Amortization</w:t>
            </w:r>
          </w:p>
        </w:tc>
        <w:tc>
          <w:tcPr>
            <w:tcW w:w="0" w:type="dxa"/>
            <w:vAlign w:val="bottom"/>
          </w:tcPr>
          <w:p>
            <w:pPr>
              <w:spacing w:after="0"/>
              <w:rPr>
                <w:sz w:val="1"/>
                <w:szCs w:val="1"/>
                <w:color w:val="auto"/>
              </w:rPr>
            </w:pPr>
          </w:p>
        </w:tc>
      </w:tr>
      <w:tr>
        <w:trPr>
          <w:trHeight w:val="139"/>
        </w:trPr>
        <w:tc>
          <w:tcPr>
            <w:tcW w:w="5560" w:type="dxa"/>
            <w:vAlign w:val="bottom"/>
            <w:gridSpan w:val="4"/>
            <w:vMerge w:val="continue"/>
          </w:tcPr>
          <w:p>
            <w:pPr>
              <w:spacing w:after="0"/>
              <w:rPr>
                <w:sz w:val="12"/>
                <w:szCs w:val="12"/>
                <w:color w:val="auto"/>
              </w:rPr>
            </w:pPr>
          </w:p>
        </w:tc>
        <w:tc>
          <w:tcPr>
            <w:tcW w:w="2980" w:type="dxa"/>
            <w:vAlign w:val="bottom"/>
          </w:tcPr>
          <w:p>
            <w:pPr>
              <w:spacing w:after="0"/>
              <w:rPr>
                <w:sz w:val="12"/>
                <w:szCs w:val="12"/>
                <w:color w:val="auto"/>
              </w:rPr>
            </w:pPr>
          </w:p>
        </w:tc>
        <w:tc>
          <w:tcPr>
            <w:tcW w:w="820" w:type="dxa"/>
            <w:vAlign w:val="bottom"/>
            <w:gridSpan w:val="3"/>
          </w:tcPr>
          <w:p>
            <w:pPr>
              <w:ind w:left="60"/>
              <w:spacing w:after="0" w:line="139" w:lineRule="exact"/>
              <w:rPr>
                <w:sz w:val="20"/>
                <w:szCs w:val="20"/>
                <w:color w:val="auto"/>
              </w:rPr>
            </w:pPr>
            <w:r>
              <w:rPr>
                <w:rFonts w:ascii="Arial" w:cs="Arial" w:eastAsia="Arial" w:hAnsi="Arial"/>
                <w:sz w:val="13"/>
                <w:szCs w:val="13"/>
                <w:b w:val="1"/>
                <w:bCs w:val="1"/>
                <w:color w:val="auto"/>
              </w:rPr>
              <w:t>Expense (a)</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640" w:type="dxa"/>
            <w:vAlign w:val="bottom"/>
            <w:tcBorders>
              <w:bottom w:val="single" w:sz="8" w:color="CCEEFF"/>
            </w:tcBorders>
            <w:shd w:val="clear" w:color="auto" w:fill="000000"/>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40" w:type="dxa"/>
            <w:vAlign w:val="bottom"/>
          </w:tcPr>
          <w:p>
            <w:pPr>
              <w:spacing w:after="0"/>
              <w:rPr>
                <w:sz w:val="16"/>
                <w:szCs w:val="16"/>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2015 (July 1 through December 31)</w:t>
            </w:r>
          </w:p>
        </w:tc>
        <w:tc>
          <w:tcPr>
            <w:tcW w:w="29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6"/>
                <w:szCs w:val="16"/>
                <w:color w:val="auto"/>
              </w:rPr>
              <w:t>2016</w:t>
            </w:r>
          </w:p>
        </w:tc>
        <w:tc>
          <w:tcPr>
            <w:tcW w:w="6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0" w:type="dxa"/>
            <w:vAlign w:val="bottom"/>
          </w:tcPr>
          <w:p>
            <w:pPr>
              <w:spacing w:after="0"/>
              <w:rPr>
                <w:sz w:val="17"/>
                <w:szCs w:val="17"/>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Total amortization expense</w:t>
            </w:r>
          </w:p>
        </w:tc>
        <w:tc>
          <w:tcPr>
            <w:tcW w:w="3200" w:type="dxa"/>
            <w:vAlign w:val="bottom"/>
            <w:gridSpan w:val="2"/>
            <w:shd w:val="clear" w:color="auto" w:fill="CCEEFF"/>
          </w:tcPr>
          <w:p>
            <w:pPr>
              <w:jc w:val="right"/>
              <w:ind w:right="7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3780" w:type="dxa"/>
            <w:vAlign w:val="bottom"/>
          </w:tcPr>
          <w:p>
            <w:pPr>
              <w:spacing w:after="0"/>
              <w:rPr>
                <w:sz w:val="7"/>
                <w:szCs w:val="7"/>
                <w:color w:val="auto"/>
              </w:rPr>
            </w:pPr>
          </w:p>
        </w:tc>
        <w:tc>
          <w:tcPr>
            <w:tcW w:w="2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480" w:hanging="568"/>
        <w:spacing w:after="0"/>
        <w:tabs>
          <w:tab w:leader="none" w:pos="14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Approximately 45% of intangible asset amortization is attributable to a noncontrolling interest.</w:t>
      </w:r>
    </w:p>
    <w:p>
      <w:pPr>
        <w:spacing w:after="0" w:line="284" w:lineRule="exact"/>
        <w:rPr>
          <w:rFonts w:ascii="Arial" w:cs="Arial" w:eastAsia="Arial" w:hAnsi="Arial"/>
          <w:sz w:val="16"/>
          <w:szCs w:val="16"/>
          <w:color w:val="auto"/>
        </w:rPr>
      </w:pPr>
    </w:p>
    <w:p>
      <w:pPr>
        <w:ind w:left="460" w:hanging="459"/>
        <w:spacing w:after="0"/>
        <w:tabs>
          <w:tab w:leader="none" w:pos="460" w:val="left"/>
        </w:tabs>
        <w:numPr>
          <w:ilvl w:val="0"/>
          <w:numId w:val="2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SENIOR DEBT</w:t>
      </w:r>
    </w:p>
    <w:p>
      <w:pPr>
        <w:spacing w:after="0" w:line="94" w:lineRule="exact"/>
        <w:rPr>
          <w:rFonts w:ascii="Arial" w:cs="Arial" w:eastAsia="Arial" w:hAnsi="Arial"/>
          <w:sz w:val="16"/>
          <w:szCs w:val="16"/>
          <w:b w:val="1"/>
          <w:bCs w:val="1"/>
          <w:i w:val="1"/>
          <w:iCs w:val="1"/>
          <w:color w:val="auto"/>
        </w:rPr>
      </w:pPr>
    </w:p>
    <w:p>
      <w:pPr>
        <w:ind w:left="460"/>
        <w:spacing w:after="0"/>
        <w:rPr>
          <w:rFonts w:ascii="Arial" w:cs="Arial" w:eastAsia="Arial" w:hAnsi="Arial"/>
          <w:sz w:val="16"/>
          <w:szCs w:val="16"/>
          <w:b w:val="1"/>
          <w:bCs w:val="1"/>
          <w:i w:val="1"/>
          <w:iCs w:val="1"/>
          <w:color w:val="auto"/>
        </w:rPr>
      </w:pPr>
      <w:r>
        <w:rPr>
          <w:rFonts w:ascii="Arial" w:cs="Arial" w:eastAsia="Arial" w:hAnsi="Arial"/>
          <w:sz w:val="16"/>
          <w:szCs w:val="16"/>
          <w:color w:val="auto"/>
        </w:rPr>
        <w:t>Senior debt is comprised of the following as of June 30, 2015 and December 31, 2014:</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1060" w:type="dxa"/>
            <w:vAlign w:val="bottom"/>
            <w:gridSpan w:val="2"/>
          </w:tcPr>
          <w:p>
            <w:pPr>
              <w:ind w:left="140"/>
              <w:spacing w:after="0"/>
              <w:rPr>
                <w:sz w:val="20"/>
                <w:szCs w:val="20"/>
                <w:color w:val="auto"/>
              </w:rPr>
            </w:pPr>
            <w:r>
              <w:rPr>
                <w:rFonts w:ascii="Arial" w:cs="Arial" w:eastAsia="Arial" w:hAnsi="Arial"/>
                <w:sz w:val="13"/>
                <w:szCs w:val="13"/>
                <w:b w:val="1"/>
                <w:bCs w:val="1"/>
                <w:color w:val="auto"/>
              </w:rPr>
              <w:t>Initial</w:t>
            </w: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center"/>
              <w:ind w:right="660"/>
              <w:spacing w:after="0"/>
              <w:rPr>
                <w:sz w:val="20"/>
                <w:szCs w:val="20"/>
                <w:color w:val="auto"/>
              </w:rPr>
            </w:pPr>
            <w:r>
              <w:rPr>
                <w:rFonts w:ascii="Arial" w:cs="Arial" w:eastAsia="Arial" w:hAnsi="Arial"/>
                <w:sz w:val="13"/>
                <w:szCs w:val="13"/>
                <w:b w:val="1"/>
                <w:bCs w:val="1"/>
                <w:color w:val="auto"/>
                <w:w w:val="90"/>
              </w:rPr>
              <w:t>Annual</w:t>
            </w:r>
          </w:p>
        </w:tc>
        <w:tc>
          <w:tcPr>
            <w:tcW w:w="2060" w:type="dxa"/>
            <w:vAlign w:val="bottom"/>
            <w:gridSpan w:val="4"/>
          </w:tcPr>
          <w:p>
            <w:pPr>
              <w:ind w:left="460"/>
              <w:spacing w:after="0"/>
              <w:rPr>
                <w:sz w:val="20"/>
                <w:szCs w:val="20"/>
                <w:color w:val="auto"/>
              </w:rPr>
            </w:pPr>
            <w:r>
              <w:rPr>
                <w:rFonts w:ascii="Arial" w:cs="Arial" w:eastAsia="Arial" w:hAnsi="Arial"/>
                <w:sz w:val="13"/>
                <w:szCs w:val="13"/>
                <w:b w:val="1"/>
                <w:bCs w:val="1"/>
                <w:color w:val="auto"/>
              </w:rPr>
              <w:t>Outstanding As Of</w:t>
            </w:r>
          </w:p>
        </w:tc>
      </w:tr>
      <w:tr>
        <w:trPr>
          <w:trHeight w:val="119"/>
        </w:trPr>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106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Principal</w:t>
            </w:r>
          </w:p>
        </w:tc>
        <w:tc>
          <w:tcPr>
            <w:tcW w:w="88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Maturity</w:t>
            </w:r>
          </w:p>
        </w:tc>
        <w:tc>
          <w:tcPr>
            <w:tcW w:w="1140" w:type="dxa"/>
            <w:vAlign w:val="bottom"/>
            <w:gridSpan w:val="2"/>
          </w:tcPr>
          <w:p>
            <w:pPr>
              <w:jc w:val="center"/>
              <w:ind w:right="680"/>
              <w:spacing w:after="0" w:line="119" w:lineRule="exact"/>
              <w:rPr>
                <w:sz w:val="20"/>
                <w:szCs w:val="20"/>
                <w:color w:val="auto"/>
              </w:rPr>
            </w:pPr>
            <w:r>
              <w:rPr>
                <w:rFonts w:ascii="Arial" w:cs="Arial" w:eastAsia="Arial" w:hAnsi="Arial"/>
                <w:sz w:val="13"/>
                <w:szCs w:val="13"/>
                <w:b w:val="1"/>
                <w:bCs w:val="1"/>
                <w:color w:val="auto"/>
                <w:w w:val="89"/>
              </w:rPr>
              <w:t>Interest</w:t>
            </w:r>
          </w:p>
        </w:tc>
        <w:tc>
          <w:tcPr>
            <w:tcW w:w="680" w:type="dxa"/>
            <w:vAlign w:val="bottom"/>
            <w:tcBorders>
              <w:top w:val="single" w:sz="8" w:color="auto"/>
            </w:tcBorders>
          </w:tcPr>
          <w:p>
            <w:pPr>
              <w:jc w:val="right"/>
              <w:ind w:right="25"/>
              <w:spacing w:after="0" w:line="119" w:lineRule="exact"/>
              <w:rPr>
                <w:sz w:val="20"/>
                <w:szCs w:val="20"/>
                <w:color w:val="auto"/>
              </w:rPr>
            </w:pPr>
            <w:r>
              <w:rPr>
                <w:rFonts w:ascii="Arial" w:cs="Arial" w:eastAsia="Arial" w:hAnsi="Arial"/>
                <w:sz w:val="13"/>
                <w:szCs w:val="13"/>
                <w:b w:val="1"/>
                <w:bCs w:val="1"/>
                <w:color w:val="auto"/>
              </w:rPr>
              <w:t>June 30,</w:t>
            </w:r>
          </w:p>
        </w:tc>
        <w:tc>
          <w:tcPr>
            <w:tcW w:w="4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89"/>
              </w:rPr>
              <w:t>December 31,</w:t>
            </w:r>
          </w:p>
        </w:tc>
        <w:tc>
          <w:tcPr>
            <w:tcW w:w="100" w:type="dxa"/>
            <w:vAlign w:val="bottom"/>
          </w:tcPr>
          <w:p>
            <w:pPr>
              <w:spacing w:after="0"/>
              <w:rPr>
                <w:sz w:val="10"/>
                <w:szCs w:val="10"/>
                <w:color w:val="auto"/>
              </w:rPr>
            </w:pPr>
          </w:p>
        </w:tc>
      </w:tr>
      <w:tr>
        <w:trPr>
          <w:trHeight w:val="152"/>
        </w:trPr>
        <w:tc>
          <w:tcPr>
            <w:tcW w:w="114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48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Amount</w:t>
            </w:r>
          </w:p>
        </w:tc>
        <w:tc>
          <w:tcPr>
            <w:tcW w:w="44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ind w:right="144"/>
              <w:spacing w:after="0"/>
              <w:rPr>
                <w:sz w:val="20"/>
                <w:szCs w:val="20"/>
                <w:color w:val="auto"/>
              </w:rPr>
            </w:pPr>
            <w:r>
              <w:rPr>
                <w:rFonts w:ascii="Arial" w:cs="Arial" w:eastAsia="Arial" w:hAnsi="Arial"/>
                <w:sz w:val="13"/>
                <w:szCs w:val="13"/>
                <w:b w:val="1"/>
                <w:bCs w:val="1"/>
                <w:color w:val="auto"/>
              </w:rPr>
              <w:t>Date</w:t>
            </w:r>
          </w:p>
        </w:tc>
        <w:tc>
          <w:tcPr>
            <w:tcW w:w="2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Rate</w:t>
            </w:r>
          </w:p>
        </w:tc>
        <w:tc>
          <w:tcPr>
            <w:tcW w:w="6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ind w:right="125"/>
              <w:spacing w:after="0"/>
              <w:rPr>
                <w:sz w:val="20"/>
                <w:szCs w:val="20"/>
                <w:color w:val="auto"/>
              </w:rPr>
            </w:pPr>
            <w:r>
              <w:rPr>
                <w:rFonts w:ascii="Arial" w:cs="Arial" w:eastAsia="Arial" w:hAnsi="Arial"/>
                <w:sz w:val="13"/>
                <w:szCs w:val="13"/>
                <w:b w:val="1"/>
                <w:bCs w:val="1"/>
                <w:color w:val="auto"/>
              </w:rPr>
              <w:t>2015</w:t>
            </w:r>
          </w:p>
        </w:tc>
        <w:tc>
          <w:tcPr>
            <w:tcW w:w="44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225"/>
              <w:spacing w:after="0"/>
              <w:rPr>
                <w:sz w:val="20"/>
                <w:szCs w:val="20"/>
                <w:color w:val="auto"/>
              </w:rPr>
            </w:pPr>
            <w:r>
              <w:rPr>
                <w:rFonts w:ascii="Arial" w:cs="Arial" w:eastAsia="Arial" w:hAnsi="Arial"/>
                <w:sz w:val="13"/>
                <w:szCs w:val="13"/>
                <w:b w:val="1"/>
                <w:bCs w:val="1"/>
                <w:color w:val="auto"/>
              </w:rPr>
              <w:t>2014</w:t>
            </w:r>
          </w:p>
        </w:tc>
        <w:tc>
          <w:tcPr>
            <w:tcW w:w="100" w:type="dxa"/>
            <w:vAlign w:val="bottom"/>
            <w:tcBorders>
              <w:bottom w:val="single" w:sz="8" w:color="CCEEFF"/>
            </w:tcBorders>
          </w:tcPr>
          <w:p>
            <w:pPr>
              <w:spacing w:after="0"/>
              <w:rPr>
                <w:sz w:val="13"/>
                <w:szCs w:val="13"/>
                <w:color w:val="auto"/>
              </w:rPr>
            </w:pPr>
          </w:p>
        </w:tc>
      </w:tr>
      <w:tr>
        <w:trPr>
          <w:trHeight w:val="195"/>
        </w:trPr>
        <w:tc>
          <w:tcPr>
            <w:tcW w:w="62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Lazard Group 6.85% Senior Notes</w:t>
            </w:r>
          </w:p>
        </w:tc>
        <w:tc>
          <w:tcPr>
            <w:tcW w:w="620" w:type="dxa"/>
            <w:vAlign w:val="bottom"/>
            <w:shd w:val="clear" w:color="auto" w:fill="CCEEFF"/>
          </w:tcPr>
          <w:p>
            <w:pPr>
              <w:ind w:left="100"/>
              <w:spacing w:after="0"/>
              <w:rPr>
                <w:sz w:val="20"/>
                <w:szCs w:val="20"/>
                <w:color w:val="auto"/>
              </w:rPr>
            </w:pPr>
            <w:r>
              <w:rPr>
                <w:rFonts w:ascii="Arial" w:cs="Arial" w:eastAsia="Arial" w:hAnsi="Arial"/>
                <w:sz w:val="16"/>
                <w:szCs w:val="16"/>
                <w:color w:val="auto"/>
                <w:w w:val="86"/>
              </w:rPr>
              <w:t>600,000</w:t>
            </w:r>
          </w:p>
        </w:tc>
        <w:tc>
          <w:tcPr>
            <w:tcW w:w="4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6/15/17</w:t>
            </w: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6.85%</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98,350</w:t>
            </w:r>
          </w:p>
        </w:tc>
        <w:tc>
          <w:tcPr>
            <w:tcW w:w="4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548,350</w:t>
            </w:r>
          </w:p>
        </w:tc>
        <w:tc>
          <w:tcPr>
            <w:tcW w:w="100" w:type="dxa"/>
            <w:vAlign w:val="bottom"/>
            <w:shd w:val="clear" w:color="auto" w:fill="CCEEFF"/>
          </w:tcPr>
          <w:p>
            <w:pPr>
              <w:spacing w:after="0"/>
              <w:rPr>
                <w:sz w:val="16"/>
                <w:szCs w:val="16"/>
                <w:color w:val="auto"/>
              </w:rPr>
            </w:pPr>
          </w:p>
        </w:tc>
      </w:tr>
      <w:tr>
        <w:trPr>
          <w:trHeight w:val="202"/>
        </w:trPr>
        <w:tc>
          <w:tcPr>
            <w:tcW w:w="1400" w:type="dxa"/>
            <w:vAlign w:val="bottom"/>
            <w:gridSpan w:val="2"/>
          </w:tcPr>
          <w:p>
            <w:pPr>
              <w:spacing w:after="0"/>
              <w:rPr>
                <w:sz w:val="20"/>
                <w:szCs w:val="20"/>
                <w:color w:val="auto"/>
              </w:rPr>
            </w:pPr>
            <w:r>
              <w:rPr>
                <w:rFonts w:ascii="Arial" w:cs="Arial" w:eastAsia="Arial" w:hAnsi="Arial"/>
                <w:sz w:val="16"/>
                <w:szCs w:val="16"/>
                <w:color w:val="auto"/>
                <w:w w:val="93"/>
              </w:rPr>
              <w:t>Lazard Group 4.25%</w:t>
            </w:r>
          </w:p>
        </w:tc>
        <w:tc>
          <w:tcPr>
            <w:tcW w:w="4880" w:type="dxa"/>
            <w:vAlign w:val="bottom"/>
          </w:tcPr>
          <w:p>
            <w:pPr>
              <w:ind w:left="20"/>
              <w:spacing w:after="0"/>
              <w:rPr>
                <w:sz w:val="20"/>
                <w:szCs w:val="20"/>
                <w:color w:val="auto"/>
              </w:rPr>
            </w:pPr>
            <w:r>
              <w:rPr>
                <w:rFonts w:ascii="Arial" w:cs="Arial" w:eastAsia="Arial" w:hAnsi="Arial"/>
                <w:sz w:val="16"/>
                <w:szCs w:val="16"/>
                <w:color w:val="auto"/>
              </w:rPr>
              <w:t>Senior Notes</w:t>
            </w:r>
          </w:p>
        </w:tc>
        <w:tc>
          <w:tcPr>
            <w:tcW w:w="620" w:type="dxa"/>
            <w:vAlign w:val="bottom"/>
          </w:tcPr>
          <w:p>
            <w:pPr>
              <w:ind w:left="100"/>
              <w:spacing w:after="0"/>
              <w:rPr>
                <w:sz w:val="20"/>
                <w:szCs w:val="20"/>
                <w:color w:val="auto"/>
              </w:rPr>
            </w:pPr>
            <w:r>
              <w:rPr>
                <w:rFonts w:ascii="Arial" w:cs="Arial" w:eastAsia="Arial" w:hAnsi="Arial"/>
                <w:sz w:val="16"/>
                <w:szCs w:val="16"/>
                <w:color w:val="auto"/>
                <w:w w:val="86"/>
              </w:rPr>
              <w:t>500,000</w:t>
            </w:r>
          </w:p>
        </w:tc>
        <w:tc>
          <w:tcPr>
            <w:tcW w:w="44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11/14/20</w:t>
            </w:r>
          </w:p>
        </w:tc>
        <w:tc>
          <w:tcPr>
            <w:tcW w:w="1140" w:type="dxa"/>
            <w:vAlign w:val="bottom"/>
            <w:gridSpan w:val="2"/>
          </w:tcPr>
          <w:p>
            <w:pPr>
              <w:jc w:val="right"/>
              <w:ind w:right="540"/>
              <w:spacing w:after="0"/>
              <w:rPr>
                <w:sz w:val="20"/>
                <w:szCs w:val="20"/>
                <w:color w:val="auto"/>
              </w:rPr>
            </w:pPr>
            <w:r>
              <w:rPr>
                <w:rFonts w:ascii="Arial" w:cs="Arial" w:eastAsia="Arial" w:hAnsi="Arial"/>
                <w:sz w:val="16"/>
                <w:szCs w:val="16"/>
                <w:color w:val="auto"/>
              </w:rPr>
              <w:t>4.25%</w:t>
            </w:r>
          </w:p>
        </w:tc>
        <w:tc>
          <w:tcPr>
            <w:tcW w:w="680" w:type="dxa"/>
            <w:vAlign w:val="bottom"/>
          </w:tcPr>
          <w:p>
            <w:pPr>
              <w:jc w:val="right"/>
              <w:spacing w:after="0"/>
              <w:rPr>
                <w:sz w:val="20"/>
                <w:szCs w:val="20"/>
                <w:color w:val="auto"/>
              </w:rPr>
            </w:pPr>
            <w:r>
              <w:rPr>
                <w:rFonts w:ascii="Arial" w:cs="Arial" w:eastAsia="Arial" w:hAnsi="Arial"/>
                <w:sz w:val="16"/>
                <w:szCs w:val="16"/>
                <w:color w:val="auto"/>
              </w:rPr>
              <w:t>500,000</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tcPr>
          <w:p>
            <w:pPr>
              <w:spacing w:after="0"/>
              <w:rPr>
                <w:sz w:val="17"/>
                <w:szCs w:val="17"/>
                <w:color w:val="auto"/>
              </w:rPr>
            </w:pPr>
          </w:p>
        </w:tc>
      </w:tr>
      <w:tr>
        <w:trPr>
          <w:trHeight w:val="202"/>
        </w:trPr>
        <w:tc>
          <w:tcPr>
            <w:tcW w:w="140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3"/>
              </w:rPr>
              <w:t>Lazard Group 3.75%</w:t>
            </w:r>
          </w:p>
        </w:tc>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 (a)</w:t>
            </w:r>
          </w:p>
        </w:tc>
        <w:tc>
          <w:tcPr>
            <w:tcW w:w="620" w:type="dxa"/>
            <w:vAlign w:val="bottom"/>
            <w:shd w:val="clear" w:color="auto" w:fill="CCEEFF"/>
          </w:tcPr>
          <w:p>
            <w:pPr>
              <w:ind w:left="100"/>
              <w:spacing w:after="0"/>
              <w:rPr>
                <w:sz w:val="20"/>
                <w:szCs w:val="20"/>
                <w:color w:val="auto"/>
              </w:rPr>
            </w:pPr>
            <w:r>
              <w:rPr>
                <w:rFonts w:ascii="Arial" w:cs="Arial" w:eastAsia="Arial" w:hAnsi="Arial"/>
                <w:sz w:val="16"/>
                <w:szCs w:val="16"/>
                <w:color w:val="auto"/>
                <w:w w:val="86"/>
              </w:rPr>
              <w:t>400,000</w:t>
            </w:r>
          </w:p>
        </w:tc>
        <w:tc>
          <w:tcPr>
            <w:tcW w:w="4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2/13/25</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3.75%</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8"/>
        </w:trPr>
        <w:tc>
          <w:tcPr>
            <w:tcW w:w="6280" w:type="dxa"/>
            <w:vAlign w:val="bottom"/>
            <w:gridSpan w:val="3"/>
          </w:tcPr>
          <w:p>
            <w:pPr>
              <w:spacing w:after="0"/>
              <w:rPr>
                <w:sz w:val="20"/>
                <w:szCs w:val="20"/>
                <w:color w:val="auto"/>
              </w:rPr>
            </w:pPr>
            <w:r>
              <w:rPr>
                <w:rFonts w:ascii="Arial" w:cs="Arial" w:eastAsia="Arial" w:hAnsi="Arial"/>
                <w:sz w:val="16"/>
                <w:szCs w:val="16"/>
                <w:color w:val="auto"/>
              </w:rPr>
              <w:t>Lazard Group Credit Facility</w:t>
            </w:r>
          </w:p>
        </w:tc>
        <w:tc>
          <w:tcPr>
            <w:tcW w:w="620" w:type="dxa"/>
            <w:vAlign w:val="bottom"/>
          </w:tcPr>
          <w:p>
            <w:pPr>
              <w:ind w:left="100"/>
              <w:spacing w:after="0"/>
              <w:rPr>
                <w:sz w:val="20"/>
                <w:szCs w:val="20"/>
                <w:color w:val="auto"/>
              </w:rPr>
            </w:pPr>
            <w:r>
              <w:rPr>
                <w:rFonts w:ascii="Arial" w:cs="Arial" w:eastAsia="Arial" w:hAnsi="Arial"/>
                <w:sz w:val="16"/>
                <w:szCs w:val="16"/>
                <w:color w:val="auto"/>
                <w:w w:val="86"/>
              </w:rPr>
              <w:t>150,000</w:t>
            </w:r>
          </w:p>
        </w:tc>
        <w:tc>
          <w:tcPr>
            <w:tcW w:w="4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9/25/15</w:t>
            </w:r>
          </w:p>
        </w:tc>
        <w:tc>
          <w:tcPr>
            <w:tcW w:w="1140" w:type="dxa"/>
            <w:vAlign w:val="bottom"/>
            <w:gridSpan w:val="2"/>
          </w:tcPr>
          <w:p>
            <w:pPr>
              <w:jc w:val="right"/>
              <w:ind w:right="540"/>
              <w:spacing w:after="0"/>
              <w:rPr>
                <w:sz w:val="20"/>
                <w:szCs w:val="20"/>
                <w:color w:val="auto"/>
              </w:rPr>
            </w:pPr>
            <w:r>
              <w:rPr>
                <w:rFonts w:ascii="Arial" w:cs="Arial" w:eastAsia="Arial" w:hAnsi="Arial"/>
                <w:sz w:val="16"/>
                <w:szCs w:val="16"/>
                <w:color w:val="auto"/>
              </w:rPr>
              <w:t>0.79%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02"/>
        </w:trPr>
        <w:tc>
          <w:tcPr>
            <w:tcW w:w="14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Total</w:t>
            </w:r>
          </w:p>
        </w:tc>
        <w:tc>
          <w:tcPr>
            <w:tcW w:w="48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$ 998,350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$ 1,048,350</w:t>
            </w:r>
          </w:p>
        </w:tc>
        <w:tc>
          <w:tcPr>
            <w:tcW w:w="100" w:type="dxa"/>
            <w:vAlign w:val="bottom"/>
            <w:shd w:val="clear" w:color="auto" w:fill="CCEEFF"/>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2"/>
        </w:trPr>
        <w:tc>
          <w:tcPr>
            <w:tcW w:w="11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48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r>
    </w:tbl>
    <w:p>
      <w:pPr>
        <w:spacing w:after="0" w:line="17" w:lineRule="exact"/>
        <w:rPr>
          <w:sz w:val="20"/>
          <w:szCs w:val="20"/>
          <w:color w:val="auto"/>
        </w:rPr>
      </w:pPr>
    </w:p>
    <w:p>
      <w:pPr>
        <w:ind w:left="460" w:right="140" w:hanging="459"/>
        <w:spacing w:after="0" w:line="270"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During February 2015, Lazard Group completed an offering of $400,000 aggregate principal amount of 3.75% senior notes due 2025 (the “2025 Notes”). Lazard Group also issued a notice to redeem $450,000 of Lazard Group’s 6.85% senior notes due June 15, 2017 (the “2017 Notes”) in February 2015. Interest on the 2025 Notes is payable semi-annually on March 1 and September 1 of each year beginning September 1, 2015. Lazard Group used the net proceeds of the 2025 Notes, together with cash on hand, to redeem or otherwise retire $450,000 of the 2017 Notes, which, including the recognition of unamortized issuance costs, resulted in a loss on debt extinguishment of $60,219. Such loss on debt extinguishment was recorded in “operating expenses—other” on the condensed consolidated statement of operations for the six month period ended June 30, 2015.</w:t>
      </w:r>
    </w:p>
    <w:p>
      <w:pPr>
        <w:spacing w:after="0" w:line="125" w:lineRule="exact"/>
        <w:rPr>
          <w:sz w:val="20"/>
          <w:szCs w:val="20"/>
          <w:color w:val="auto"/>
        </w:rPr>
      </w:pPr>
    </w:p>
    <w:p>
      <w:pPr>
        <w:ind w:right="180" w:firstLine="457"/>
        <w:spacing w:after="0" w:line="296" w:lineRule="auto"/>
        <w:rPr>
          <w:sz w:val="20"/>
          <w:szCs w:val="20"/>
          <w:color w:val="auto"/>
        </w:rPr>
      </w:pPr>
      <w:r>
        <w:rPr>
          <w:rFonts w:ascii="Arial" w:cs="Arial" w:eastAsia="Arial" w:hAnsi="Arial"/>
          <w:sz w:val="16"/>
          <w:szCs w:val="16"/>
          <w:color w:val="auto"/>
        </w:rPr>
        <w:t>On September 25, 2012, Lazard Group entered into a $150,000, three-year senior revolving credit facility with a group of lenders (the “Credit Facility”). The Credit Facility replaced a similar revolving credit facility which was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440" w:right="23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LAZARD LTD</w:t>
      </w:r>
    </w:p>
    <w:p>
      <w:pPr>
        <w:spacing w:after="0" w:line="94"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auto"/>
        </w:rPr>
        <w:t>NOTES TO CONDENSED CONSOLIDATED FINANCIAL STATEMENTS—(Continued)</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thousands, except for per share data, unless otherwise noted)</w:t>
      </w:r>
    </w:p>
    <w:p>
      <w:pPr>
        <w:spacing w:after="0" w:line="152"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terminated as a condition to effectiveness of the Credit Facility. Interest rates under the Credit Facility vary and are based on either a Federal Funds rate or a Eurodollar rate, in each case plus an applicable margin. As of June 30, 2015, the annual interest rate for a loan accruing interest (based on the Federal Funds overnight rate), including the applicable margin, was 0.79%. At June 30, 2015 and December 31, 2014, no amounts were outstanding under the Credit Facility.</w:t>
      </w:r>
    </w:p>
    <w:p>
      <w:pPr>
        <w:spacing w:after="0" w:line="115" w:lineRule="exact"/>
        <w:rPr>
          <w:sz w:val="20"/>
          <w:szCs w:val="20"/>
          <w:color w:val="auto"/>
        </w:rPr>
      </w:pPr>
    </w:p>
    <w:p>
      <w:pPr>
        <w:ind w:right="20" w:firstLine="457"/>
        <w:spacing w:after="0" w:line="274" w:lineRule="auto"/>
        <w:rPr>
          <w:sz w:val="20"/>
          <w:szCs w:val="20"/>
          <w:color w:val="auto"/>
        </w:rPr>
      </w:pPr>
      <w:r>
        <w:rPr>
          <w:rFonts w:ascii="Arial" w:cs="Arial" w:eastAsia="Arial" w:hAnsi="Arial"/>
          <w:sz w:val="16"/>
          <w:szCs w:val="16"/>
          <w:color w:val="auto"/>
        </w:rPr>
        <w:t>The Credit Facility expires in September 2015 and contains customary terms and conditions, including certain financial covenants. In addition, the Credit Facility, the indenture and the supplemental indentures relating to Lazard Group’s senior notes contain certain covenants, events of default and other customary provisions, including a customary make-whole provision in the event of early redemption, where applicable. As of June 30, 2015, the Company was in compliance with such provisions. All of the Company’s senior debt obligations are unsecured.</w:t>
      </w:r>
    </w:p>
    <w:p>
      <w:pPr>
        <w:spacing w:after="0" w:line="121" w:lineRule="exact"/>
        <w:rPr>
          <w:sz w:val="20"/>
          <w:szCs w:val="20"/>
          <w:color w:val="auto"/>
        </w:rPr>
      </w:pPr>
    </w:p>
    <w:p>
      <w:pPr>
        <w:jc w:val="both"/>
        <w:ind w:right="400" w:firstLine="457"/>
        <w:spacing w:after="0" w:line="280" w:lineRule="auto"/>
        <w:rPr>
          <w:sz w:val="20"/>
          <w:szCs w:val="20"/>
          <w:color w:val="auto"/>
        </w:rPr>
      </w:pPr>
      <w:r>
        <w:rPr>
          <w:rFonts w:ascii="Arial" w:cs="Arial" w:eastAsia="Arial" w:hAnsi="Arial"/>
          <w:sz w:val="16"/>
          <w:szCs w:val="16"/>
          <w:color w:val="auto"/>
        </w:rPr>
        <w:t>As of June 30, 2015, the Company had approximately $247,000 in unused lines of credit available to it, including the Credit Facility, and unused lines of credit available to LFB of approximately $39,000 (at June 30, 2015 exchange rates) and Edgewater of $55,000. In addition, LFB has access to the Eurosystem Covered Bond Purchase Program of the Banque de France.</w:t>
      </w:r>
    </w:p>
    <w:p>
      <w:pPr>
        <w:spacing w:after="0" w:line="115" w:lineRule="exact"/>
        <w:rPr>
          <w:sz w:val="20"/>
          <w:szCs w:val="20"/>
          <w:color w:val="auto"/>
        </w:rPr>
      </w:pPr>
    </w:p>
    <w:p>
      <w:pPr>
        <w:ind w:right="180" w:firstLine="457"/>
        <w:spacing w:after="0" w:line="274" w:lineRule="auto"/>
        <w:rPr>
          <w:sz w:val="20"/>
          <w:szCs w:val="20"/>
          <w:color w:val="auto"/>
        </w:rPr>
      </w:pPr>
      <w:r>
        <w:rPr>
          <w:rFonts w:ascii="Arial" w:cs="Arial" w:eastAsia="Arial" w:hAnsi="Arial"/>
          <w:sz w:val="16"/>
          <w:szCs w:val="16"/>
          <w:color w:val="auto"/>
        </w:rPr>
        <w:t>The Company’s senior debt at June 30, 2015 and December 31, 2014 is carried at historical amounts. At those dates, the fair value of such senior debt was approximately $1,010,000 and $1,135,000, respectively, and exceeded the aggregate carrying value by approximately $12,000 and $87,000, respectively. The fair value of the Company’s senior debt is based on market quotations. The Company’s senior debt would be categorized within Level 2 of the hierarchy of fair value measurements if carried at fair value.</w:t>
      </w:r>
    </w:p>
    <w:p>
      <w:pPr>
        <w:spacing w:after="0" w:line="235" w:lineRule="exact"/>
        <w:rPr>
          <w:sz w:val="20"/>
          <w:szCs w:val="20"/>
          <w:color w:val="auto"/>
        </w:rPr>
      </w:pPr>
    </w:p>
    <w:p>
      <w:pPr>
        <w:ind w:left="460" w:hanging="459"/>
        <w:spacing w:after="0"/>
        <w:tabs>
          <w:tab w:leader="none" w:pos="460" w:val="left"/>
        </w:tabs>
        <w:numPr>
          <w:ilvl w:val="0"/>
          <w:numId w:val="2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COMMITMENTS AND CONTINGENCIES</w:t>
      </w:r>
    </w:p>
    <w:p>
      <w:pPr>
        <w:spacing w:after="0" w:line="94" w:lineRule="exact"/>
        <w:rPr>
          <w:rFonts w:ascii="Arial" w:cs="Arial" w:eastAsia="Arial" w:hAnsi="Arial"/>
          <w:sz w:val="16"/>
          <w:szCs w:val="16"/>
          <w:b w:val="1"/>
          <w:bCs w:val="1"/>
          <w:i w:val="1"/>
          <w:iCs w:val="1"/>
          <w:color w:val="auto"/>
        </w:rPr>
      </w:pPr>
    </w:p>
    <w:p>
      <w:pPr>
        <w:ind w:left="460"/>
        <w:spacing w:after="0"/>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Leases—</w:t>
      </w:r>
      <w:r>
        <w:rPr>
          <w:rFonts w:ascii="Arial" w:cs="Arial" w:eastAsia="Arial" w:hAnsi="Arial"/>
          <w:sz w:val="16"/>
          <w:szCs w:val="16"/>
          <w:color w:val="auto"/>
        </w:rPr>
        <w:t>The Company has various leases and other contractual commitments arising in the ordinary course of business.</w:t>
      </w:r>
    </w:p>
    <w:p>
      <w:pPr>
        <w:spacing w:after="0" w:line="170" w:lineRule="exact"/>
        <w:rPr>
          <w:sz w:val="20"/>
          <w:szCs w:val="20"/>
          <w:color w:val="auto"/>
        </w:rPr>
      </w:pPr>
    </w:p>
    <w:p>
      <w:pPr>
        <w:jc w:val="both"/>
        <w:ind w:right="60" w:firstLine="457"/>
        <w:spacing w:after="0" w:line="306" w:lineRule="auto"/>
        <w:rPr>
          <w:sz w:val="20"/>
          <w:szCs w:val="20"/>
          <w:color w:val="auto"/>
        </w:rPr>
      </w:pPr>
      <w:r>
        <w:rPr>
          <w:rFonts w:ascii="Arial" w:cs="Arial" w:eastAsia="Arial" w:hAnsi="Arial"/>
          <w:sz w:val="15"/>
          <w:szCs w:val="15"/>
          <w:b w:val="1"/>
          <w:bCs w:val="1"/>
          <w:i w:val="1"/>
          <w:iCs w:val="1"/>
          <w:color w:val="auto"/>
        </w:rPr>
        <w:t>Guarantees—</w:t>
      </w:r>
      <w:r>
        <w:rPr>
          <w:rFonts w:ascii="Arial" w:cs="Arial" w:eastAsia="Arial" w:hAnsi="Arial"/>
          <w:sz w:val="15"/>
          <w:szCs w:val="15"/>
          <w:color w:val="auto"/>
        </w:rPr>
        <w:t>In the normal course of business, LFB provides indemnifications to third parties to protect them in the event of non-performance by its clients. At June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30, 2015, LFB had $4,868 of such indemnifications and held $4,429 of collateral/counter-guarantees to secure these commitments. The Company believes the likelihood of loss with respect to these indemnities is remote. Accordingly, no liability is recorded in the condensed consolidated statement of financial condition.</w:t>
      </w:r>
    </w:p>
    <w:p>
      <w:pPr>
        <w:spacing w:after="0" w:line="99" w:lineRule="exact"/>
        <w:rPr>
          <w:sz w:val="20"/>
          <w:szCs w:val="20"/>
          <w:color w:val="auto"/>
        </w:rPr>
      </w:pPr>
    </w:p>
    <w:p>
      <w:pPr>
        <w:ind w:firstLine="457"/>
        <w:spacing w:after="0" w:line="274" w:lineRule="auto"/>
        <w:rPr>
          <w:sz w:val="20"/>
          <w:szCs w:val="20"/>
          <w:color w:val="auto"/>
        </w:rPr>
      </w:pPr>
      <w:r>
        <w:rPr>
          <w:rFonts w:ascii="Arial" w:cs="Arial" w:eastAsia="Arial" w:hAnsi="Arial"/>
          <w:sz w:val="16"/>
          <w:szCs w:val="16"/>
          <w:b w:val="1"/>
          <w:bCs w:val="1"/>
          <w:i w:val="1"/>
          <w:iCs w:val="1"/>
          <w:color w:val="auto"/>
        </w:rPr>
        <w:t>Certain Business Transactions</w:t>
      </w:r>
      <w:r>
        <w:rPr>
          <w:rFonts w:ascii="Arial" w:cs="Arial" w:eastAsia="Arial" w:hAnsi="Arial"/>
          <w:sz w:val="16"/>
          <w:szCs w:val="16"/>
          <w:color w:val="auto"/>
        </w:rPr>
        <w:t>—On July 15, 2009, the Company established a private equity business with Edgewater. Edgewater manages funds primarily focused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buy-out and growth equity investments in middle market companies. The acquisition was structured as a purchase by Lazard Group of interests in a holding company that in turn owns interests in the general partner and management company entities of the current Edgewater private equity funds (the “Edgewater Acquisition”). Following the Edgewater Acquisition, Edgewater’s leadership team retained a substantial economic interest in such entities.</w:t>
      </w:r>
    </w:p>
    <w:p>
      <w:pPr>
        <w:spacing w:after="0" w:line="121" w:lineRule="exact"/>
        <w:rPr>
          <w:sz w:val="20"/>
          <w:szCs w:val="20"/>
          <w:color w:val="auto"/>
        </w:rPr>
      </w:pPr>
    </w:p>
    <w:p>
      <w:pPr>
        <w:ind w:right="180" w:firstLine="457"/>
        <w:spacing w:after="0" w:line="274" w:lineRule="auto"/>
        <w:rPr>
          <w:sz w:val="20"/>
          <w:szCs w:val="20"/>
          <w:color w:val="auto"/>
        </w:rPr>
      </w:pPr>
      <w:r>
        <w:rPr>
          <w:rFonts w:ascii="Arial" w:cs="Arial" w:eastAsia="Arial" w:hAnsi="Arial"/>
          <w:sz w:val="16"/>
          <w:szCs w:val="16"/>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(the “Earnout Shares”) that are subject to earnout criteria and payable over time. The Earnout Shares will be issued only if certain performance thresholds are met. As of June 30, 2015 and December 31, 2014, 913,722 shares are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00"/>
          </w:cols>
          <w:pgMar w:left="240" w:top="440" w:right="25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LAZARD LTD</w:t>
      </w:r>
    </w:p>
    <w:p>
      <w:pPr>
        <w:spacing w:after="0" w:line="94"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auto"/>
        </w:rPr>
        <w:t>NOTES TO CONDENSED CONSOLIDATED FINANCIAL STATEMENTS—(Continued)</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thousands, except for per share data, unless otherwise noted)</w:t>
      </w:r>
    </w:p>
    <w:p>
      <w:pPr>
        <w:spacing w:after="0" w:line="15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issuable on a contingent basis, and 1,371,992 shares have been earned because applicable performance thresholds have been satisfied. As of June 30, 2015 and December 31, 2014, 1,371,992 of the earned shares have been settled.</w:t>
      </w:r>
    </w:p>
    <w:p>
      <w:pPr>
        <w:spacing w:after="0" w:line="103" w:lineRule="exact"/>
        <w:rPr>
          <w:sz w:val="20"/>
          <w:szCs w:val="20"/>
          <w:color w:val="auto"/>
        </w:rPr>
      </w:pPr>
    </w:p>
    <w:p>
      <w:pPr>
        <w:ind w:right="40" w:firstLine="457"/>
        <w:spacing w:after="0" w:line="337" w:lineRule="auto"/>
        <w:rPr>
          <w:sz w:val="20"/>
          <w:szCs w:val="20"/>
          <w:color w:val="auto"/>
        </w:rPr>
      </w:pPr>
      <w:r>
        <w:rPr>
          <w:rFonts w:ascii="Arial" w:cs="Arial" w:eastAsia="Arial" w:hAnsi="Arial"/>
          <w:sz w:val="14"/>
          <w:szCs w:val="14"/>
          <w:b w:val="1"/>
          <w:bCs w:val="1"/>
          <w:i w:val="1"/>
          <w:iCs w:val="1"/>
          <w:color w:val="auto"/>
        </w:rPr>
        <w:t>Contingent Consideration Relating To Other Business Acquisitions</w:t>
      </w:r>
      <w:r>
        <w:rPr>
          <w:rFonts w:ascii="Arial" w:cs="Arial" w:eastAsia="Arial" w:hAnsi="Arial"/>
          <w:sz w:val="14"/>
          <w:szCs w:val="14"/>
          <w:color w:val="auto"/>
        </w:rPr>
        <w:t>—For a business acquired in 2012, at December 31, 2012, 170,988 shares of Class A common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stock (including dividend equivalent shares) were issuable on a non-contingent basis. Such shares were delivered in the first quarter of 2013. During the second quarter of 2015, the achievement of certain performance thresholds related to the acquired business were satisfied, resulting in the issuance of 27,316 shares of Class A common stock.</w:t>
      </w:r>
    </w:p>
    <w:p>
      <w:pPr>
        <w:spacing w:after="0" w:line="81" w:lineRule="exact"/>
        <w:rPr>
          <w:sz w:val="20"/>
          <w:szCs w:val="20"/>
          <w:color w:val="auto"/>
        </w:rPr>
      </w:pPr>
    </w:p>
    <w:p>
      <w:pPr>
        <w:ind w:right="260" w:firstLine="457"/>
        <w:spacing w:after="0" w:line="280" w:lineRule="auto"/>
        <w:rPr>
          <w:sz w:val="20"/>
          <w:szCs w:val="20"/>
          <w:color w:val="auto"/>
        </w:rPr>
      </w:pPr>
      <w:r>
        <w:rPr>
          <w:rFonts w:ascii="Arial" w:cs="Arial" w:eastAsia="Arial" w:hAnsi="Arial"/>
          <w:sz w:val="16"/>
          <w:szCs w:val="16"/>
          <w:b w:val="1"/>
          <w:bCs w:val="1"/>
          <w:i w:val="1"/>
          <w:iCs w:val="1"/>
          <w:color w:val="auto"/>
        </w:rPr>
        <w:t>Other Commitments</w:t>
      </w:r>
      <w:r>
        <w:rPr>
          <w:rFonts w:ascii="Arial" w:cs="Arial" w:eastAsia="Arial" w:hAnsi="Arial"/>
          <w:sz w:val="16"/>
          <w:szCs w:val="16"/>
          <w:color w:val="auto"/>
        </w:rPr>
        <w:t>—The Company has various other contractual commitments arising in the ordinary course of business. In addition, from time to time, each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LFB and LFNY may enter into underwriting commitments in which it will participate as an underwriter. At June 30, 2015, LFB and LFNY had no such underwriting commitments.</w:t>
      </w:r>
    </w:p>
    <w:p>
      <w:pPr>
        <w:spacing w:after="0" w:line="115" w:lineRule="exact"/>
        <w:rPr>
          <w:sz w:val="20"/>
          <w:szCs w:val="20"/>
          <w:color w:val="auto"/>
        </w:rPr>
      </w:pPr>
    </w:p>
    <w:p>
      <w:pPr>
        <w:ind w:right="660" w:firstLine="457"/>
        <w:spacing w:after="0" w:line="296" w:lineRule="auto"/>
        <w:rPr>
          <w:sz w:val="20"/>
          <w:szCs w:val="20"/>
          <w:color w:val="auto"/>
        </w:rPr>
      </w:pPr>
      <w:r>
        <w:rPr>
          <w:rFonts w:ascii="Arial" w:cs="Arial" w:eastAsia="Arial" w:hAnsi="Arial"/>
          <w:sz w:val="16"/>
          <w:szCs w:val="16"/>
          <w:color w:val="auto"/>
        </w:rPr>
        <w:t>See Notes 5 and 13 of Notes to Condensed Consolidated Financial Statements for information regarding commitments relating to investment capital funding commitments and obligations to fund our pension plans, respectively.</w:t>
      </w:r>
    </w:p>
    <w:p>
      <w:pPr>
        <w:spacing w:after="0" w:line="103" w:lineRule="exact"/>
        <w:rPr>
          <w:sz w:val="20"/>
          <w:szCs w:val="20"/>
          <w:color w:val="auto"/>
        </w:rPr>
      </w:pPr>
    </w:p>
    <w:p>
      <w:pPr>
        <w:ind w:right="80" w:firstLine="457"/>
        <w:spacing w:after="0" w:line="296" w:lineRule="auto"/>
        <w:rPr>
          <w:sz w:val="20"/>
          <w:szCs w:val="20"/>
          <w:color w:val="auto"/>
        </w:rPr>
      </w:pPr>
      <w:r>
        <w:rPr>
          <w:rFonts w:ascii="Arial" w:cs="Arial" w:eastAsia="Arial" w:hAnsi="Arial"/>
          <w:sz w:val="16"/>
          <w:szCs w:val="16"/>
          <w:color w:val="auto"/>
        </w:rPr>
        <w:t>In the opinion of management, the fulfillment of the commitments described herein will not have a material adverse effect on the Company’s condensed consolidated financial position or results of operations.</w:t>
      </w:r>
    </w:p>
    <w:p>
      <w:pPr>
        <w:spacing w:after="0" w:line="103" w:lineRule="exact"/>
        <w:rPr>
          <w:sz w:val="20"/>
          <w:szCs w:val="20"/>
          <w:color w:val="auto"/>
        </w:rPr>
      </w:pPr>
    </w:p>
    <w:p>
      <w:pPr>
        <w:ind w:right="20" w:firstLine="457"/>
        <w:spacing w:after="0" w:line="270"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 connection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38" w:lineRule="exact"/>
        <w:rPr>
          <w:sz w:val="20"/>
          <w:szCs w:val="20"/>
          <w:color w:val="auto"/>
        </w:rPr>
      </w:pPr>
    </w:p>
    <w:p>
      <w:pPr>
        <w:ind w:left="460" w:hanging="459"/>
        <w:spacing w:after="0"/>
        <w:tabs>
          <w:tab w:leader="none" w:pos="460" w:val="left"/>
        </w:tabs>
        <w:numPr>
          <w:ilvl w:val="0"/>
          <w:numId w:val="2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STOCKHOLDERS’ EQUITY</w:t>
      </w:r>
    </w:p>
    <w:p>
      <w:pPr>
        <w:spacing w:after="0" w:line="94" w:lineRule="exact"/>
        <w:rPr>
          <w:sz w:val="20"/>
          <w:szCs w:val="20"/>
          <w:color w:val="auto"/>
        </w:rPr>
      </w:pPr>
    </w:p>
    <w:p>
      <w:pPr>
        <w:ind w:right="80" w:firstLine="457"/>
        <w:spacing w:after="0" w:line="331" w:lineRule="auto"/>
        <w:rPr>
          <w:sz w:val="20"/>
          <w:szCs w:val="20"/>
          <w:color w:val="auto"/>
        </w:rPr>
      </w:pPr>
      <w:r>
        <w:rPr>
          <w:rFonts w:ascii="Arial" w:cs="Arial" w:eastAsia="Arial" w:hAnsi="Arial"/>
          <w:sz w:val="15"/>
          <w:szCs w:val="15"/>
          <w:b w:val="1"/>
          <w:bCs w:val="1"/>
          <w:i w:val="1"/>
          <w:iCs w:val="1"/>
          <w:color w:val="auto"/>
        </w:rPr>
        <w:t>Share Repurchase Program</w:t>
      </w:r>
      <w:r>
        <w:rPr>
          <w:rFonts w:ascii="Arial" w:cs="Arial" w:eastAsia="Arial" w:hAnsi="Arial"/>
          <w:sz w:val="15"/>
          <w:szCs w:val="15"/>
          <w:color w:val="auto"/>
        </w:rPr>
        <w:t>—During the six month period ended June 30, 2015 and for the years ended December 31, 2014, 2013, and 2012, the Board of Directors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Lazard authorized the repurchase of Class A common stock and Lazard Group common membership interests as set forth in the table below.</w:t>
      </w:r>
    </w:p>
    <w:p>
      <w:pPr>
        <w:spacing w:after="0" w:line="104"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260" w:type="dxa"/>
            <w:vAlign w:val="bottom"/>
            <w:vMerge w:val="restart"/>
          </w:tcPr>
          <w:p>
            <w:pPr>
              <w:spacing w:after="0"/>
              <w:rPr>
                <w:sz w:val="20"/>
                <w:szCs w:val="20"/>
                <w:color w:val="auto"/>
              </w:rPr>
            </w:pPr>
            <w:r>
              <w:rPr>
                <w:rFonts w:ascii="Arial" w:cs="Arial" w:eastAsia="Arial" w:hAnsi="Arial"/>
                <w:sz w:val="13"/>
                <w:szCs w:val="13"/>
                <w:b w:val="1"/>
                <w:bCs w:val="1"/>
                <w:color w:val="auto"/>
                <w:w w:val="85"/>
              </w:rPr>
              <w:t>Date</w:t>
            </w:r>
          </w:p>
        </w:tc>
        <w:tc>
          <w:tcPr>
            <w:tcW w:w="2900" w:type="dxa"/>
            <w:vAlign w:val="bottom"/>
            <w:vMerge w:val="restart"/>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740"/>
              <w:spacing w:after="0"/>
              <w:rPr>
                <w:sz w:val="20"/>
                <w:szCs w:val="20"/>
                <w:color w:val="auto"/>
              </w:rPr>
            </w:pPr>
            <w:r>
              <w:rPr>
                <w:rFonts w:ascii="Arial" w:cs="Arial" w:eastAsia="Arial" w:hAnsi="Arial"/>
                <w:sz w:val="13"/>
                <w:szCs w:val="13"/>
                <w:b w:val="1"/>
                <w:bCs w:val="1"/>
                <w:color w:val="auto"/>
                <w:w w:val="85"/>
              </w:rPr>
              <w:t>Repurchase</w:t>
            </w: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60" w:type="dxa"/>
            <w:vAlign w:val="bottom"/>
            <w:tcBorders>
              <w:bottom w:val="single" w:sz="8" w:color="auto"/>
            </w:tcBorders>
            <w:vMerge w:val="continue"/>
          </w:tcPr>
          <w:p>
            <w:pPr>
              <w:spacing w:after="0"/>
              <w:rPr>
                <w:sz w:val="13"/>
                <w:szCs w:val="13"/>
                <w:color w:val="auto"/>
              </w:rPr>
            </w:pPr>
          </w:p>
        </w:tc>
        <w:tc>
          <w:tcPr>
            <w:tcW w:w="2900" w:type="dxa"/>
            <w:vAlign w:val="bottom"/>
            <w:vMerge w:val="continue"/>
          </w:tcPr>
          <w:p>
            <w:pPr>
              <w:spacing w:after="0"/>
              <w:rPr>
                <w:sz w:val="13"/>
                <w:szCs w:val="13"/>
                <w:color w:val="auto"/>
              </w:rPr>
            </w:pPr>
          </w:p>
        </w:tc>
        <w:tc>
          <w:tcPr>
            <w:tcW w:w="2220" w:type="dxa"/>
            <w:vAlign w:val="bottom"/>
          </w:tcPr>
          <w:p>
            <w:pPr>
              <w:spacing w:after="0"/>
              <w:rPr>
                <w:sz w:val="13"/>
                <w:szCs w:val="13"/>
                <w:color w:val="auto"/>
              </w:rPr>
            </w:pPr>
          </w:p>
        </w:tc>
        <w:tc>
          <w:tcPr>
            <w:tcW w:w="1520" w:type="dxa"/>
            <w:vAlign w:val="bottom"/>
            <w:gridSpan w:val="3"/>
          </w:tcPr>
          <w:p>
            <w:pPr>
              <w:jc w:val="center"/>
              <w:ind w:right="640"/>
              <w:spacing w:after="0" w:line="139" w:lineRule="exact"/>
              <w:rPr>
                <w:sz w:val="20"/>
                <w:szCs w:val="20"/>
                <w:color w:val="auto"/>
              </w:rPr>
            </w:pPr>
            <w:r>
              <w:rPr>
                <w:rFonts w:ascii="Arial" w:cs="Arial" w:eastAsia="Arial" w:hAnsi="Arial"/>
                <w:sz w:val="13"/>
                <w:szCs w:val="13"/>
                <w:b w:val="1"/>
                <w:bCs w:val="1"/>
                <w:color w:val="auto"/>
                <w:w w:val="90"/>
              </w:rPr>
              <w:t>Authorization</w:t>
            </w:r>
          </w:p>
        </w:tc>
        <w:tc>
          <w:tcPr>
            <w:tcW w:w="1780" w:type="dxa"/>
            <w:vAlign w:val="bottom"/>
            <w:gridSpan w:val="2"/>
          </w:tcPr>
          <w:p>
            <w:pPr>
              <w:ind w:left="540"/>
              <w:spacing w:after="0" w:line="139" w:lineRule="exact"/>
              <w:rPr>
                <w:sz w:val="20"/>
                <w:szCs w:val="20"/>
                <w:color w:val="auto"/>
              </w:rPr>
            </w:pPr>
            <w:r>
              <w:rPr>
                <w:rFonts w:ascii="Arial" w:cs="Arial" w:eastAsia="Arial" w:hAnsi="Arial"/>
                <w:sz w:val="13"/>
                <w:szCs w:val="13"/>
                <w:b w:val="1"/>
                <w:bCs w:val="1"/>
                <w:color w:val="auto"/>
              </w:rPr>
              <w:t>Expiration</w:t>
            </w:r>
          </w:p>
        </w:tc>
        <w:tc>
          <w:tcPr>
            <w:tcW w:w="0" w:type="dxa"/>
            <w:vAlign w:val="bottom"/>
          </w:tcPr>
          <w:p>
            <w:pPr>
              <w:spacing w:after="0"/>
              <w:rPr>
                <w:sz w:val="1"/>
                <w:szCs w:val="1"/>
                <w:color w:val="auto"/>
              </w:rPr>
            </w:pPr>
          </w:p>
        </w:tc>
      </w:tr>
      <w:tr>
        <w:trPr>
          <w:trHeight w:val="188"/>
        </w:trPr>
        <w:tc>
          <w:tcPr>
            <w:tcW w:w="3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October 2012</w:t>
            </w:r>
          </w:p>
        </w:tc>
        <w:tc>
          <w:tcPr>
            <w:tcW w:w="2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62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w w:val="91"/>
              </w:rPr>
              <w:t>December 31, 2014</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160" w:type="dxa"/>
            <w:vAlign w:val="bottom"/>
            <w:gridSpan w:val="2"/>
          </w:tcPr>
          <w:p>
            <w:pPr>
              <w:spacing w:after="0"/>
              <w:rPr>
                <w:sz w:val="20"/>
                <w:szCs w:val="20"/>
                <w:color w:val="auto"/>
              </w:rPr>
            </w:pPr>
            <w:r>
              <w:rPr>
                <w:rFonts w:ascii="Arial" w:cs="Arial" w:eastAsia="Arial" w:hAnsi="Arial"/>
                <w:sz w:val="16"/>
                <w:szCs w:val="16"/>
                <w:color w:val="auto"/>
              </w:rPr>
              <w:t>October 2013</w:t>
            </w:r>
          </w:p>
        </w:tc>
        <w:tc>
          <w:tcPr>
            <w:tcW w:w="2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100,000</w:t>
            </w:r>
          </w:p>
        </w:tc>
        <w:tc>
          <w:tcPr>
            <w:tcW w:w="620" w:type="dxa"/>
            <w:vAlign w:val="bottom"/>
          </w:tcPr>
          <w:p>
            <w:pPr>
              <w:spacing w:after="0"/>
              <w:rPr>
                <w:sz w:val="17"/>
                <w:szCs w:val="17"/>
                <w:color w:val="auto"/>
              </w:rPr>
            </w:pPr>
          </w:p>
        </w:tc>
        <w:tc>
          <w:tcPr>
            <w:tcW w:w="1780" w:type="dxa"/>
            <w:vAlign w:val="bottom"/>
            <w:gridSpan w:val="2"/>
          </w:tcPr>
          <w:p>
            <w:pPr>
              <w:ind w:left="360"/>
              <w:spacing w:after="0"/>
              <w:rPr>
                <w:sz w:val="20"/>
                <w:szCs w:val="20"/>
                <w:color w:val="auto"/>
              </w:rPr>
            </w:pPr>
            <w:r>
              <w:rPr>
                <w:rFonts w:ascii="Arial" w:cs="Arial" w:eastAsia="Arial" w:hAnsi="Arial"/>
                <w:sz w:val="16"/>
                <w:szCs w:val="16"/>
                <w:color w:val="auto"/>
                <w:w w:val="99"/>
              </w:rPr>
              <w:t>December 31, 2015</w:t>
            </w:r>
          </w:p>
        </w:tc>
        <w:tc>
          <w:tcPr>
            <w:tcW w:w="0" w:type="dxa"/>
            <w:vAlign w:val="bottom"/>
          </w:tcPr>
          <w:p>
            <w:pPr>
              <w:spacing w:after="0"/>
              <w:rPr>
                <w:sz w:val="1"/>
                <w:szCs w:val="1"/>
                <w:color w:val="auto"/>
              </w:rPr>
            </w:pPr>
          </w:p>
        </w:tc>
      </w:tr>
      <w:tr>
        <w:trPr>
          <w:trHeight w:val="202"/>
        </w:trPr>
        <w:tc>
          <w:tcPr>
            <w:tcW w:w="3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April 2014</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62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w w:val="99"/>
              </w:rPr>
              <w:t>December 31, 2015</w:t>
            </w:r>
          </w:p>
        </w:tc>
        <w:tc>
          <w:tcPr>
            <w:tcW w:w="0" w:type="dxa"/>
            <w:vAlign w:val="bottom"/>
          </w:tcPr>
          <w:p>
            <w:pPr>
              <w:spacing w:after="0"/>
              <w:rPr>
                <w:sz w:val="1"/>
                <w:szCs w:val="1"/>
                <w:color w:val="auto"/>
              </w:rPr>
            </w:pPr>
          </w:p>
        </w:tc>
      </w:tr>
      <w:tr>
        <w:trPr>
          <w:trHeight w:val="209"/>
        </w:trPr>
        <w:tc>
          <w:tcPr>
            <w:tcW w:w="3160" w:type="dxa"/>
            <w:vAlign w:val="bottom"/>
            <w:gridSpan w:val="2"/>
          </w:tcPr>
          <w:p>
            <w:pPr>
              <w:spacing w:after="0"/>
              <w:rPr>
                <w:sz w:val="20"/>
                <w:szCs w:val="20"/>
                <w:color w:val="auto"/>
              </w:rPr>
            </w:pPr>
            <w:r>
              <w:rPr>
                <w:rFonts w:ascii="Arial" w:cs="Arial" w:eastAsia="Arial" w:hAnsi="Arial"/>
                <w:sz w:val="16"/>
                <w:szCs w:val="16"/>
                <w:color w:val="auto"/>
              </w:rPr>
              <w:t>February 2015</w:t>
            </w:r>
          </w:p>
        </w:tc>
        <w:tc>
          <w:tcPr>
            <w:tcW w:w="2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150,000</w:t>
            </w:r>
          </w:p>
        </w:tc>
        <w:tc>
          <w:tcPr>
            <w:tcW w:w="620" w:type="dxa"/>
            <w:vAlign w:val="bottom"/>
          </w:tcPr>
          <w:p>
            <w:pPr>
              <w:spacing w:after="0"/>
              <w:rPr>
                <w:sz w:val="18"/>
                <w:szCs w:val="18"/>
                <w:color w:val="auto"/>
              </w:rPr>
            </w:pPr>
          </w:p>
        </w:tc>
        <w:tc>
          <w:tcPr>
            <w:tcW w:w="1780" w:type="dxa"/>
            <w:vAlign w:val="bottom"/>
            <w:gridSpan w:val="2"/>
          </w:tcPr>
          <w:p>
            <w:pPr>
              <w:ind w:left="360"/>
              <w:spacing w:after="0"/>
              <w:rPr>
                <w:sz w:val="20"/>
                <w:szCs w:val="20"/>
                <w:color w:val="auto"/>
              </w:rPr>
            </w:pPr>
            <w:r>
              <w:rPr>
                <w:rFonts w:ascii="Arial" w:cs="Arial" w:eastAsia="Arial" w:hAnsi="Arial"/>
                <w:sz w:val="16"/>
                <w:szCs w:val="16"/>
                <w:color w:val="auto"/>
                <w:w w:val="99"/>
              </w:rPr>
              <w:t>December 31, 2016</w:t>
            </w:r>
          </w:p>
        </w:tc>
        <w:tc>
          <w:tcPr>
            <w:tcW w:w="0" w:type="dxa"/>
            <w:vAlign w:val="bottom"/>
          </w:tcPr>
          <w:p>
            <w:pPr>
              <w:spacing w:after="0"/>
              <w:rPr>
                <w:sz w:val="1"/>
                <w:szCs w:val="1"/>
                <w:color w:val="auto"/>
              </w:rPr>
            </w:pPr>
          </w:p>
        </w:tc>
      </w:tr>
    </w:tbl>
    <w:p>
      <w:pPr>
        <w:spacing w:after="0" w:line="137" w:lineRule="exact"/>
        <w:rPr>
          <w:sz w:val="20"/>
          <w:szCs w:val="20"/>
          <w:color w:val="auto"/>
        </w:rPr>
      </w:pPr>
    </w:p>
    <w:p>
      <w:pPr>
        <w:ind w:right="100" w:firstLine="457"/>
        <w:spacing w:after="0" w:line="296" w:lineRule="auto"/>
        <w:rPr>
          <w:sz w:val="20"/>
          <w:szCs w:val="20"/>
          <w:color w:val="auto"/>
        </w:rPr>
      </w:pPr>
      <w:r>
        <w:rPr>
          <w:rFonts w:ascii="Arial" w:cs="Arial" w:eastAsia="Arial" w:hAnsi="Arial"/>
          <w:sz w:val="16"/>
          <w:szCs w:val="16"/>
          <w:color w:val="auto"/>
        </w:rPr>
        <w:t>The Company expects that the share repurchase program will primarily be used to offset a portion of the shares that have been or will be issued under the Lazard Ltd 2005 Equity Incentive Plan (the “2005 Plan”) and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440" w:right="23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LAZARD LTD</w:t>
      </w:r>
    </w:p>
    <w:p>
      <w:pPr>
        <w:spacing w:after="0" w:line="94"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auto"/>
        </w:rPr>
        <w:t>NOTES TO CONDENSED CONSOLIDATED FINANCIAL STATEMENTS—(Continued)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except for per share data, unless otherwise noted)</w:t>
      </w:r>
    </w:p>
    <w:p>
      <w:pPr>
        <w:spacing w:after="0" w:line="152"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color w:val="auto"/>
        </w:rPr>
        <w:t>the Lazard Ltd 2008 Incentive Compensation Plan (the “2008 Plan”). Pursuant to the share repurchase program, purchases have been made in the open market or through privately negotiated transactions. The rate at which the Company purchases shares in connection with the share repurchase program may vary from quarter to quarter due to a variety of factors. Purchases with respect to such program are set forth in the table below:</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5"/>
              </w:rPr>
              <w:t>Average</w:t>
            </w:r>
          </w:p>
        </w:tc>
      </w:tr>
      <w:tr>
        <w:trPr>
          <w:trHeight w:val="13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1140" w:type="dxa"/>
            <w:vAlign w:val="bottom"/>
            <w:gridSpan w:val="2"/>
          </w:tcPr>
          <w:p>
            <w:pPr>
              <w:ind w:left="60"/>
              <w:spacing w:after="0" w:line="139" w:lineRule="exact"/>
              <w:rPr>
                <w:sz w:val="20"/>
                <w:szCs w:val="20"/>
                <w:color w:val="auto"/>
              </w:rPr>
            </w:pPr>
            <w:r>
              <w:rPr>
                <w:rFonts w:ascii="Arial" w:cs="Arial" w:eastAsia="Arial" w:hAnsi="Arial"/>
                <w:sz w:val="13"/>
                <w:szCs w:val="13"/>
                <w:b w:val="1"/>
                <w:bCs w:val="1"/>
                <w:color w:val="auto"/>
              </w:rPr>
              <w:t>Number of</w:t>
            </w:r>
          </w:p>
        </w:tc>
        <w:tc>
          <w:tcPr>
            <w:tcW w:w="580" w:type="dxa"/>
            <w:vAlign w:val="bottom"/>
            <w:gridSpan w:val="2"/>
          </w:tcPr>
          <w:p>
            <w:pPr>
              <w:jc w:val="center"/>
              <w:ind w:right="100"/>
              <w:spacing w:after="0" w:line="139" w:lineRule="exact"/>
              <w:rPr>
                <w:sz w:val="20"/>
                <w:szCs w:val="20"/>
                <w:color w:val="auto"/>
              </w:rPr>
            </w:pPr>
            <w:r>
              <w:rPr>
                <w:rFonts w:ascii="Arial" w:cs="Arial" w:eastAsia="Arial" w:hAnsi="Arial"/>
                <w:sz w:val="13"/>
                <w:szCs w:val="13"/>
                <w:b w:val="1"/>
                <w:bCs w:val="1"/>
                <w:color w:val="auto"/>
                <w:w w:val="87"/>
              </w:rPr>
              <w:t>Price</w:t>
            </w:r>
          </w:p>
        </w:tc>
      </w:tr>
      <w:tr>
        <w:trPr>
          <w:trHeight w:val="13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1140" w:type="dxa"/>
            <w:vAlign w:val="bottom"/>
            <w:gridSpan w:val="2"/>
          </w:tcPr>
          <w:p>
            <w:pPr>
              <w:jc w:val="center"/>
              <w:ind w:right="420"/>
              <w:spacing w:after="0" w:line="139" w:lineRule="exact"/>
              <w:rPr>
                <w:sz w:val="20"/>
                <w:szCs w:val="20"/>
                <w:color w:val="auto"/>
              </w:rPr>
            </w:pPr>
            <w:r>
              <w:rPr>
                <w:rFonts w:ascii="Arial" w:cs="Arial" w:eastAsia="Arial" w:hAnsi="Arial"/>
                <w:sz w:val="13"/>
                <w:szCs w:val="13"/>
                <w:b w:val="1"/>
                <w:bCs w:val="1"/>
                <w:color w:val="auto"/>
                <w:w w:val="82"/>
              </w:rPr>
              <w:t>Shares</w:t>
            </w:r>
          </w:p>
        </w:tc>
        <w:tc>
          <w:tcPr>
            <w:tcW w:w="580" w:type="dxa"/>
            <w:vAlign w:val="bottom"/>
            <w:gridSpan w:val="2"/>
          </w:tcPr>
          <w:p>
            <w:pPr>
              <w:jc w:val="center"/>
              <w:ind w:right="80"/>
              <w:spacing w:after="0" w:line="139" w:lineRule="exact"/>
              <w:rPr>
                <w:sz w:val="20"/>
                <w:szCs w:val="20"/>
                <w:color w:val="auto"/>
              </w:rPr>
            </w:pPr>
            <w:r>
              <w:rPr>
                <w:rFonts w:ascii="Arial" w:cs="Arial" w:eastAsia="Arial" w:hAnsi="Arial"/>
                <w:sz w:val="13"/>
                <w:szCs w:val="13"/>
                <w:b w:val="1"/>
                <w:bCs w:val="1"/>
                <w:color w:val="auto"/>
                <w:w w:val="85"/>
              </w:rPr>
              <w:t>Per</w:t>
            </w:r>
          </w:p>
        </w:tc>
      </w:tr>
      <w:tr>
        <w:trPr>
          <w:trHeight w:val="152"/>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200" w:type="dxa"/>
            <w:vAlign w:val="bottom"/>
          </w:tcPr>
          <w:p>
            <w:pPr>
              <w:spacing w:after="0"/>
              <w:rPr>
                <w:sz w:val="13"/>
                <w:szCs w:val="13"/>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4"/>
              </w:rPr>
              <w:t>Purchased</w:t>
            </w:r>
          </w:p>
        </w:tc>
        <w:tc>
          <w:tcPr>
            <w:tcW w:w="5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2"/>
              </w:rPr>
              <w:t>Share</w:t>
            </w:r>
          </w:p>
        </w:tc>
      </w:tr>
      <w:tr>
        <w:trPr>
          <w:trHeight w:val="107"/>
        </w:trPr>
        <w:tc>
          <w:tcPr>
            <w:tcW w:w="20" w:type="dxa"/>
            <w:vAlign w:val="bottom"/>
          </w:tcPr>
          <w:p>
            <w:pPr>
              <w:spacing w:after="0"/>
              <w:rPr>
                <w:sz w:val="9"/>
                <w:szCs w:val="9"/>
                <w:color w:val="auto"/>
              </w:rPr>
            </w:pPr>
          </w:p>
        </w:tc>
        <w:tc>
          <w:tcPr>
            <w:tcW w:w="9680" w:type="dxa"/>
            <w:vAlign w:val="bottom"/>
            <w:tcBorders>
              <w:top w:val="single" w:sz="8" w:color="CCEEFF"/>
            </w:tcBorders>
            <w:gridSpan w:val="2"/>
            <w:shd w:val="clear" w:color="auto" w:fill="CCEEFF"/>
          </w:tcPr>
          <w:p>
            <w:pPr>
              <w:spacing w:after="0" w:line="107" w:lineRule="exact"/>
              <w:rPr>
                <w:sz w:val="20"/>
                <w:szCs w:val="20"/>
                <w:color w:val="auto"/>
              </w:rPr>
            </w:pPr>
            <w:r>
              <w:rPr>
                <w:rFonts w:ascii="Arial" w:cs="Arial" w:eastAsia="Arial" w:hAnsi="Arial"/>
                <w:sz w:val="12"/>
                <w:szCs w:val="12"/>
                <w:b w:val="1"/>
                <w:bCs w:val="1"/>
                <w:color w:val="auto"/>
              </w:rPr>
              <w:t>Six Months Ended June 30:</w:t>
            </w:r>
          </w:p>
        </w:tc>
        <w:tc>
          <w:tcPr>
            <w:tcW w:w="72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r>
      <w:tr>
        <w:trPr>
          <w:trHeight w:val="195"/>
        </w:trPr>
        <w:tc>
          <w:tcPr>
            <w:tcW w:w="20" w:type="dxa"/>
            <w:vAlign w:val="bottom"/>
          </w:tcPr>
          <w:p>
            <w:pPr>
              <w:spacing w:after="0"/>
              <w:rPr>
                <w:sz w:val="16"/>
                <w:szCs w:val="16"/>
                <w:color w:val="auto"/>
              </w:rPr>
            </w:pPr>
          </w:p>
        </w:tc>
        <w:tc>
          <w:tcPr>
            <w:tcW w:w="14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2014</w:t>
            </w:r>
          </w:p>
        </w:tc>
        <w:tc>
          <w:tcPr>
            <w:tcW w:w="820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gridSpan w:val="2"/>
          </w:tcPr>
          <w:p>
            <w:pPr>
              <w:ind w:left="60"/>
              <w:spacing w:after="0"/>
              <w:rPr>
                <w:sz w:val="20"/>
                <w:szCs w:val="20"/>
                <w:color w:val="auto"/>
              </w:rPr>
            </w:pPr>
            <w:r>
              <w:rPr>
                <w:rFonts w:ascii="Arial" w:cs="Arial" w:eastAsia="Arial" w:hAnsi="Arial"/>
                <w:sz w:val="16"/>
                <w:szCs w:val="16"/>
                <w:color w:val="auto"/>
              </w:rPr>
              <w:t>4,114,206</w:t>
            </w:r>
          </w:p>
        </w:tc>
        <w:tc>
          <w:tcPr>
            <w:tcW w:w="500" w:type="dxa"/>
            <w:vAlign w:val="bottom"/>
            <w:tcBorders>
              <w:top w:val="single" w:sz="8" w:color="CCEEFF"/>
            </w:tcBorders>
          </w:tcPr>
          <w:p>
            <w:pPr>
              <w:jc w:val="center"/>
              <w:spacing w:after="0"/>
              <w:rPr>
                <w:sz w:val="20"/>
                <w:szCs w:val="20"/>
                <w:color w:val="auto"/>
              </w:rPr>
            </w:pPr>
            <w:r>
              <w:rPr>
                <w:rFonts w:ascii="Arial" w:cs="Arial" w:eastAsia="Arial" w:hAnsi="Arial"/>
                <w:sz w:val="16"/>
                <w:szCs w:val="16"/>
                <w:color w:val="auto"/>
                <w:w w:val="93"/>
              </w:rPr>
              <w:t>$ 46.83</w:t>
            </w:r>
          </w:p>
        </w:tc>
        <w:tc>
          <w:tcPr>
            <w:tcW w:w="80" w:type="dxa"/>
            <w:vAlign w:val="bottom"/>
            <w:tcBorders>
              <w:top w:val="single" w:sz="8" w:color="CCEEFF"/>
            </w:tcBorders>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6"/>
                <w:szCs w:val="16"/>
                <w:color w:val="auto"/>
              </w:rPr>
              <w:t>2015</w:t>
            </w:r>
          </w:p>
        </w:tc>
        <w:tc>
          <w:tcPr>
            <w:tcW w:w="8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2,306,694</w:t>
            </w:r>
          </w:p>
        </w:tc>
        <w:tc>
          <w:tcPr>
            <w:tcW w:w="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$ 51.04</w:t>
            </w:r>
          </w:p>
        </w:tc>
        <w:tc>
          <w:tcPr>
            <w:tcW w:w="80" w:type="dxa"/>
            <w:vAlign w:val="bottom"/>
            <w:shd w:val="clear" w:color="auto" w:fill="CCEEFF"/>
          </w:tcPr>
          <w:p>
            <w:pPr>
              <w:spacing w:after="0"/>
              <w:rPr>
                <w:sz w:val="17"/>
                <w:szCs w:val="17"/>
                <w:color w:val="auto"/>
              </w:rPr>
            </w:pPr>
          </w:p>
        </w:tc>
      </w:tr>
    </w:tbl>
    <w:p>
      <w:pPr>
        <w:spacing w:after="0" w:line="143" w:lineRule="exact"/>
        <w:rPr>
          <w:sz w:val="20"/>
          <w:szCs w:val="20"/>
          <w:color w:val="auto"/>
        </w:rPr>
      </w:pPr>
    </w:p>
    <w:p>
      <w:pPr>
        <w:ind w:right="60" w:firstLine="457"/>
        <w:spacing w:after="0" w:line="306" w:lineRule="auto"/>
        <w:rPr>
          <w:sz w:val="20"/>
          <w:szCs w:val="20"/>
          <w:color w:val="auto"/>
        </w:rPr>
      </w:pPr>
      <w:r>
        <w:rPr>
          <w:rFonts w:ascii="Arial" w:cs="Arial" w:eastAsia="Arial" w:hAnsi="Arial"/>
          <w:sz w:val="15"/>
          <w:szCs w:val="15"/>
          <w:color w:val="auto"/>
        </w:rPr>
        <w:t>The shares purchased in the six months ended June 30, 2014 included 1,000,000 shares purchased from Natixis S.A. on June 26, 2014 for $50,340 in connection with the sale by Natixis S.A. of its entire investment in the Company’s Class A common stock. The purchase transaction closed on July 1, 2014. The effect of this transaction is excluded from financing activities on the condensed consolidated statement of cash flows for the six month period ended June 30, 2014.</w:t>
      </w:r>
    </w:p>
    <w:p>
      <w:pPr>
        <w:spacing w:after="0" w:line="99" w:lineRule="exact"/>
        <w:rPr>
          <w:sz w:val="20"/>
          <w:szCs w:val="20"/>
          <w:color w:val="auto"/>
        </w:rPr>
      </w:pPr>
    </w:p>
    <w:p>
      <w:pPr>
        <w:ind w:right="20" w:firstLine="457"/>
        <w:spacing w:after="0" w:line="296" w:lineRule="auto"/>
        <w:rPr>
          <w:sz w:val="20"/>
          <w:szCs w:val="20"/>
          <w:color w:val="auto"/>
        </w:rPr>
      </w:pPr>
      <w:r>
        <w:rPr>
          <w:rFonts w:ascii="Arial" w:cs="Arial" w:eastAsia="Arial" w:hAnsi="Arial"/>
          <w:sz w:val="16"/>
          <w:szCs w:val="16"/>
          <w:color w:val="auto"/>
        </w:rPr>
        <w:t>As of June 30, 2015, a total of $161,199 of share repurchase authorizations remained available under the Company’s share repurchase program, $11,199 of which will expire on December 31, 2015 and $150,000 of which will expire on December 31, 2016.</w:t>
      </w:r>
    </w:p>
    <w:p>
      <w:pPr>
        <w:spacing w:after="0" w:line="103" w:lineRule="exact"/>
        <w:rPr>
          <w:sz w:val="20"/>
          <w:szCs w:val="20"/>
          <w:color w:val="auto"/>
        </w:rPr>
      </w:pPr>
    </w:p>
    <w:p>
      <w:pPr>
        <w:ind w:right="280" w:firstLine="457"/>
        <w:spacing w:after="0" w:line="296" w:lineRule="auto"/>
        <w:rPr>
          <w:sz w:val="20"/>
          <w:szCs w:val="20"/>
          <w:color w:val="auto"/>
        </w:rPr>
      </w:pPr>
      <w:r>
        <w:rPr>
          <w:rFonts w:ascii="Arial" w:cs="Arial" w:eastAsia="Arial" w:hAnsi="Arial"/>
          <w:sz w:val="16"/>
          <w:szCs w:val="16"/>
          <w:color w:val="auto"/>
        </w:rPr>
        <w:t>During the six month period ended June 30, 2015, the Company had in place trading plans under Rule 10b5-1 of the Securities Exchange Act of 1934, pursuant to which it effected stock repurchases in the open market.</w:t>
      </w:r>
    </w:p>
    <w:p>
      <w:pPr>
        <w:spacing w:after="0" w:line="103" w:lineRule="exact"/>
        <w:rPr>
          <w:sz w:val="20"/>
          <w:szCs w:val="20"/>
          <w:color w:val="auto"/>
        </w:rPr>
      </w:pPr>
    </w:p>
    <w:p>
      <w:pPr>
        <w:ind w:right="40" w:firstLine="457"/>
        <w:spacing w:after="0" w:line="272" w:lineRule="auto"/>
        <w:rPr>
          <w:sz w:val="20"/>
          <w:szCs w:val="20"/>
          <w:color w:val="auto"/>
        </w:rPr>
      </w:pPr>
      <w:r>
        <w:rPr>
          <w:rFonts w:ascii="Arial" w:cs="Arial" w:eastAsia="Arial" w:hAnsi="Arial"/>
          <w:sz w:val="16"/>
          <w:szCs w:val="16"/>
          <w:b w:val="1"/>
          <w:bCs w:val="1"/>
          <w:i w:val="1"/>
          <w:iCs w:val="1"/>
          <w:color w:val="auto"/>
        </w:rPr>
        <w:t>Preferred Stock</w:t>
      </w:r>
      <w:r>
        <w:rPr>
          <w:rFonts w:ascii="Arial" w:cs="Arial" w:eastAsia="Arial" w:hAnsi="Arial"/>
          <w:sz w:val="16"/>
          <w:szCs w:val="16"/>
          <w:color w:val="auto"/>
        </w:rPr>
        <w:t>—Lazard Ltd has 15,000,000 authorized shares of preferred stock, par value $0.01 per share, inclusive of its Series A and Series B preferred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Series A and Series B preferred shares were issued in connection with certain prior year business acquisitions and are each non-participating securities convertible into Class A common stock, and have no voting or dividend rights. As of both June 30, 2015 and December 31, 2014, 7,921 shares of Series A preferred stock were outstanding, and no shares of Series B preferred stock were outstanding. At June 30, 2015 and December 31, 2014, no shares of Series A preferred stock were convertible into shares of Class A common stock on a contingent or a non-contingent basis.</w:t>
      </w:r>
    </w:p>
    <w:p>
      <w:pPr>
        <w:spacing w:after="0" w:line="121" w:lineRule="exact"/>
        <w:rPr>
          <w:sz w:val="20"/>
          <w:szCs w:val="20"/>
          <w:color w:val="auto"/>
        </w:rPr>
      </w:pPr>
    </w:p>
    <w:p>
      <w:pPr>
        <w:ind w:right="60" w:firstLine="457"/>
        <w:spacing w:after="0" w:line="296" w:lineRule="auto"/>
        <w:rPr>
          <w:sz w:val="20"/>
          <w:szCs w:val="20"/>
          <w:color w:val="auto"/>
        </w:rPr>
      </w:pPr>
      <w:r>
        <w:rPr>
          <w:rFonts w:ascii="Arial" w:cs="Arial" w:eastAsia="Arial" w:hAnsi="Arial"/>
          <w:sz w:val="16"/>
          <w:szCs w:val="16"/>
          <w:b w:val="1"/>
          <w:bCs w:val="1"/>
          <w:i w:val="1"/>
          <w:iCs w:val="1"/>
          <w:color w:val="auto"/>
        </w:rPr>
        <w:t>Accumulated Other Comprehensive Income (Loss), Net of Tax (“AOCI”)</w:t>
      </w:r>
      <w:r>
        <w:rPr>
          <w:rFonts w:ascii="Arial" w:cs="Arial" w:eastAsia="Arial" w:hAnsi="Arial"/>
          <w:sz w:val="16"/>
          <w:szCs w:val="16"/>
          <w:color w:val="auto"/>
        </w:rPr>
        <w:t>—The tables below reflect changes in the balances of each component of AOCI during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six month periods ended June 30, 2015 and 2014: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418"/>
              <w:spacing w:after="0" w:line="139" w:lineRule="exact"/>
              <w:rPr>
                <w:sz w:val="20"/>
                <w:szCs w:val="20"/>
                <w:color w:val="auto"/>
              </w:rPr>
            </w:pPr>
            <w:r>
              <w:rPr>
                <w:rFonts w:ascii="Arial" w:cs="Arial" w:eastAsia="Arial" w:hAnsi="Arial"/>
                <w:sz w:val="13"/>
                <w:szCs w:val="13"/>
                <w:b w:val="1"/>
                <w:bCs w:val="1"/>
                <w:color w:val="auto"/>
                <w:w w:val="87"/>
              </w:rPr>
              <w:t>Currency</w:t>
            </w:r>
          </w:p>
        </w:tc>
        <w:tc>
          <w:tcPr>
            <w:tcW w:w="1100" w:type="dxa"/>
            <w:vAlign w:val="bottom"/>
            <w:gridSpan w:val="2"/>
          </w:tcPr>
          <w:p>
            <w:pPr>
              <w:jc w:val="center"/>
              <w:ind w:right="338"/>
              <w:spacing w:after="0" w:line="139" w:lineRule="exact"/>
              <w:rPr>
                <w:sz w:val="20"/>
                <w:szCs w:val="20"/>
                <w:color w:val="auto"/>
              </w:rPr>
            </w:pPr>
            <w:r>
              <w:rPr>
                <w:rFonts w:ascii="Arial" w:cs="Arial" w:eastAsia="Arial" w:hAnsi="Arial"/>
                <w:sz w:val="13"/>
                <w:szCs w:val="13"/>
                <w:b w:val="1"/>
                <w:bCs w:val="1"/>
                <w:color w:val="auto"/>
                <w:w w:val="84"/>
              </w:rPr>
              <w:t>Employee</w:t>
            </w: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rPr>
              <w:t>Attributable to</w:t>
            </w:r>
          </w:p>
        </w:tc>
        <w:tc>
          <w:tcPr>
            <w:tcW w:w="180" w:type="dxa"/>
            <w:vAlign w:val="bottom"/>
          </w:tcPr>
          <w:p>
            <w:pPr>
              <w:spacing w:after="0"/>
              <w:rPr>
                <w:sz w:val="12"/>
                <w:szCs w:val="12"/>
                <w:color w:val="auto"/>
              </w:rPr>
            </w:pPr>
          </w:p>
        </w:tc>
        <w:tc>
          <w:tcPr>
            <w:tcW w:w="780" w:type="dxa"/>
            <w:vAlign w:val="bottom"/>
            <w:gridSpan w:val="2"/>
          </w:tcPr>
          <w:p>
            <w:pPr>
              <w:jc w:val="center"/>
              <w:ind w:right="18"/>
              <w:spacing w:after="0" w:line="139"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9"/>
        </w:trPr>
        <w:tc>
          <w:tcPr>
            <w:tcW w:w="4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00" w:type="dxa"/>
            <w:vAlign w:val="bottom"/>
            <w:gridSpan w:val="3"/>
          </w:tcPr>
          <w:p>
            <w:pPr>
              <w:jc w:val="right"/>
              <w:ind w:right="358"/>
              <w:spacing w:after="0" w:line="139" w:lineRule="exact"/>
              <w:rPr>
                <w:sz w:val="20"/>
                <w:szCs w:val="20"/>
                <w:color w:val="auto"/>
              </w:rPr>
            </w:pPr>
            <w:r>
              <w:rPr>
                <w:rFonts w:ascii="Arial" w:cs="Arial" w:eastAsia="Arial" w:hAnsi="Arial"/>
                <w:sz w:val="13"/>
                <w:szCs w:val="13"/>
                <w:b w:val="1"/>
                <w:bCs w:val="1"/>
                <w:color w:val="auto"/>
                <w:w w:val="91"/>
              </w:rPr>
              <w:t>Translation</w:t>
            </w:r>
          </w:p>
        </w:tc>
        <w:tc>
          <w:tcPr>
            <w:tcW w:w="1100" w:type="dxa"/>
            <w:vAlign w:val="bottom"/>
            <w:gridSpan w:val="2"/>
          </w:tcPr>
          <w:p>
            <w:pPr>
              <w:jc w:val="center"/>
              <w:ind w:right="338"/>
              <w:spacing w:after="0" w:line="139" w:lineRule="exact"/>
              <w:rPr>
                <w:sz w:val="20"/>
                <w:szCs w:val="20"/>
                <w:color w:val="auto"/>
              </w:rPr>
            </w:pPr>
            <w:r>
              <w:rPr>
                <w:rFonts w:ascii="Arial" w:cs="Arial" w:eastAsia="Arial" w:hAnsi="Arial"/>
                <w:sz w:val="13"/>
                <w:szCs w:val="13"/>
                <w:b w:val="1"/>
                <w:bCs w:val="1"/>
                <w:color w:val="auto"/>
                <w:w w:val="90"/>
              </w:rPr>
              <w:t>Benefit</w:t>
            </w:r>
          </w:p>
        </w:tc>
        <w:tc>
          <w:tcPr>
            <w:tcW w:w="1100" w:type="dxa"/>
            <w:vAlign w:val="bottom"/>
            <w:gridSpan w:val="2"/>
          </w:tcPr>
          <w:p>
            <w:pPr>
              <w:jc w:val="right"/>
              <w:ind w:right="538"/>
              <w:spacing w:after="0" w:line="139" w:lineRule="exact"/>
              <w:rPr>
                <w:sz w:val="20"/>
                <w:szCs w:val="20"/>
                <w:color w:val="auto"/>
              </w:rPr>
            </w:pPr>
            <w:r>
              <w:rPr>
                <w:rFonts w:ascii="Arial" w:cs="Arial" w:eastAsia="Arial" w:hAnsi="Arial"/>
                <w:sz w:val="13"/>
                <w:szCs w:val="13"/>
                <w:b w:val="1"/>
                <w:bCs w:val="1"/>
                <w:color w:val="auto"/>
              </w:rPr>
              <w:t>Total</w:t>
            </w:r>
          </w:p>
        </w:tc>
        <w:tc>
          <w:tcPr>
            <w:tcW w:w="106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rPr>
              <w:t>Noncontrolling</w:t>
            </w:r>
          </w:p>
        </w:tc>
        <w:tc>
          <w:tcPr>
            <w:tcW w:w="180" w:type="dxa"/>
            <w:vAlign w:val="bottom"/>
          </w:tcPr>
          <w:p>
            <w:pPr>
              <w:spacing w:after="0"/>
              <w:rPr>
                <w:sz w:val="12"/>
                <w:szCs w:val="12"/>
                <w:color w:val="auto"/>
              </w:rPr>
            </w:pPr>
          </w:p>
        </w:tc>
        <w:tc>
          <w:tcPr>
            <w:tcW w:w="78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94"/>
              </w:rPr>
              <w:t>Lazard Ltd</w:t>
            </w:r>
          </w:p>
        </w:tc>
        <w:tc>
          <w:tcPr>
            <w:tcW w:w="0" w:type="dxa"/>
            <w:vAlign w:val="bottom"/>
          </w:tcPr>
          <w:p>
            <w:pPr>
              <w:spacing w:after="0"/>
              <w:rPr>
                <w:sz w:val="1"/>
                <w:szCs w:val="1"/>
                <w:color w:val="auto"/>
              </w:rPr>
            </w:pPr>
          </w:p>
        </w:tc>
      </w:tr>
      <w:tr>
        <w:trPr>
          <w:trHeight w:val="152"/>
        </w:trPr>
        <w:tc>
          <w:tcPr>
            <w:tcW w:w="4880" w:type="dxa"/>
            <w:vAlign w:val="bottom"/>
            <w:tcBorders>
              <w:bottom w:val="single" w:sz="8" w:color="CCEEFF"/>
            </w:tcBorders>
          </w:tcPr>
          <w:p>
            <w:pPr>
              <w:spacing w:after="0"/>
              <w:rPr>
                <w:sz w:val="13"/>
                <w:szCs w:val="13"/>
                <w:color w:val="auto"/>
              </w:rPr>
            </w:pPr>
          </w:p>
        </w:tc>
        <w:tc>
          <w:tcPr>
            <w:tcW w:w="122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86"/>
              </w:rPr>
              <w:t>Adjustments</w:t>
            </w:r>
          </w:p>
        </w:tc>
        <w:tc>
          <w:tcPr>
            <w:tcW w:w="4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Plans</w:t>
            </w:r>
          </w:p>
        </w:tc>
        <w:tc>
          <w:tcPr>
            <w:tcW w:w="42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ind w:right="103"/>
              <w:spacing w:after="0"/>
              <w:rPr>
                <w:sz w:val="20"/>
                <w:szCs w:val="20"/>
                <w:color w:val="auto"/>
              </w:rPr>
            </w:pPr>
            <w:r>
              <w:rPr>
                <w:rFonts w:ascii="Arial" w:cs="Arial" w:eastAsia="Arial" w:hAnsi="Arial"/>
                <w:sz w:val="13"/>
                <w:szCs w:val="13"/>
                <w:b w:val="1"/>
                <w:bCs w:val="1"/>
                <w:color w:val="auto"/>
              </w:rPr>
              <w:t>AOCI</w:t>
            </w:r>
          </w:p>
        </w:tc>
        <w:tc>
          <w:tcPr>
            <w:tcW w:w="4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Interests</w:t>
            </w:r>
          </w:p>
        </w:tc>
        <w:tc>
          <w:tcPr>
            <w:tcW w:w="24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AOCI</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Balance, January 1, 2015</w:t>
            </w: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(46,102</w:t>
            </w:r>
          </w:p>
        </w:tc>
        <w:tc>
          <w:tcPr>
            <w:tcW w:w="400" w:type="dxa"/>
            <w:vAlign w:val="bottom"/>
            <w:shd w:val="clear" w:color="auto" w:fill="CCEEFF"/>
          </w:tcPr>
          <w:p>
            <w:pPr>
              <w:jc w:val="right"/>
              <w:ind w:right="258"/>
              <w:spacing w:after="0"/>
              <w:rPr>
                <w:sz w:val="20"/>
                <w:szCs w:val="20"/>
                <w:color w:val="auto"/>
              </w:rPr>
            </w:pPr>
            <w:r>
              <w:rPr>
                <w:rFonts w:ascii="Arial" w:cs="Arial" w:eastAsia="Arial" w:hAnsi="Arial"/>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91"/>
              </w:rPr>
              <w:t>$</w:t>
            </w:r>
            <w:r>
              <w:rPr>
                <w:rFonts w:ascii="Arial" w:cs="Arial" w:eastAsia="Arial" w:hAnsi="Arial"/>
                <w:sz w:val="16"/>
                <w:szCs w:val="16"/>
                <w:color w:val="auto"/>
                <w:w w:val="91"/>
              </w:rPr>
              <w:t>(154,665</w:t>
            </w:r>
          </w:p>
        </w:tc>
        <w:tc>
          <w:tcPr>
            <w:tcW w:w="420" w:type="dxa"/>
            <w:vAlign w:val="bottom"/>
            <w:shd w:val="clear" w:color="auto" w:fill="CCEEFF"/>
          </w:tcPr>
          <w:p>
            <w:pPr>
              <w:jc w:val="right"/>
              <w:ind w:right="278"/>
              <w:spacing w:after="0"/>
              <w:rPr>
                <w:sz w:val="20"/>
                <w:szCs w:val="20"/>
                <w:color w:val="auto"/>
              </w:rPr>
            </w:pPr>
            <w:r>
              <w:rPr>
                <w:rFonts w:ascii="Arial" w:cs="Arial" w:eastAsia="Arial" w:hAnsi="Arial"/>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91"/>
              </w:rPr>
              <w:t>$</w:t>
            </w:r>
            <w:r>
              <w:rPr>
                <w:rFonts w:ascii="Arial" w:cs="Arial" w:eastAsia="Arial" w:hAnsi="Arial"/>
                <w:sz w:val="16"/>
                <w:szCs w:val="16"/>
                <w:color w:val="auto"/>
                <w:w w:val="91"/>
              </w:rPr>
              <w:t>(200,767</w:t>
            </w:r>
          </w:p>
        </w:tc>
        <w:tc>
          <w:tcPr>
            <w:tcW w:w="420" w:type="dxa"/>
            <w:vAlign w:val="bottom"/>
            <w:shd w:val="clear" w:color="auto" w:fill="CCEEFF"/>
          </w:tcPr>
          <w:p>
            <w:pPr>
              <w:jc w:val="right"/>
              <w:ind w:right="278"/>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91"/>
              </w:rPr>
              <w:t>$</w:t>
            </w:r>
            <w:r>
              <w:rPr>
                <w:rFonts w:ascii="Arial" w:cs="Arial" w:eastAsia="Arial" w:hAnsi="Arial"/>
                <w:sz w:val="16"/>
                <w:szCs w:val="16"/>
                <w:color w:val="auto"/>
                <w:w w:val="91"/>
              </w:rPr>
              <w:t>(200,766</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6"/>
        </w:trPr>
        <w:tc>
          <w:tcPr>
            <w:tcW w:w="4880" w:type="dxa"/>
            <w:vAlign w:val="bottom"/>
          </w:tcPr>
          <w:p>
            <w:pPr>
              <w:spacing w:after="0"/>
              <w:rPr>
                <w:sz w:val="20"/>
                <w:szCs w:val="20"/>
                <w:color w:val="auto"/>
              </w:rPr>
            </w:pPr>
            <w:r>
              <w:rPr>
                <w:rFonts w:ascii="Arial" w:cs="Arial" w:eastAsia="Arial" w:hAnsi="Arial"/>
                <w:sz w:val="16"/>
                <w:szCs w:val="16"/>
                <w:color w:val="auto"/>
              </w:rPr>
              <w:t>Activity January 1 to June 30, 2015:</w:t>
            </w:r>
          </w:p>
        </w:tc>
        <w:tc>
          <w:tcPr>
            <w:tcW w:w="1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Other comprehensive loss before reclassifications</w:t>
            </w: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58"/>
              <w:spacing w:after="0"/>
              <w:rPr>
                <w:sz w:val="20"/>
                <w:szCs w:val="20"/>
                <w:color w:val="auto"/>
              </w:rPr>
            </w:pPr>
            <w:r>
              <w:rPr>
                <w:rFonts w:ascii="Arial" w:cs="Arial" w:eastAsia="Arial" w:hAnsi="Arial"/>
                <w:sz w:val="16"/>
                <w:szCs w:val="16"/>
                <w:color w:val="auto"/>
              </w:rPr>
              <w:t>(22,342)</w:t>
            </w:r>
          </w:p>
        </w:tc>
        <w:tc>
          <w:tcPr>
            <w:tcW w:w="1100" w:type="dxa"/>
            <w:vAlign w:val="bottom"/>
            <w:gridSpan w:val="2"/>
            <w:shd w:val="clear" w:color="auto" w:fill="CCEEFF"/>
          </w:tcPr>
          <w:p>
            <w:pPr>
              <w:jc w:val="right"/>
              <w:ind w:right="278"/>
              <w:spacing w:after="0"/>
              <w:rPr>
                <w:sz w:val="20"/>
                <w:szCs w:val="20"/>
                <w:color w:val="auto"/>
              </w:rPr>
            </w:pPr>
            <w:r>
              <w:rPr>
                <w:rFonts w:ascii="Arial" w:cs="Arial" w:eastAsia="Arial" w:hAnsi="Arial"/>
                <w:sz w:val="16"/>
                <w:szCs w:val="16"/>
                <w:color w:val="auto"/>
              </w:rPr>
              <w:t>(14,617)</w:t>
            </w:r>
          </w:p>
        </w:tc>
        <w:tc>
          <w:tcPr>
            <w:tcW w:w="1100" w:type="dxa"/>
            <w:vAlign w:val="bottom"/>
            <w:gridSpan w:val="2"/>
            <w:shd w:val="clear" w:color="auto" w:fill="CCEEFF"/>
          </w:tcPr>
          <w:p>
            <w:pPr>
              <w:jc w:val="right"/>
              <w:ind w:right="278"/>
              <w:spacing w:after="0"/>
              <w:rPr>
                <w:sz w:val="20"/>
                <w:szCs w:val="20"/>
                <w:color w:val="auto"/>
              </w:rPr>
            </w:pPr>
            <w:r>
              <w:rPr>
                <w:rFonts w:ascii="Arial" w:cs="Arial" w:eastAsia="Arial" w:hAnsi="Arial"/>
                <w:sz w:val="16"/>
                <w:szCs w:val="16"/>
                <w:color w:val="auto"/>
              </w:rPr>
              <w:t>(36,959)</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(36,959)</w:t>
            </w:r>
          </w:p>
        </w:tc>
        <w:tc>
          <w:tcPr>
            <w:tcW w:w="0" w:type="dxa"/>
            <w:vAlign w:val="bottom"/>
          </w:tcPr>
          <w:p>
            <w:pPr>
              <w:spacing w:after="0"/>
              <w:rPr>
                <w:sz w:val="1"/>
                <w:szCs w:val="1"/>
                <w:color w:val="auto"/>
              </w:rPr>
            </w:pPr>
          </w:p>
        </w:tc>
      </w:tr>
      <w:tr>
        <w:trPr>
          <w:trHeight w:val="202"/>
        </w:trPr>
        <w:tc>
          <w:tcPr>
            <w:tcW w:w="4880" w:type="dxa"/>
            <w:vAlign w:val="bottom"/>
          </w:tcPr>
          <w:p>
            <w:pPr>
              <w:ind w:left="400"/>
              <w:spacing w:after="0"/>
              <w:rPr>
                <w:sz w:val="20"/>
                <w:szCs w:val="20"/>
                <w:color w:val="auto"/>
              </w:rPr>
            </w:pPr>
            <w:r>
              <w:rPr>
                <w:rFonts w:ascii="Arial" w:cs="Arial" w:eastAsia="Arial" w:hAnsi="Arial"/>
                <w:sz w:val="16"/>
                <w:szCs w:val="16"/>
                <w:color w:val="auto"/>
              </w:rPr>
              <w:t>Adjustments for items reclassified to earnings, net of tax</w:t>
            </w: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100" w:type="dxa"/>
            <w:vAlign w:val="bottom"/>
            <w:gridSpan w:val="2"/>
          </w:tcPr>
          <w:p>
            <w:pPr>
              <w:jc w:val="right"/>
              <w:ind w:right="338"/>
              <w:spacing w:after="0"/>
              <w:rPr>
                <w:sz w:val="20"/>
                <w:szCs w:val="20"/>
                <w:color w:val="auto"/>
              </w:rPr>
            </w:pPr>
            <w:r>
              <w:rPr>
                <w:rFonts w:ascii="Arial" w:cs="Arial" w:eastAsia="Arial" w:hAnsi="Arial"/>
                <w:sz w:val="16"/>
                <w:szCs w:val="16"/>
                <w:color w:val="auto"/>
              </w:rPr>
              <w:t>2,376</w:t>
            </w:r>
          </w:p>
        </w:tc>
        <w:tc>
          <w:tcPr>
            <w:tcW w:w="1100" w:type="dxa"/>
            <w:vAlign w:val="bottom"/>
            <w:gridSpan w:val="2"/>
          </w:tcPr>
          <w:p>
            <w:pPr>
              <w:jc w:val="right"/>
              <w:ind w:right="338"/>
              <w:spacing w:after="0"/>
              <w:rPr>
                <w:sz w:val="20"/>
                <w:szCs w:val="20"/>
                <w:color w:val="auto"/>
              </w:rPr>
            </w:pPr>
            <w:r>
              <w:rPr>
                <w:rFonts w:ascii="Arial" w:cs="Arial" w:eastAsia="Arial" w:hAnsi="Arial"/>
                <w:sz w:val="16"/>
                <w:szCs w:val="16"/>
                <w:color w:val="auto"/>
              </w:rPr>
              <w:t>2,376</w:t>
            </w:r>
          </w:p>
        </w:tc>
        <w:tc>
          <w:tcPr>
            <w:tcW w:w="1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18"/>
              <w:spacing w:after="0"/>
              <w:rPr>
                <w:sz w:val="20"/>
                <w:szCs w:val="20"/>
                <w:color w:val="auto"/>
              </w:rPr>
            </w:pPr>
            <w:r>
              <w:rPr>
                <w:rFonts w:ascii="Arial" w:cs="Arial" w:eastAsia="Arial" w:hAnsi="Arial"/>
                <w:sz w:val="16"/>
                <w:szCs w:val="16"/>
                <w:color w:val="auto"/>
              </w:rPr>
              <w:t>2,376</w:t>
            </w:r>
          </w:p>
        </w:tc>
        <w:tc>
          <w:tcPr>
            <w:tcW w:w="0" w:type="dxa"/>
            <w:vAlign w:val="bottom"/>
          </w:tcPr>
          <w:p>
            <w:pPr>
              <w:spacing w:after="0"/>
              <w:rPr>
                <w:sz w:val="1"/>
                <w:szCs w:val="1"/>
                <w:color w:val="auto"/>
              </w:rPr>
            </w:pPr>
          </w:p>
        </w:tc>
      </w:tr>
      <w:tr>
        <w:trPr>
          <w:trHeight w:val="25"/>
        </w:trPr>
        <w:tc>
          <w:tcPr>
            <w:tcW w:w="4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8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Net other comprehensive loss</w:t>
            </w: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58"/>
              <w:spacing w:after="0"/>
              <w:rPr>
                <w:sz w:val="20"/>
                <w:szCs w:val="20"/>
                <w:color w:val="auto"/>
              </w:rPr>
            </w:pPr>
            <w:r>
              <w:rPr>
                <w:rFonts w:ascii="Arial" w:cs="Arial" w:eastAsia="Arial" w:hAnsi="Arial"/>
                <w:sz w:val="16"/>
                <w:szCs w:val="16"/>
                <w:color w:val="auto"/>
              </w:rPr>
              <w:t>(22,342)</w:t>
            </w:r>
          </w:p>
        </w:tc>
        <w:tc>
          <w:tcPr>
            <w:tcW w:w="1100" w:type="dxa"/>
            <w:vAlign w:val="bottom"/>
            <w:gridSpan w:val="2"/>
            <w:shd w:val="clear" w:color="auto" w:fill="CCEEFF"/>
          </w:tcPr>
          <w:p>
            <w:pPr>
              <w:jc w:val="right"/>
              <w:ind w:right="278"/>
              <w:spacing w:after="0"/>
              <w:rPr>
                <w:sz w:val="20"/>
                <w:szCs w:val="20"/>
                <w:color w:val="auto"/>
              </w:rPr>
            </w:pPr>
            <w:r>
              <w:rPr>
                <w:rFonts w:ascii="Arial" w:cs="Arial" w:eastAsia="Arial" w:hAnsi="Arial"/>
                <w:sz w:val="16"/>
                <w:szCs w:val="16"/>
                <w:color w:val="auto"/>
              </w:rPr>
              <w:t>(12,241)</w:t>
            </w:r>
          </w:p>
        </w:tc>
        <w:tc>
          <w:tcPr>
            <w:tcW w:w="1100" w:type="dxa"/>
            <w:vAlign w:val="bottom"/>
            <w:gridSpan w:val="2"/>
            <w:shd w:val="clear" w:color="auto" w:fill="CCEEFF"/>
          </w:tcPr>
          <w:p>
            <w:pPr>
              <w:jc w:val="right"/>
              <w:ind w:right="278"/>
              <w:spacing w:after="0"/>
              <w:rPr>
                <w:sz w:val="20"/>
                <w:szCs w:val="20"/>
                <w:color w:val="auto"/>
              </w:rPr>
            </w:pPr>
            <w:r>
              <w:rPr>
                <w:rFonts w:ascii="Arial" w:cs="Arial" w:eastAsia="Arial" w:hAnsi="Arial"/>
                <w:sz w:val="16"/>
                <w:szCs w:val="16"/>
                <w:color w:val="auto"/>
              </w:rPr>
              <w:t>(34,583)</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(34,583)</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6"/>
                <w:szCs w:val="16"/>
                <w:color w:val="auto"/>
              </w:rPr>
              <w:t>Balance, June 30, 2015</w:t>
            </w:r>
          </w:p>
        </w:tc>
        <w:tc>
          <w:tcPr>
            <w:tcW w:w="1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88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58"/>
              <w:spacing w:after="0"/>
              <w:rPr>
                <w:sz w:val="20"/>
                <w:szCs w:val="20"/>
                <w:color w:val="auto"/>
              </w:rPr>
            </w:pPr>
            <w:r>
              <w:rPr>
                <w:rFonts w:ascii="Arial" w:cs="Arial" w:eastAsia="Arial" w:hAnsi="Arial"/>
                <w:sz w:val="16"/>
                <w:szCs w:val="16"/>
                <w:color w:val="auto"/>
              </w:rPr>
              <w:t>(68,444)</w:t>
            </w:r>
          </w:p>
        </w:tc>
        <w:tc>
          <w:tcPr>
            <w:tcW w:w="1100" w:type="dxa"/>
            <w:vAlign w:val="bottom"/>
            <w:gridSpan w:val="2"/>
          </w:tcPr>
          <w:p>
            <w:pPr>
              <w:jc w:val="right"/>
              <w:ind w:right="278"/>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(166,906)</w:t>
            </w:r>
          </w:p>
        </w:tc>
        <w:tc>
          <w:tcPr>
            <w:tcW w:w="1100" w:type="dxa"/>
            <w:vAlign w:val="bottom"/>
            <w:gridSpan w:val="2"/>
          </w:tcPr>
          <w:p>
            <w:pPr>
              <w:jc w:val="right"/>
              <w:ind w:right="278"/>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(235,350)</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(1)</w:t>
            </w:r>
          </w:p>
        </w:tc>
        <w:tc>
          <w:tcPr>
            <w:tcW w:w="960" w:type="dxa"/>
            <w:vAlign w:val="bottom"/>
            <w:gridSpan w:val="3"/>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(235,349)</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220" w:type="dxa"/>
            <w:vAlign w:val="bottom"/>
            <w:vMerge w:val="restart"/>
          </w:tcPr>
          <w:p>
            <w:pPr>
              <w:jc w:val="right"/>
              <w:ind w:right="218"/>
              <w:spacing w:after="0"/>
              <w:rPr>
                <w:sz w:val="20"/>
                <w:szCs w:val="20"/>
                <w:color w:val="auto"/>
              </w:rPr>
            </w:pPr>
            <w:r>
              <w:rPr>
                <w:rFonts w:ascii="Arial" w:cs="Arial" w:eastAsia="Arial" w:hAnsi="Arial"/>
                <w:sz w:val="16"/>
                <w:szCs w:val="16"/>
                <w:color w:val="auto"/>
              </w:rPr>
              <w:t>25</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88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0" w:right="23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LAZARD LTD</w:t>
      </w:r>
    </w:p>
    <w:p>
      <w:pPr>
        <w:spacing w:after="0" w:line="94"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auto"/>
        </w:rPr>
        <w:t>NOTES TO CONDENSED CONSOLIDATED FINANCIAL STATEMENTS—(Continued)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except for per share data, unless otherwise noted)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7"/>
              </w:rPr>
              <w:t>Amount</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6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21"/>
              <w:spacing w:after="0" w:line="139" w:lineRule="exact"/>
              <w:rPr>
                <w:sz w:val="20"/>
                <w:szCs w:val="20"/>
                <w:color w:val="auto"/>
              </w:rPr>
            </w:pPr>
            <w:r>
              <w:rPr>
                <w:rFonts w:ascii="Arial" w:cs="Arial" w:eastAsia="Arial" w:hAnsi="Arial"/>
                <w:sz w:val="13"/>
                <w:szCs w:val="13"/>
                <w:b w:val="1"/>
                <w:bCs w:val="1"/>
                <w:color w:val="auto"/>
                <w:w w:val="87"/>
              </w:rPr>
              <w:t>Currency</w:t>
            </w:r>
          </w:p>
        </w:tc>
        <w:tc>
          <w:tcPr>
            <w:tcW w:w="400" w:type="dxa"/>
            <w:vAlign w:val="bottom"/>
          </w:tcPr>
          <w:p>
            <w:pPr>
              <w:spacing w:after="0"/>
              <w:rPr>
                <w:sz w:val="12"/>
                <w:szCs w:val="12"/>
                <w:color w:val="auto"/>
              </w:rPr>
            </w:pPr>
          </w:p>
        </w:tc>
        <w:tc>
          <w:tcPr>
            <w:tcW w:w="1100" w:type="dxa"/>
            <w:vAlign w:val="bottom"/>
            <w:gridSpan w:val="2"/>
          </w:tcPr>
          <w:p>
            <w:pPr>
              <w:jc w:val="center"/>
              <w:ind w:right="338"/>
              <w:spacing w:after="0" w:line="139" w:lineRule="exact"/>
              <w:rPr>
                <w:sz w:val="20"/>
                <w:szCs w:val="20"/>
                <w:color w:val="auto"/>
              </w:rPr>
            </w:pPr>
            <w:r>
              <w:rPr>
                <w:rFonts w:ascii="Arial" w:cs="Arial" w:eastAsia="Arial" w:hAnsi="Arial"/>
                <w:sz w:val="13"/>
                <w:szCs w:val="13"/>
                <w:b w:val="1"/>
                <w:bCs w:val="1"/>
                <w:color w:val="auto"/>
                <w:w w:val="84"/>
              </w:rPr>
              <w:t>Employee</w:t>
            </w: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rPr>
              <w:t>Attributable to</w:t>
            </w:r>
          </w:p>
        </w:tc>
        <w:tc>
          <w:tcPr>
            <w:tcW w:w="180" w:type="dxa"/>
            <w:vAlign w:val="bottom"/>
          </w:tcPr>
          <w:p>
            <w:pPr>
              <w:spacing w:after="0"/>
              <w:rPr>
                <w:sz w:val="12"/>
                <w:szCs w:val="12"/>
                <w:color w:val="auto"/>
              </w:rPr>
            </w:pPr>
          </w:p>
        </w:tc>
        <w:tc>
          <w:tcPr>
            <w:tcW w:w="780" w:type="dxa"/>
            <w:vAlign w:val="bottom"/>
            <w:gridSpan w:val="2"/>
          </w:tcPr>
          <w:p>
            <w:pPr>
              <w:jc w:val="center"/>
              <w:ind w:right="18"/>
              <w:spacing w:after="0" w:line="139"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9"/>
        </w:trPr>
        <w:tc>
          <w:tcPr>
            <w:tcW w:w="6100" w:type="dxa"/>
            <w:vAlign w:val="bottom"/>
          </w:tcPr>
          <w:p>
            <w:pPr>
              <w:spacing w:after="0"/>
              <w:rPr>
                <w:sz w:val="12"/>
                <w:szCs w:val="12"/>
                <w:color w:val="auto"/>
              </w:rPr>
            </w:pPr>
          </w:p>
        </w:tc>
        <w:tc>
          <w:tcPr>
            <w:tcW w:w="700" w:type="dxa"/>
            <w:vAlign w:val="bottom"/>
            <w:gridSpan w:val="2"/>
          </w:tcPr>
          <w:p>
            <w:pPr>
              <w:jc w:val="right"/>
              <w:spacing w:after="0" w:line="139" w:lineRule="exact"/>
              <w:rPr>
                <w:sz w:val="20"/>
                <w:szCs w:val="20"/>
                <w:color w:val="auto"/>
              </w:rPr>
            </w:pPr>
            <w:r>
              <w:rPr>
                <w:rFonts w:ascii="Arial" w:cs="Arial" w:eastAsia="Arial" w:hAnsi="Arial"/>
                <w:sz w:val="13"/>
                <w:szCs w:val="13"/>
                <w:b w:val="1"/>
                <w:bCs w:val="1"/>
                <w:color w:val="auto"/>
                <w:w w:val="91"/>
              </w:rPr>
              <w:t>Translation</w:t>
            </w:r>
          </w:p>
        </w:tc>
        <w:tc>
          <w:tcPr>
            <w:tcW w:w="400" w:type="dxa"/>
            <w:vAlign w:val="bottom"/>
          </w:tcPr>
          <w:p>
            <w:pPr>
              <w:spacing w:after="0"/>
              <w:rPr>
                <w:sz w:val="12"/>
                <w:szCs w:val="12"/>
                <w:color w:val="auto"/>
              </w:rPr>
            </w:pPr>
          </w:p>
        </w:tc>
        <w:tc>
          <w:tcPr>
            <w:tcW w:w="1100" w:type="dxa"/>
            <w:vAlign w:val="bottom"/>
            <w:gridSpan w:val="2"/>
          </w:tcPr>
          <w:p>
            <w:pPr>
              <w:jc w:val="center"/>
              <w:ind w:right="338"/>
              <w:spacing w:after="0" w:line="139" w:lineRule="exact"/>
              <w:rPr>
                <w:sz w:val="20"/>
                <w:szCs w:val="20"/>
                <w:color w:val="auto"/>
              </w:rPr>
            </w:pPr>
            <w:r>
              <w:rPr>
                <w:rFonts w:ascii="Arial" w:cs="Arial" w:eastAsia="Arial" w:hAnsi="Arial"/>
                <w:sz w:val="13"/>
                <w:szCs w:val="13"/>
                <w:b w:val="1"/>
                <w:bCs w:val="1"/>
                <w:color w:val="auto"/>
                <w:w w:val="90"/>
              </w:rPr>
              <w:t>Benefit</w:t>
            </w:r>
          </w:p>
        </w:tc>
        <w:tc>
          <w:tcPr>
            <w:tcW w:w="1100" w:type="dxa"/>
            <w:vAlign w:val="bottom"/>
            <w:gridSpan w:val="2"/>
          </w:tcPr>
          <w:p>
            <w:pPr>
              <w:jc w:val="right"/>
              <w:ind w:right="538"/>
              <w:spacing w:after="0" w:line="139" w:lineRule="exact"/>
              <w:rPr>
                <w:sz w:val="20"/>
                <w:szCs w:val="20"/>
                <w:color w:val="auto"/>
              </w:rPr>
            </w:pPr>
            <w:r>
              <w:rPr>
                <w:rFonts w:ascii="Arial" w:cs="Arial" w:eastAsia="Arial" w:hAnsi="Arial"/>
                <w:sz w:val="13"/>
                <w:szCs w:val="13"/>
                <w:b w:val="1"/>
                <w:bCs w:val="1"/>
                <w:color w:val="auto"/>
              </w:rPr>
              <w:t>Total</w:t>
            </w:r>
          </w:p>
        </w:tc>
        <w:tc>
          <w:tcPr>
            <w:tcW w:w="106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rPr>
              <w:t>Noncontrolling</w:t>
            </w:r>
          </w:p>
        </w:tc>
        <w:tc>
          <w:tcPr>
            <w:tcW w:w="180" w:type="dxa"/>
            <w:vAlign w:val="bottom"/>
          </w:tcPr>
          <w:p>
            <w:pPr>
              <w:spacing w:after="0"/>
              <w:rPr>
                <w:sz w:val="12"/>
                <w:szCs w:val="12"/>
                <w:color w:val="auto"/>
              </w:rPr>
            </w:pPr>
          </w:p>
        </w:tc>
        <w:tc>
          <w:tcPr>
            <w:tcW w:w="78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94"/>
              </w:rPr>
              <w:t>Lazard Ltd</w:t>
            </w:r>
          </w:p>
        </w:tc>
        <w:tc>
          <w:tcPr>
            <w:tcW w:w="0" w:type="dxa"/>
            <w:vAlign w:val="bottom"/>
          </w:tcPr>
          <w:p>
            <w:pPr>
              <w:spacing w:after="0"/>
              <w:rPr>
                <w:sz w:val="1"/>
                <w:szCs w:val="1"/>
                <w:color w:val="auto"/>
              </w:rPr>
            </w:pPr>
          </w:p>
        </w:tc>
      </w:tr>
      <w:tr>
        <w:trPr>
          <w:trHeight w:val="152"/>
        </w:trPr>
        <w:tc>
          <w:tcPr>
            <w:tcW w:w="610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3"/>
                <w:szCs w:val="13"/>
                <w:b w:val="1"/>
                <w:bCs w:val="1"/>
                <w:color w:val="auto"/>
                <w:w w:val="86"/>
              </w:rPr>
              <w:t>Adjustments</w:t>
            </w:r>
          </w:p>
        </w:tc>
        <w:tc>
          <w:tcPr>
            <w:tcW w:w="400" w:type="dxa"/>
            <w:vAlign w:val="bottom"/>
          </w:tcPr>
          <w:p>
            <w:pPr>
              <w:spacing w:after="0"/>
              <w:rPr>
                <w:sz w:val="13"/>
                <w:szCs w:val="13"/>
                <w:color w:val="auto"/>
              </w:rPr>
            </w:pPr>
          </w:p>
        </w:tc>
        <w:tc>
          <w:tcPr>
            <w:tcW w:w="1100" w:type="dxa"/>
            <w:vAlign w:val="bottom"/>
            <w:gridSpan w:val="2"/>
          </w:tcPr>
          <w:p>
            <w:pPr>
              <w:jc w:val="center"/>
              <w:ind w:right="318"/>
              <w:spacing w:after="0"/>
              <w:rPr>
                <w:sz w:val="20"/>
                <w:szCs w:val="20"/>
                <w:color w:val="auto"/>
              </w:rPr>
            </w:pPr>
            <w:r>
              <w:rPr>
                <w:rFonts w:ascii="Arial" w:cs="Arial" w:eastAsia="Arial" w:hAnsi="Arial"/>
                <w:sz w:val="13"/>
                <w:szCs w:val="13"/>
                <w:b w:val="1"/>
                <w:bCs w:val="1"/>
                <w:color w:val="auto"/>
                <w:w w:val="86"/>
              </w:rPr>
              <w:t>Plans</w:t>
            </w:r>
          </w:p>
        </w:tc>
        <w:tc>
          <w:tcPr>
            <w:tcW w:w="1100" w:type="dxa"/>
            <w:vAlign w:val="bottom"/>
            <w:gridSpan w:val="2"/>
          </w:tcPr>
          <w:p>
            <w:pPr>
              <w:jc w:val="right"/>
              <w:ind w:right="518"/>
              <w:spacing w:after="0"/>
              <w:rPr>
                <w:sz w:val="20"/>
                <w:szCs w:val="20"/>
                <w:color w:val="auto"/>
              </w:rPr>
            </w:pPr>
            <w:r>
              <w:rPr>
                <w:rFonts w:ascii="Arial" w:cs="Arial" w:eastAsia="Arial" w:hAnsi="Arial"/>
                <w:sz w:val="13"/>
                <w:szCs w:val="13"/>
                <w:b w:val="1"/>
                <w:bCs w:val="1"/>
                <w:color w:val="auto"/>
              </w:rPr>
              <w:t>AOCI</w:t>
            </w:r>
          </w:p>
        </w:tc>
        <w:tc>
          <w:tcPr>
            <w:tcW w:w="140" w:type="dxa"/>
            <w:vAlign w:val="bottom"/>
          </w:tcPr>
          <w:p>
            <w:pPr>
              <w:spacing w:after="0"/>
              <w:rPr>
                <w:sz w:val="13"/>
                <w:szCs w:val="13"/>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88"/>
              </w:rPr>
              <w:t>Interests</w:t>
            </w:r>
          </w:p>
        </w:tc>
        <w:tc>
          <w:tcPr>
            <w:tcW w:w="180" w:type="dxa"/>
            <w:vAlign w:val="bottom"/>
          </w:tcPr>
          <w:p>
            <w:pPr>
              <w:spacing w:after="0"/>
              <w:rPr>
                <w:sz w:val="13"/>
                <w:szCs w:val="13"/>
                <w:color w:val="auto"/>
              </w:rPr>
            </w:pPr>
          </w:p>
        </w:tc>
        <w:tc>
          <w:tcPr>
            <w:tcW w:w="780" w:type="dxa"/>
            <w:vAlign w:val="bottom"/>
            <w:gridSpan w:val="2"/>
          </w:tcPr>
          <w:p>
            <w:pPr>
              <w:jc w:val="center"/>
              <w:ind w:right="18"/>
              <w:spacing w:after="0"/>
              <w:rPr>
                <w:sz w:val="20"/>
                <w:szCs w:val="20"/>
                <w:color w:val="auto"/>
              </w:rPr>
            </w:pPr>
            <w:r>
              <w:rPr>
                <w:rFonts w:ascii="Arial" w:cs="Arial" w:eastAsia="Arial" w:hAnsi="Arial"/>
                <w:sz w:val="13"/>
                <w:szCs w:val="13"/>
                <w:b w:val="1"/>
                <w:bCs w:val="1"/>
                <w:color w:val="auto"/>
                <w:w w:val="98"/>
              </w:rPr>
              <w:t>AOCI</w:t>
            </w:r>
          </w:p>
        </w:tc>
        <w:tc>
          <w:tcPr>
            <w:tcW w:w="0" w:type="dxa"/>
            <w:vAlign w:val="bottom"/>
          </w:tcPr>
          <w:p>
            <w:pPr>
              <w:spacing w:after="0"/>
              <w:rPr>
                <w:sz w:val="1"/>
                <w:szCs w:val="1"/>
                <w:color w:val="auto"/>
              </w:rPr>
            </w:pPr>
          </w:p>
        </w:tc>
      </w:tr>
      <w:tr>
        <w:trPr>
          <w:trHeight w:val="195"/>
        </w:trPr>
        <w:tc>
          <w:tcPr>
            <w:tcW w:w="6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January 1, 2014</w:t>
            </w: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3,869</w:t>
            </w:r>
          </w:p>
        </w:tc>
        <w:tc>
          <w:tcPr>
            <w:tcW w:w="4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w w:val="91"/>
              </w:rPr>
              <w:t>$</w:t>
            </w:r>
            <w:r>
              <w:rPr>
                <w:rFonts w:ascii="Arial" w:cs="Arial" w:eastAsia="Arial" w:hAnsi="Arial"/>
                <w:sz w:val="16"/>
                <w:szCs w:val="16"/>
                <w:color w:val="auto"/>
                <w:w w:val="91"/>
              </w:rPr>
              <w:t>(137,431</w:t>
            </w:r>
          </w:p>
        </w:tc>
        <w:tc>
          <w:tcPr>
            <w:tcW w:w="420" w:type="dxa"/>
            <w:vAlign w:val="bottom"/>
            <w:tcBorders>
              <w:top w:val="single" w:sz="8" w:color="CCEEFF"/>
            </w:tcBorders>
            <w:shd w:val="clear" w:color="auto" w:fill="CCEEFF"/>
          </w:tcPr>
          <w:p>
            <w:pPr>
              <w:jc w:val="right"/>
              <w:ind w:right="278"/>
              <w:spacing w:after="0"/>
              <w:rPr>
                <w:sz w:val="20"/>
                <w:szCs w:val="20"/>
                <w:color w:val="auto"/>
              </w:rPr>
            </w:pPr>
            <w:r>
              <w:rPr>
                <w:rFonts w:ascii="Arial" w:cs="Arial" w:eastAsia="Arial" w:hAnsi="Arial"/>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w w:val="91"/>
              </w:rPr>
              <w:t>$</w:t>
            </w:r>
            <w:r>
              <w:rPr>
                <w:rFonts w:ascii="Arial" w:cs="Arial" w:eastAsia="Arial" w:hAnsi="Arial"/>
                <w:sz w:val="16"/>
                <w:szCs w:val="16"/>
                <w:color w:val="auto"/>
                <w:w w:val="91"/>
              </w:rPr>
              <w:t>(133,562</w:t>
            </w:r>
          </w:p>
        </w:tc>
        <w:tc>
          <w:tcPr>
            <w:tcW w:w="420" w:type="dxa"/>
            <w:vAlign w:val="bottom"/>
            <w:tcBorders>
              <w:top w:val="single" w:sz="8" w:color="CCEEFF"/>
            </w:tcBorders>
            <w:shd w:val="clear" w:color="auto" w:fill="CCEEFF"/>
          </w:tcPr>
          <w:p>
            <w:pPr>
              <w:jc w:val="right"/>
              <w:ind w:right="278"/>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w w:val="91"/>
              </w:rPr>
              <w:t>$</w:t>
            </w:r>
            <w:r>
              <w:rPr>
                <w:rFonts w:ascii="Arial" w:cs="Arial" w:eastAsia="Arial" w:hAnsi="Arial"/>
                <w:sz w:val="16"/>
                <w:szCs w:val="16"/>
                <w:color w:val="auto"/>
                <w:w w:val="91"/>
              </w:rPr>
              <w:t>(133,004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6"/>
        </w:trPr>
        <w:tc>
          <w:tcPr>
            <w:tcW w:w="6100" w:type="dxa"/>
            <w:vAlign w:val="bottom"/>
          </w:tcPr>
          <w:p>
            <w:pPr>
              <w:spacing w:after="0"/>
              <w:rPr>
                <w:sz w:val="20"/>
                <w:szCs w:val="20"/>
                <w:color w:val="auto"/>
              </w:rPr>
            </w:pPr>
            <w:r>
              <w:rPr>
                <w:rFonts w:ascii="Arial" w:cs="Arial" w:eastAsia="Arial" w:hAnsi="Arial"/>
                <w:sz w:val="16"/>
                <w:szCs w:val="16"/>
                <w:color w:val="auto"/>
              </w:rPr>
              <w:t>Activity January 1 to June 30, 2014:</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1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Other comprehensive income (loss) before reclassifications</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10,460</w:t>
            </w:r>
          </w:p>
        </w:tc>
        <w:tc>
          <w:tcPr>
            <w:tcW w:w="1500" w:type="dxa"/>
            <w:vAlign w:val="bottom"/>
            <w:gridSpan w:val="3"/>
            <w:shd w:val="clear" w:color="auto" w:fill="CCEEFF"/>
          </w:tcPr>
          <w:p>
            <w:pPr>
              <w:jc w:val="right"/>
              <w:ind w:right="278"/>
              <w:spacing w:after="0"/>
              <w:rPr>
                <w:sz w:val="20"/>
                <w:szCs w:val="20"/>
                <w:color w:val="auto"/>
              </w:rPr>
            </w:pPr>
            <w:r>
              <w:rPr>
                <w:rFonts w:ascii="Arial" w:cs="Arial" w:eastAsia="Arial" w:hAnsi="Arial"/>
                <w:sz w:val="16"/>
                <w:szCs w:val="16"/>
                <w:color w:val="auto"/>
              </w:rPr>
              <w:t>(6,946)</w:t>
            </w:r>
          </w:p>
        </w:tc>
        <w:tc>
          <w:tcPr>
            <w:tcW w:w="1100" w:type="dxa"/>
            <w:vAlign w:val="bottom"/>
            <w:gridSpan w:val="2"/>
            <w:shd w:val="clear" w:color="auto" w:fill="CCEEFF"/>
          </w:tcPr>
          <w:p>
            <w:pPr>
              <w:jc w:val="right"/>
              <w:ind w:right="338"/>
              <w:spacing w:after="0"/>
              <w:rPr>
                <w:sz w:val="20"/>
                <w:szCs w:val="20"/>
                <w:color w:val="auto"/>
              </w:rPr>
            </w:pPr>
            <w:r>
              <w:rPr>
                <w:rFonts w:ascii="Arial" w:cs="Arial" w:eastAsia="Arial" w:hAnsi="Arial"/>
                <w:sz w:val="16"/>
                <w:szCs w:val="16"/>
                <w:color w:val="auto"/>
              </w:rPr>
              <w:t>3,514</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559</w:t>
            </w:r>
          </w:p>
        </w:tc>
        <w:tc>
          <w:tcPr>
            <w:tcW w:w="960" w:type="dxa"/>
            <w:vAlign w:val="bottom"/>
            <w:gridSpan w:val="3"/>
            <w:shd w:val="clear" w:color="auto" w:fill="CCEEFF"/>
          </w:tcPr>
          <w:p>
            <w:pPr>
              <w:jc w:val="right"/>
              <w:ind w:right="18"/>
              <w:spacing w:after="0"/>
              <w:rPr>
                <w:sz w:val="20"/>
                <w:szCs w:val="20"/>
                <w:color w:val="auto"/>
              </w:rPr>
            </w:pPr>
            <w:r>
              <w:rPr>
                <w:rFonts w:ascii="Arial" w:cs="Arial" w:eastAsia="Arial" w:hAnsi="Arial"/>
                <w:sz w:val="16"/>
                <w:szCs w:val="16"/>
                <w:color w:val="auto"/>
              </w:rPr>
              <w:t>2,955</w:t>
            </w:r>
          </w:p>
        </w:tc>
        <w:tc>
          <w:tcPr>
            <w:tcW w:w="0" w:type="dxa"/>
            <w:vAlign w:val="bottom"/>
          </w:tcPr>
          <w:p>
            <w:pPr>
              <w:spacing w:after="0"/>
              <w:rPr>
                <w:sz w:val="1"/>
                <w:szCs w:val="1"/>
                <w:color w:val="auto"/>
              </w:rPr>
            </w:pPr>
          </w:p>
        </w:tc>
      </w:tr>
      <w:tr>
        <w:trPr>
          <w:trHeight w:val="202"/>
        </w:trPr>
        <w:tc>
          <w:tcPr>
            <w:tcW w:w="6100" w:type="dxa"/>
            <w:vAlign w:val="bottom"/>
          </w:tcPr>
          <w:p>
            <w:pPr>
              <w:ind w:left="400"/>
              <w:spacing w:after="0"/>
              <w:rPr>
                <w:sz w:val="20"/>
                <w:szCs w:val="20"/>
                <w:color w:val="auto"/>
              </w:rPr>
            </w:pPr>
            <w:r>
              <w:rPr>
                <w:rFonts w:ascii="Arial" w:cs="Arial" w:eastAsia="Arial" w:hAnsi="Arial"/>
                <w:sz w:val="16"/>
                <w:szCs w:val="16"/>
                <w:color w:val="auto"/>
              </w:rPr>
              <w:t>Adjustments for items reclassified to earnings, net of tax</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100" w:type="dxa"/>
            <w:vAlign w:val="bottom"/>
            <w:gridSpan w:val="2"/>
          </w:tcPr>
          <w:p>
            <w:pPr>
              <w:jc w:val="right"/>
              <w:ind w:right="338"/>
              <w:spacing w:after="0"/>
              <w:rPr>
                <w:sz w:val="20"/>
                <w:szCs w:val="20"/>
                <w:color w:val="auto"/>
              </w:rPr>
            </w:pPr>
            <w:r>
              <w:rPr>
                <w:rFonts w:ascii="Arial" w:cs="Arial" w:eastAsia="Arial" w:hAnsi="Arial"/>
                <w:sz w:val="16"/>
                <w:szCs w:val="16"/>
                <w:color w:val="auto"/>
              </w:rPr>
              <w:t>2,569</w:t>
            </w:r>
          </w:p>
        </w:tc>
        <w:tc>
          <w:tcPr>
            <w:tcW w:w="1100" w:type="dxa"/>
            <w:vAlign w:val="bottom"/>
            <w:gridSpan w:val="2"/>
          </w:tcPr>
          <w:p>
            <w:pPr>
              <w:jc w:val="right"/>
              <w:ind w:right="338"/>
              <w:spacing w:after="0"/>
              <w:rPr>
                <w:sz w:val="20"/>
                <w:szCs w:val="20"/>
                <w:color w:val="auto"/>
              </w:rPr>
            </w:pPr>
            <w:r>
              <w:rPr>
                <w:rFonts w:ascii="Arial" w:cs="Arial" w:eastAsia="Arial" w:hAnsi="Arial"/>
                <w:sz w:val="16"/>
                <w:szCs w:val="16"/>
                <w:color w:val="auto"/>
              </w:rPr>
              <w:t>2,569</w:t>
            </w:r>
          </w:p>
        </w:tc>
        <w:tc>
          <w:tcPr>
            <w:tcW w:w="1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18"/>
              <w:spacing w:after="0"/>
              <w:rPr>
                <w:sz w:val="20"/>
                <w:szCs w:val="20"/>
                <w:color w:val="auto"/>
              </w:rPr>
            </w:pPr>
            <w:r>
              <w:rPr>
                <w:rFonts w:ascii="Arial" w:cs="Arial" w:eastAsia="Arial" w:hAnsi="Arial"/>
                <w:sz w:val="16"/>
                <w:szCs w:val="16"/>
                <w:color w:val="auto"/>
              </w:rPr>
              <w:t>2,569</w:t>
            </w:r>
          </w:p>
        </w:tc>
        <w:tc>
          <w:tcPr>
            <w:tcW w:w="0" w:type="dxa"/>
            <w:vAlign w:val="bottom"/>
          </w:tcPr>
          <w:p>
            <w:pPr>
              <w:spacing w:after="0"/>
              <w:rPr>
                <w:sz w:val="1"/>
                <w:szCs w:val="1"/>
                <w:color w:val="auto"/>
              </w:rPr>
            </w:pPr>
          </w:p>
        </w:tc>
      </w:tr>
      <w:tr>
        <w:trPr>
          <w:trHeight w:val="25"/>
        </w:trPr>
        <w:tc>
          <w:tcPr>
            <w:tcW w:w="6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61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Net other comprehensive income (loss)</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10,460</w:t>
            </w:r>
          </w:p>
        </w:tc>
        <w:tc>
          <w:tcPr>
            <w:tcW w:w="4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78"/>
              <w:spacing w:after="0"/>
              <w:rPr>
                <w:sz w:val="20"/>
                <w:szCs w:val="20"/>
                <w:color w:val="auto"/>
              </w:rPr>
            </w:pPr>
            <w:r>
              <w:rPr>
                <w:rFonts w:ascii="Arial" w:cs="Arial" w:eastAsia="Arial" w:hAnsi="Arial"/>
                <w:sz w:val="16"/>
                <w:szCs w:val="16"/>
                <w:color w:val="auto"/>
              </w:rPr>
              <w:t>(4,377)</w:t>
            </w:r>
          </w:p>
        </w:tc>
        <w:tc>
          <w:tcPr>
            <w:tcW w:w="1100" w:type="dxa"/>
            <w:vAlign w:val="bottom"/>
            <w:gridSpan w:val="2"/>
            <w:shd w:val="clear" w:color="auto" w:fill="CCEEFF"/>
          </w:tcPr>
          <w:p>
            <w:pPr>
              <w:jc w:val="right"/>
              <w:ind w:right="338"/>
              <w:spacing w:after="0"/>
              <w:rPr>
                <w:sz w:val="20"/>
                <w:szCs w:val="20"/>
                <w:color w:val="auto"/>
              </w:rPr>
            </w:pPr>
            <w:r>
              <w:rPr>
                <w:rFonts w:ascii="Arial" w:cs="Arial" w:eastAsia="Arial" w:hAnsi="Arial"/>
                <w:sz w:val="16"/>
                <w:szCs w:val="16"/>
                <w:color w:val="auto"/>
              </w:rPr>
              <w:t>6,083</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559</w:t>
            </w:r>
          </w:p>
        </w:tc>
        <w:tc>
          <w:tcPr>
            <w:tcW w:w="960" w:type="dxa"/>
            <w:vAlign w:val="bottom"/>
            <w:gridSpan w:val="3"/>
            <w:shd w:val="clear" w:color="auto" w:fill="CCEEFF"/>
          </w:tcPr>
          <w:p>
            <w:pPr>
              <w:jc w:val="right"/>
              <w:ind w:right="18"/>
              <w:spacing w:after="0"/>
              <w:rPr>
                <w:sz w:val="20"/>
                <w:szCs w:val="20"/>
                <w:color w:val="auto"/>
              </w:rPr>
            </w:pPr>
            <w:r>
              <w:rPr>
                <w:rFonts w:ascii="Arial" w:cs="Arial" w:eastAsia="Arial" w:hAnsi="Arial"/>
                <w:sz w:val="16"/>
                <w:szCs w:val="16"/>
                <w:color w:val="auto"/>
              </w:rPr>
              <w:t>5,524</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6"/>
                <w:szCs w:val="16"/>
                <w:color w:val="auto"/>
              </w:rPr>
              <w:t>Balance, June 30, 2014</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100" w:type="dxa"/>
            <w:vAlign w:val="bottom"/>
            <w:vMerge w:val="continue"/>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14,329</w:t>
            </w:r>
          </w:p>
        </w:tc>
        <w:tc>
          <w:tcPr>
            <w:tcW w:w="400" w:type="dxa"/>
            <w:vAlign w:val="bottom"/>
          </w:tcPr>
          <w:p>
            <w:pPr>
              <w:spacing w:after="0"/>
              <w:rPr>
                <w:sz w:val="17"/>
                <w:szCs w:val="17"/>
                <w:color w:val="auto"/>
              </w:rPr>
            </w:pPr>
          </w:p>
        </w:tc>
        <w:tc>
          <w:tcPr>
            <w:tcW w:w="1100" w:type="dxa"/>
            <w:vAlign w:val="bottom"/>
            <w:gridSpan w:val="2"/>
          </w:tcPr>
          <w:p>
            <w:pPr>
              <w:jc w:val="right"/>
              <w:ind w:right="278"/>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(141,808)</w:t>
            </w:r>
          </w:p>
        </w:tc>
        <w:tc>
          <w:tcPr>
            <w:tcW w:w="1100" w:type="dxa"/>
            <w:vAlign w:val="bottom"/>
            <w:gridSpan w:val="2"/>
          </w:tcPr>
          <w:p>
            <w:pPr>
              <w:jc w:val="right"/>
              <w:ind w:right="278"/>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(127,479)</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1</w:t>
            </w:r>
          </w:p>
        </w:tc>
        <w:tc>
          <w:tcPr>
            <w:tcW w:w="960" w:type="dxa"/>
            <w:vAlign w:val="bottom"/>
            <w:gridSpan w:val="3"/>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(127,480)</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table below reflects adjustments for items reclassified out of AOCI, by component, for the three month and six month periods ended June 30, 2015 and 2014: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170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8"/>
              </w:rPr>
              <w:t>Three Months Ended</w:t>
            </w:r>
          </w:p>
        </w:tc>
        <w:tc>
          <w:tcPr>
            <w:tcW w:w="240" w:type="dxa"/>
            <w:vAlign w:val="bottom"/>
          </w:tcPr>
          <w:p>
            <w:pPr>
              <w:spacing w:after="0"/>
              <w:rPr>
                <w:sz w:val="13"/>
                <w:szCs w:val="13"/>
                <w:color w:val="auto"/>
              </w:rPr>
            </w:pPr>
          </w:p>
        </w:tc>
        <w:tc>
          <w:tcPr>
            <w:tcW w:w="156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88"/>
              </w:rPr>
              <w:t>Six Months Ended</w:t>
            </w:r>
          </w:p>
        </w:tc>
      </w:tr>
      <w:tr>
        <w:trPr>
          <w:trHeight w:val="152"/>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gridSpan w:val="3"/>
          </w:tcPr>
          <w:p>
            <w:pPr>
              <w:jc w:val="center"/>
              <w:ind w:right="740"/>
              <w:spacing w:after="0"/>
              <w:rPr>
                <w:sz w:val="20"/>
                <w:szCs w:val="20"/>
                <w:color w:val="auto"/>
              </w:rPr>
            </w:pPr>
            <w:r>
              <w:rPr>
                <w:rFonts w:ascii="Arial" w:cs="Arial" w:eastAsia="Arial" w:hAnsi="Arial"/>
                <w:sz w:val="13"/>
                <w:szCs w:val="13"/>
                <w:b w:val="1"/>
                <w:bCs w:val="1"/>
                <w:color w:val="auto"/>
                <w:w w:val="88"/>
              </w:rPr>
              <w:t>June 30,</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60" w:type="dxa"/>
            <w:vAlign w:val="bottom"/>
            <w:gridSpan w:val="3"/>
          </w:tcPr>
          <w:p>
            <w:pPr>
              <w:jc w:val="center"/>
              <w:ind w:right="580"/>
              <w:spacing w:after="0"/>
              <w:rPr>
                <w:sz w:val="20"/>
                <w:szCs w:val="20"/>
                <w:color w:val="auto"/>
              </w:rPr>
            </w:pPr>
            <w:r>
              <w:rPr>
                <w:rFonts w:ascii="Arial" w:cs="Arial" w:eastAsia="Arial" w:hAnsi="Arial"/>
                <w:sz w:val="13"/>
                <w:szCs w:val="13"/>
                <w:b w:val="1"/>
                <w:bCs w:val="1"/>
                <w:color w:val="auto"/>
                <w:w w:val="84"/>
              </w:rPr>
              <w:t>June 30,</w:t>
            </w:r>
          </w:p>
        </w:tc>
      </w:tr>
      <w:tr>
        <w:trPr>
          <w:trHeight w:val="132"/>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500" w:type="dxa"/>
            <w:vAlign w:val="bottom"/>
            <w:tcBorders>
              <w:top w:val="single" w:sz="8" w:color="auto"/>
            </w:tcBorders>
          </w:tcPr>
          <w:p>
            <w:pPr>
              <w:jc w:val="right"/>
              <w:ind w:right="65"/>
              <w:spacing w:after="0" w:line="132" w:lineRule="exact"/>
              <w:rPr>
                <w:sz w:val="20"/>
                <w:szCs w:val="20"/>
                <w:color w:val="auto"/>
              </w:rPr>
            </w:pPr>
            <w:r>
              <w:rPr>
                <w:rFonts w:ascii="Arial" w:cs="Arial" w:eastAsia="Arial" w:hAnsi="Arial"/>
                <w:sz w:val="13"/>
                <w:szCs w:val="13"/>
                <w:b w:val="1"/>
                <w:bCs w:val="1"/>
                <w:color w:val="auto"/>
              </w:rPr>
              <w:t>2015</w:t>
            </w:r>
          </w:p>
        </w:tc>
        <w:tc>
          <w:tcPr>
            <w:tcW w:w="980" w:type="dxa"/>
            <w:vAlign w:val="bottom"/>
            <w:tcBorders>
              <w:top w:val="single" w:sz="8" w:color="auto"/>
            </w:tcBorders>
            <w:gridSpan w:val="2"/>
          </w:tcPr>
          <w:p>
            <w:pPr>
              <w:jc w:val="right"/>
              <w:ind w:right="58"/>
              <w:spacing w:after="0" w:line="132" w:lineRule="exact"/>
              <w:rPr>
                <w:sz w:val="20"/>
                <w:szCs w:val="20"/>
                <w:color w:val="auto"/>
              </w:rPr>
            </w:pPr>
            <w:r>
              <w:rPr>
                <w:rFonts w:ascii="Arial" w:cs="Arial" w:eastAsia="Arial" w:hAnsi="Arial"/>
                <w:sz w:val="13"/>
                <w:szCs w:val="13"/>
                <w:b w:val="1"/>
                <w:bCs w:val="1"/>
                <w:color w:val="auto"/>
              </w:rPr>
              <w:t>2014</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Borders>
              <w:top w:val="single" w:sz="8" w:color="auto"/>
            </w:tcBorders>
          </w:tcPr>
          <w:p>
            <w:pPr>
              <w:jc w:val="right"/>
              <w:ind w:right="47"/>
              <w:spacing w:after="0" w:line="132" w:lineRule="exact"/>
              <w:rPr>
                <w:sz w:val="20"/>
                <w:szCs w:val="20"/>
                <w:color w:val="auto"/>
              </w:rPr>
            </w:pPr>
            <w:r>
              <w:rPr>
                <w:rFonts w:ascii="Arial" w:cs="Arial" w:eastAsia="Arial" w:hAnsi="Arial"/>
                <w:sz w:val="13"/>
                <w:szCs w:val="13"/>
                <w:b w:val="1"/>
                <w:bCs w:val="1"/>
                <w:color w:val="auto"/>
              </w:rPr>
              <w:t>2015</w:t>
            </w:r>
          </w:p>
        </w:tc>
        <w:tc>
          <w:tcPr>
            <w:tcW w:w="980" w:type="dxa"/>
            <w:vAlign w:val="bottom"/>
            <w:tcBorders>
              <w:top w:val="single" w:sz="8" w:color="auto"/>
            </w:tcBorders>
            <w:gridSpan w:val="2"/>
          </w:tcPr>
          <w:p>
            <w:pPr>
              <w:jc w:val="right"/>
              <w:ind w:right="38"/>
              <w:spacing w:after="0" w:line="132" w:lineRule="exact"/>
              <w:rPr>
                <w:sz w:val="20"/>
                <w:szCs w:val="20"/>
                <w:color w:val="auto"/>
              </w:rPr>
            </w:pPr>
            <w:r>
              <w:rPr>
                <w:rFonts w:ascii="Arial" w:cs="Arial" w:eastAsia="Arial" w:hAnsi="Arial"/>
                <w:sz w:val="13"/>
                <w:szCs w:val="13"/>
                <w:b w:val="1"/>
                <w:bCs w:val="1"/>
                <w:color w:val="auto"/>
              </w:rPr>
              <w:t>2014</w:t>
            </w:r>
          </w:p>
        </w:tc>
        <w:tc>
          <w:tcPr>
            <w:tcW w:w="80" w:type="dxa"/>
            <w:vAlign w:val="bottom"/>
          </w:tcPr>
          <w:p>
            <w:pPr>
              <w:spacing w:after="0"/>
              <w:rPr>
                <w:sz w:val="11"/>
                <w:szCs w:val="11"/>
                <w:color w:val="auto"/>
              </w:rPr>
            </w:pPr>
          </w:p>
        </w:tc>
      </w:tr>
      <w:tr>
        <w:trPr>
          <w:trHeight w:val="195"/>
        </w:trPr>
        <w:tc>
          <w:tcPr>
            <w:tcW w:w="20" w:type="dxa"/>
            <w:vAlign w:val="bottom"/>
          </w:tcPr>
          <w:p>
            <w:pPr>
              <w:spacing w:after="0"/>
              <w:rPr>
                <w:sz w:val="16"/>
                <w:szCs w:val="16"/>
                <w:color w:val="auto"/>
              </w:rPr>
            </w:pPr>
          </w:p>
        </w:tc>
        <w:tc>
          <w:tcPr>
            <w:tcW w:w="6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Amortization relating to employee benefit plans (a)</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$ 1,728</w:t>
            </w:r>
          </w:p>
        </w:tc>
        <w:tc>
          <w:tcPr>
            <w:tcW w:w="46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$ 1,611</w:t>
            </w: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$ 3,477</w:t>
            </w:r>
          </w:p>
        </w:tc>
        <w:tc>
          <w:tcPr>
            <w:tcW w:w="4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$ 3,432</w:t>
            </w:r>
          </w:p>
        </w:tc>
        <w:tc>
          <w:tcPr>
            <w:tcW w:w="80" w:type="dxa"/>
            <w:vAlign w:val="bottom"/>
            <w:tcBorders>
              <w:top w:val="single" w:sz="8" w:color="CCEEFF"/>
            </w:tcBorders>
            <w:shd w:val="clear" w:color="auto" w:fill="CCEEFF"/>
          </w:tcPr>
          <w:p>
            <w:pPr>
              <w:spacing w:after="0"/>
              <w:rPr>
                <w:sz w:val="16"/>
                <w:szCs w:val="16"/>
                <w:color w:val="auto"/>
              </w:rPr>
            </w:pPr>
          </w:p>
        </w:tc>
      </w:tr>
      <w:tr>
        <w:trPr>
          <w:trHeight w:val="208"/>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6"/>
                <w:szCs w:val="16"/>
                <w:color w:val="auto"/>
              </w:rPr>
              <w:t>Less – related income taxes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w:t>
            </w:r>
          </w:p>
        </w:tc>
        <w:tc>
          <w:tcPr>
            <w:tcW w:w="46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1,101</w:t>
            </w:r>
          </w:p>
        </w:tc>
        <w:tc>
          <w:tcPr>
            <w:tcW w:w="48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w:t>
            </w:r>
          </w:p>
        </w:tc>
        <w:tc>
          <w:tcPr>
            <w:tcW w:w="8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reclassifications, net of tax</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$ 1,190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$ 1,280</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$ 2,376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$ 2,569</w:t>
            </w:r>
          </w:p>
        </w:tc>
        <w:tc>
          <w:tcPr>
            <w:tcW w:w="8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92"/>
        </w:trPr>
        <w:tc>
          <w:tcPr>
            <w:tcW w:w="20" w:type="dxa"/>
            <w:vAlign w:val="bottom"/>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54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r>
    </w:tbl>
    <w:p>
      <w:pPr>
        <w:spacing w:after="0" w:line="17" w:lineRule="exact"/>
        <w:rPr>
          <w:sz w:val="20"/>
          <w:szCs w:val="20"/>
          <w:color w:val="auto"/>
        </w:rPr>
      </w:pPr>
    </w:p>
    <w:p>
      <w:pPr>
        <w:ind w:left="460" w:right="640" w:hanging="459"/>
        <w:spacing w:after="0" w:line="296"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Included in the computation of net periodic benefit cost (see Note 13 of Notes to Condensed Consolidated Financial Statements). Such amount is included in “compensation and benefits” expense on the condensed consolidated statement of operations.</w:t>
      </w:r>
    </w:p>
    <w:p>
      <w:pPr>
        <w:spacing w:after="0" w:line="103" w:lineRule="exact"/>
        <w:rPr>
          <w:sz w:val="20"/>
          <w:szCs w:val="20"/>
          <w:color w:val="auto"/>
        </w:rPr>
      </w:pPr>
    </w:p>
    <w:p>
      <w:pPr>
        <w:jc w:val="both"/>
        <w:ind w:right="440" w:firstLine="457"/>
        <w:spacing w:after="0" w:line="280" w:lineRule="auto"/>
        <w:rPr>
          <w:sz w:val="20"/>
          <w:szCs w:val="20"/>
          <w:color w:val="auto"/>
        </w:rPr>
      </w:pPr>
      <w:r>
        <w:rPr>
          <w:rFonts w:ascii="Arial" w:cs="Arial" w:eastAsia="Arial" w:hAnsi="Arial"/>
          <w:sz w:val="16"/>
          <w:szCs w:val="16"/>
          <w:b w:val="1"/>
          <w:bCs w:val="1"/>
          <w:i w:val="1"/>
          <w:iCs w:val="1"/>
          <w:color w:val="auto"/>
        </w:rPr>
        <w:t>Noncontrolling Interests—</w:t>
      </w:r>
      <w:r>
        <w:rPr>
          <w:rFonts w:ascii="Arial" w:cs="Arial" w:eastAsia="Arial" w:hAnsi="Arial"/>
          <w:sz w:val="16"/>
          <w:szCs w:val="16"/>
          <w:color w:val="auto"/>
        </w:rPr>
        <w:t>Noncontrolling interests principally represent interests held in (i) Edgewater’s management vehicles that the Company is deemed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control, but does not own, and (ii) Lazard Group by LAZ-MD Holdings until May 2014. Following the Final Exchange of LAZ-MD Interests, Lazard Group became a wholly-owned indirect subsidiary of Lazard Ltd.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440" w:right="23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LAZARD LTD</w:t>
      </w:r>
    </w:p>
    <w:p>
      <w:pPr>
        <w:spacing w:after="0" w:line="94"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auto"/>
        </w:rPr>
        <w:t>NOTES TO CONDENSED CONSOLIDATED FINANCIAL STATEMENTS—(Continued)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except for per share data, unless otherwise noted)</w:t>
      </w:r>
    </w:p>
    <w:p>
      <w:pPr>
        <w:spacing w:after="0" w:line="152" w:lineRule="exact"/>
        <w:rPr>
          <w:sz w:val="20"/>
          <w:szCs w:val="20"/>
          <w:color w:val="auto"/>
        </w:rPr>
      </w:pPr>
    </w:p>
    <w:p>
      <w:pPr>
        <w:ind w:right="620" w:firstLine="457"/>
        <w:spacing w:after="0" w:line="296" w:lineRule="auto"/>
        <w:rPr>
          <w:sz w:val="20"/>
          <w:szCs w:val="20"/>
          <w:color w:val="auto"/>
        </w:rPr>
      </w:pPr>
      <w:r>
        <w:rPr>
          <w:rFonts w:ascii="Arial" w:cs="Arial" w:eastAsia="Arial" w:hAnsi="Arial"/>
          <w:sz w:val="16"/>
          <w:szCs w:val="16"/>
          <w:color w:val="auto"/>
        </w:rPr>
        <w:t>The tables below summarize net income attributable to noncontrolling interests for the three month and six month periods ended June 30, 2015 and 2014 and noncontrolling interests as of June 30, 2015 and December 31, 2014 in the Company’s condensed consolidated financial statements: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Net Income</w:t>
            </w: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6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5"/>
          </w:tcPr>
          <w:p>
            <w:pPr>
              <w:jc w:val="center"/>
              <w:spacing w:after="0" w:line="139" w:lineRule="exact"/>
              <w:rPr>
                <w:sz w:val="20"/>
                <w:szCs w:val="20"/>
                <w:color w:val="auto"/>
              </w:rPr>
            </w:pPr>
            <w:r>
              <w:rPr>
                <w:rFonts w:ascii="Arial" w:cs="Arial" w:eastAsia="Arial" w:hAnsi="Arial"/>
                <w:sz w:val="13"/>
                <w:szCs w:val="13"/>
                <w:b w:val="1"/>
                <w:bCs w:val="1"/>
                <w:color w:val="auto"/>
                <w:w w:val="89"/>
              </w:rPr>
              <w:t>Attributable to Noncontrolling</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6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8"/>
              </w:rPr>
              <w:t>Interests</w:t>
            </w:r>
          </w:p>
        </w:tc>
        <w:tc>
          <w:tcPr>
            <w:tcW w:w="4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6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gridSpan w:val="5"/>
          </w:tcPr>
          <w:p>
            <w:pPr>
              <w:jc w:val="right"/>
              <w:ind w:right="320"/>
              <w:spacing w:after="0" w:line="119" w:lineRule="exact"/>
              <w:rPr>
                <w:sz w:val="20"/>
                <w:szCs w:val="20"/>
                <w:color w:val="auto"/>
              </w:rPr>
            </w:pPr>
            <w:r>
              <w:rPr>
                <w:rFonts w:ascii="Arial" w:cs="Arial" w:eastAsia="Arial" w:hAnsi="Arial"/>
                <w:sz w:val="13"/>
                <w:szCs w:val="13"/>
                <w:b w:val="1"/>
                <w:bCs w:val="1"/>
                <w:color w:val="auto"/>
                <w:w w:val="99"/>
              </w:rPr>
              <w:t>Three Months Ended</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gridSpan w:val="4"/>
          </w:tcPr>
          <w:p>
            <w:pPr>
              <w:jc w:val="right"/>
              <w:ind w:right="322"/>
              <w:spacing w:after="0" w:line="119" w:lineRule="exact"/>
              <w:rPr>
                <w:sz w:val="20"/>
                <w:szCs w:val="20"/>
                <w:color w:val="auto"/>
              </w:rPr>
            </w:pPr>
            <w:r>
              <w:rPr>
                <w:rFonts w:ascii="Arial" w:cs="Arial" w:eastAsia="Arial" w:hAnsi="Arial"/>
                <w:sz w:val="13"/>
                <w:szCs w:val="13"/>
                <w:b w:val="1"/>
                <w:bCs w:val="1"/>
                <w:color w:val="auto"/>
              </w:rPr>
              <w:t>Six Months Ended</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6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83"/>
              <w:spacing w:after="0"/>
              <w:rPr>
                <w:sz w:val="20"/>
                <w:szCs w:val="20"/>
                <w:color w:val="auto"/>
              </w:rPr>
            </w:pPr>
            <w:r>
              <w:rPr>
                <w:rFonts w:ascii="Arial" w:cs="Arial" w:eastAsia="Arial" w:hAnsi="Arial"/>
                <w:sz w:val="13"/>
                <w:szCs w:val="13"/>
                <w:b w:val="1"/>
                <w:bCs w:val="1"/>
                <w:color w:val="auto"/>
                <w:w w:val="92"/>
              </w:rPr>
              <w:t>June 30,</w:t>
            </w:r>
          </w:p>
        </w:tc>
        <w:tc>
          <w:tcPr>
            <w:tcW w:w="4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right"/>
              <w:ind w:right="138"/>
              <w:spacing w:after="0"/>
              <w:rPr>
                <w:sz w:val="20"/>
                <w:szCs w:val="20"/>
                <w:color w:val="auto"/>
              </w:rPr>
            </w:pPr>
            <w:r>
              <w:rPr>
                <w:rFonts w:ascii="Arial" w:cs="Arial" w:eastAsia="Arial" w:hAnsi="Arial"/>
                <w:sz w:val="13"/>
                <w:szCs w:val="13"/>
                <w:b w:val="1"/>
                <w:bCs w:val="1"/>
                <w:color w:val="auto"/>
                <w:w w:val="99"/>
              </w:rPr>
              <w:t>June 30,</w:t>
            </w:r>
          </w:p>
        </w:tc>
        <w:tc>
          <w:tcPr>
            <w:tcW w:w="46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69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84"/>
              <w:spacing w:after="0" w:line="132" w:lineRule="exact"/>
              <w:rPr>
                <w:sz w:val="20"/>
                <w:szCs w:val="20"/>
                <w:color w:val="auto"/>
              </w:rPr>
            </w:pPr>
            <w:r>
              <w:rPr>
                <w:rFonts w:ascii="Arial" w:cs="Arial" w:eastAsia="Arial" w:hAnsi="Arial"/>
                <w:sz w:val="13"/>
                <w:szCs w:val="13"/>
                <w:b w:val="1"/>
                <w:bCs w:val="1"/>
                <w:color w:val="auto"/>
                <w:w w:val="96"/>
              </w:rPr>
              <w:t>2015</w:t>
            </w:r>
          </w:p>
        </w:tc>
        <w:tc>
          <w:tcPr>
            <w:tcW w:w="5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84"/>
              <w:spacing w:after="0" w:line="132" w:lineRule="exact"/>
              <w:rPr>
                <w:sz w:val="20"/>
                <w:szCs w:val="20"/>
                <w:color w:val="auto"/>
              </w:rPr>
            </w:pPr>
            <w:r>
              <w:rPr>
                <w:rFonts w:ascii="Arial" w:cs="Arial" w:eastAsia="Arial" w:hAnsi="Arial"/>
                <w:sz w:val="13"/>
                <w:szCs w:val="13"/>
                <w:b w:val="1"/>
                <w:bCs w:val="1"/>
                <w:color w:val="auto"/>
                <w:w w:val="96"/>
              </w:rPr>
              <w:t>2014</w:t>
            </w:r>
          </w:p>
        </w:tc>
        <w:tc>
          <w:tcPr>
            <w:tcW w:w="40" w:type="dxa"/>
            <w:vAlign w:val="bottom"/>
            <w:tcBorders>
              <w:bottom w:val="single" w:sz="8" w:color="CCEEFF"/>
            </w:tcBorders>
          </w:tcPr>
          <w:p>
            <w:pPr>
              <w:spacing w:after="0"/>
              <w:rPr>
                <w:sz w:val="11"/>
                <w:szCs w:val="11"/>
                <w:color w:val="auto"/>
              </w:rPr>
            </w:pPr>
          </w:p>
        </w:tc>
        <w:tc>
          <w:tcPr>
            <w:tcW w:w="6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84"/>
              <w:spacing w:after="0" w:line="132" w:lineRule="exact"/>
              <w:rPr>
                <w:sz w:val="20"/>
                <w:szCs w:val="20"/>
                <w:color w:val="auto"/>
              </w:rPr>
            </w:pPr>
            <w:r>
              <w:rPr>
                <w:rFonts w:ascii="Arial" w:cs="Arial" w:eastAsia="Arial" w:hAnsi="Arial"/>
                <w:sz w:val="13"/>
                <w:szCs w:val="13"/>
                <w:b w:val="1"/>
                <w:bCs w:val="1"/>
                <w:color w:val="auto"/>
                <w:w w:val="96"/>
              </w:rPr>
              <w:t>2015</w:t>
            </w:r>
          </w:p>
        </w:tc>
        <w:tc>
          <w:tcPr>
            <w:tcW w:w="6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82"/>
              <w:spacing w:after="0" w:line="132" w:lineRule="exact"/>
              <w:rPr>
                <w:sz w:val="20"/>
                <w:szCs w:val="20"/>
                <w:color w:val="auto"/>
              </w:rPr>
            </w:pPr>
            <w:r>
              <w:rPr>
                <w:rFonts w:ascii="Arial" w:cs="Arial" w:eastAsia="Arial" w:hAnsi="Arial"/>
                <w:sz w:val="13"/>
                <w:szCs w:val="13"/>
                <w:b w:val="1"/>
                <w:bCs w:val="1"/>
                <w:color w:val="auto"/>
                <w:w w:val="96"/>
              </w:rPr>
              <w:t>2014</w:t>
            </w:r>
          </w:p>
        </w:tc>
        <w:tc>
          <w:tcPr>
            <w:tcW w:w="3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940" w:type="dxa"/>
            <w:vAlign w:val="bottom"/>
            <w:shd w:val="clear" w:color="auto" w:fill="CCEEFF"/>
          </w:tcPr>
          <w:p>
            <w:pPr>
              <w:spacing w:after="0"/>
              <w:rPr>
                <w:sz w:val="20"/>
                <w:szCs w:val="20"/>
                <w:color w:val="auto"/>
              </w:rPr>
            </w:pPr>
            <w:r>
              <w:rPr>
                <w:rFonts w:ascii="Arial" w:cs="Arial" w:eastAsia="Arial" w:hAnsi="Arial"/>
                <w:sz w:val="16"/>
                <w:szCs w:val="16"/>
                <w:color w:val="auto"/>
              </w:rPr>
              <w:t>Edgewater</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7,734</w:t>
            </w: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4,672</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940" w:type="dxa"/>
            <w:vAlign w:val="bottom"/>
          </w:tcPr>
          <w:p>
            <w:pPr>
              <w:spacing w:after="0"/>
              <w:rPr>
                <w:sz w:val="20"/>
                <w:szCs w:val="20"/>
                <w:color w:val="auto"/>
              </w:rPr>
            </w:pPr>
            <w:r>
              <w:rPr>
                <w:rFonts w:ascii="Arial" w:cs="Arial" w:eastAsia="Arial" w:hAnsi="Arial"/>
                <w:sz w:val="16"/>
                <w:szCs w:val="16"/>
                <w:color w:val="auto"/>
              </w:rPr>
              <w:t>LAZ-MD Holdings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rPr>
              <w:t>164</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631</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4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6"/>
                <w:szCs w:val="16"/>
                <w:color w:val="auto"/>
              </w:rPr>
              <w:t>Total</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940" w:type="dxa"/>
            <w:vAlign w:val="bottom"/>
            <w:vMerge w:val="continue"/>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1,042</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rPr>
              <w:t>717</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7,735</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5,304</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8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60" w:type="dxa"/>
            <w:vAlign w:val="bottom"/>
            <w:gridSpan w:val="6"/>
          </w:tcPr>
          <w:p>
            <w:pPr>
              <w:jc w:val="right"/>
              <w:ind w:right="660"/>
              <w:spacing w:after="0"/>
              <w:rPr>
                <w:sz w:val="20"/>
                <w:szCs w:val="20"/>
                <w:color w:val="auto"/>
              </w:rPr>
            </w:pPr>
            <w:r>
              <w:rPr>
                <w:rFonts w:ascii="Arial" w:cs="Arial" w:eastAsia="Arial" w:hAnsi="Arial"/>
                <w:sz w:val="13"/>
                <w:szCs w:val="13"/>
                <w:b w:val="1"/>
                <w:bCs w:val="1"/>
                <w:color w:val="auto"/>
                <w:w w:val="99"/>
              </w:rPr>
              <w:t>Noncontrolling Interests As Of</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7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June 30,</w:t>
            </w:r>
          </w:p>
        </w:tc>
        <w:tc>
          <w:tcPr>
            <w:tcW w:w="4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2"/>
              </w:rPr>
              <w:t>December 31,</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7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27"/>
              <w:spacing w:after="0"/>
              <w:rPr>
                <w:sz w:val="20"/>
                <w:szCs w:val="20"/>
                <w:color w:val="auto"/>
              </w:rPr>
            </w:pPr>
            <w:r>
              <w:rPr>
                <w:rFonts w:ascii="Arial" w:cs="Arial" w:eastAsia="Arial" w:hAnsi="Arial"/>
                <w:sz w:val="13"/>
                <w:szCs w:val="13"/>
                <w:b w:val="1"/>
                <w:bCs w:val="1"/>
                <w:color w:val="auto"/>
              </w:rPr>
              <w:t>2015</w:t>
            </w:r>
          </w:p>
        </w:tc>
        <w:tc>
          <w:tcPr>
            <w:tcW w:w="40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23"/>
              <w:spacing w:after="0"/>
              <w:rPr>
                <w:sz w:val="20"/>
                <w:szCs w:val="20"/>
                <w:color w:val="auto"/>
              </w:rPr>
            </w:pPr>
            <w:r>
              <w:rPr>
                <w:rFonts w:ascii="Arial" w:cs="Arial" w:eastAsia="Arial" w:hAnsi="Arial"/>
                <w:sz w:val="13"/>
                <w:szCs w:val="13"/>
                <w:b w:val="1"/>
                <w:bCs w:val="1"/>
                <w:color w:val="auto"/>
              </w:rPr>
              <w:t>2014</w:t>
            </w:r>
          </w:p>
        </w:tc>
        <w:tc>
          <w:tcPr>
            <w:tcW w:w="3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6"/>
                <w:szCs w:val="16"/>
                <w:color w:val="auto"/>
              </w:rPr>
              <w:t>Edgewater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58,446</w:t>
            </w:r>
          </w:p>
        </w:tc>
        <w:tc>
          <w:tcPr>
            <w:tcW w:w="4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62,584</w:t>
            </w: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60" w:type="dxa"/>
            <w:vAlign w:val="bottom"/>
          </w:tcPr>
          <w:p>
            <w:pPr>
              <w:spacing w:after="0"/>
              <w:rPr>
                <w:sz w:val="20"/>
                <w:szCs w:val="20"/>
                <w:color w:val="auto"/>
              </w:rPr>
            </w:pPr>
            <w:r>
              <w:rPr>
                <w:rFonts w:ascii="Arial" w:cs="Arial" w:eastAsia="Arial" w:hAnsi="Arial"/>
                <w:sz w:val="16"/>
                <w:szCs w:val="16"/>
                <w:color w:val="auto"/>
              </w:rPr>
              <w:t>Other</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719</w:t>
            </w: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6"/>
                <w:szCs w:val="16"/>
                <w:color w:val="auto"/>
              </w:rPr>
              <w:t>729</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8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59,165</w:t>
            </w:r>
          </w:p>
        </w:tc>
        <w:tc>
          <w:tcPr>
            <w:tcW w:w="4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3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63,313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right="280" w:firstLine="457"/>
        <w:spacing w:after="0" w:line="296" w:lineRule="auto"/>
        <w:rPr>
          <w:sz w:val="20"/>
          <w:szCs w:val="20"/>
          <w:color w:val="auto"/>
        </w:rPr>
      </w:pPr>
      <w:r>
        <w:rPr>
          <w:rFonts w:ascii="Arial" w:cs="Arial" w:eastAsia="Arial" w:hAnsi="Arial"/>
          <w:sz w:val="16"/>
          <w:szCs w:val="16"/>
          <w:b w:val="1"/>
          <w:bCs w:val="1"/>
          <w:i w:val="1"/>
          <w:iCs w:val="1"/>
          <w:color w:val="auto"/>
        </w:rPr>
        <w:t>Dividends Declared, July 2015</w:t>
      </w:r>
      <w:r>
        <w:rPr>
          <w:rFonts w:ascii="Arial" w:cs="Arial" w:eastAsia="Arial" w:hAnsi="Arial"/>
          <w:sz w:val="16"/>
          <w:szCs w:val="16"/>
          <w:color w:val="auto"/>
        </w:rPr>
        <w:t>— On July 22, 2015, the Board of Directors of Lazard Ltd declared a quarterly dividend of $0.35 per share on its Class A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payable on August 14, 2015, to stockholders of record on August 3, 2015.</w:t>
      </w:r>
    </w:p>
    <w:p>
      <w:pPr>
        <w:spacing w:after="0" w:line="217" w:lineRule="exact"/>
        <w:rPr>
          <w:sz w:val="20"/>
          <w:szCs w:val="20"/>
          <w:color w:val="auto"/>
        </w:rPr>
      </w:pPr>
    </w:p>
    <w:p>
      <w:pPr>
        <w:ind w:left="460" w:hanging="459"/>
        <w:spacing w:after="0"/>
        <w:tabs>
          <w:tab w:leader="none" w:pos="460" w:val="left"/>
        </w:tabs>
        <w:numPr>
          <w:ilvl w:val="0"/>
          <w:numId w:val="2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INCENTIVE PLANS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Share-Based Incentive Plan Awards</w:t>
      </w:r>
    </w:p>
    <w:p>
      <w:pPr>
        <w:spacing w:after="0" w:line="94" w:lineRule="exact"/>
        <w:rPr>
          <w:sz w:val="20"/>
          <w:szCs w:val="20"/>
          <w:color w:val="auto"/>
        </w:rPr>
      </w:pPr>
    </w:p>
    <w:p>
      <w:pPr>
        <w:ind w:right="60" w:firstLine="457"/>
        <w:spacing w:after="0" w:line="296" w:lineRule="auto"/>
        <w:rPr>
          <w:sz w:val="20"/>
          <w:szCs w:val="20"/>
          <w:color w:val="auto"/>
        </w:rPr>
      </w:pPr>
      <w:r>
        <w:rPr>
          <w:rFonts w:ascii="Arial" w:cs="Arial" w:eastAsia="Arial" w:hAnsi="Arial"/>
          <w:sz w:val="16"/>
          <w:szCs w:val="16"/>
          <w:color w:val="auto"/>
        </w:rPr>
        <w:t>A description of Lazard Ltd’s 2005 Plan and 2008 Plan and activity with respect thereto during the three month and six month periods ended June 30, 2015 and 2014, is presented below.</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Shares Available Under the 2008 Plan and the 2005 Plan</w:t>
      </w:r>
    </w:p>
    <w:p>
      <w:pPr>
        <w:spacing w:after="0" w:line="94" w:lineRule="exact"/>
        <w:rPr>
          <w:sz w:val="20"/>
          <w:szCs w:val="20"/>
          <w:color w:val="auto"/>
        </w:rPr>
      </w:pPr>
    </w:p>
    <w:p>
      <w:pPr>
        <w:ind w:right="40" w:firstLine="457"/>
        <w:spacing w:after="0" w:line="337" w:lineRule="auto"/>
        <w:rPr>
          <w:sz w:val="20"/>
          <w:szCs w:val="20"/>
          <w:color w:val="auto"/>
        </w:rPr>
      </w:pPr>
      <w:r>
        <w:rPr>
          <w:rFonts w:ascii="Arial" w:cs="Arial" w:eastAsia="Arial" w:hAnsi="Arial"/>
          <w:sz w:val="14"/>
          <w:szCs w:val="14"/>
          <w:color w:val="auto"/>
        </w:rPr>
        <w:t>The 2008 Plan authorizes the issuance of shares of Class A common stock pursuant to the grant or exercise of stock options, stock appreciation rights, restricted stock units (“RSUs”) and other equity-based awards. Under the 2008 Plan, the maximum number of shares available is based on a formula that limits the aggregate number of shares that may, at any time, be subject to awards that are considered “outstanding” under the 2008 Plan to 30% of the then-outstanding shares of Class A common stock.</w:t>
      </w:r>
    </w:p>
    <w:p>
      <w:pPr>
        <w:spacing w:after="0" w:line="81" w:lineRule="exact"/>
        <w:rPr>
          <w:sz w:val="20"/>
          <w:szCs w:val="20"/>
          <w:color w:val="auto"/>
        </w:rPr>
      </w:pPr>
    </w:p>
    <w:p>
      <w:pPr>
        <w:ind w:right="60" w:firstLine="457"/>
        <w:spacing w:after="0" w:line="274" w:lineRule="auto"/>
        <w:rPr>
          <w:sz w:val="20"/>
          <w:szCs w:val="20"/>
          <w:color w:val="auto"/>
        </w:rPr>
      </w:pPr>
      <w:r>
        <w:rPr>
          <w:rFonts w:ascii="Arial" w:cs="Arial" w:eastAsia="Arial" w:hAnsi="Arial"/>
          <w:sz w:val="16"/>
          <w:szCs w:val="16"/>
          <w:color w:val="auto"/>
        </w:rPr>
        <w:t>The 2005 Plan authorized the issuance of up to 25,000,000 shares of Class A common stock pursuant to the grant or exercise of stock options, stock appreciation rights, RSUs and other equity-based awards. Each stock unit or similar award granted under the 2005 Plan represented a contingent right to receive one share of Class A common stock, at no cost to the recipient. The fair value of such awards was generally determined based on the closing market price of Class A common stock at the date of grant. The 2005 Plan expired in the second quarter of 2015.</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440" w:right="23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LAZARD LTD</w:t>
      </w:r>
    </w:p>
    <w:p>
      <w:pPr>
        <w:spacing w:after="0" w:line="94"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auto"/>
        </w:rPr>
        <w:t>NOTES TO CONDENSED CONSOLIDATED FINANCIAL STATEMENTS—(Continued)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except for per share data, unless otherwise noted)</w:t>
      </w:r>
    </w:p>
    <w:p>
      <w:pPr>
        <w:spacing w:after="0" w:line="152" w:lineRule="exact"/>
        <w:rPr>
          <w:sz w:val="20"/>
          <w:szCs w:val="20"/>
          <w:color w:val="auto"/>
        </w:rPr>
      </w:pPr>
    </w:p>
    <w:p>
      <w:pPr>
        <w:ind w:right="80" w:firstLine="457"/>
        <w:spacing w:after="0" w:line="337" w:lineRule="auto"/>
        <w:rPr>
          <w:sz w:val="20"/>
          <w:szCs w:val="20"/>
          <w:color w:val="auto"/>
        </w:rPr>
      </w:pPr>
      <w:r>
        <w:rPr>
          <w:rFonts w:ascii="Arial" w:cs="Arial" w:eastAsia="Arial" w:hAnsi="Arial"/>
          <w:sz w:val="14"/>
          <w:szCs w:val="14"/>
          <w:color w:val="auto"/>
        </w:rPr>
        <w:t>The following reflects the amortization expense recorded with respect to share-based incentive plans within “compensation and benefits” expense (with respect to RSUs, performance-based restricted stock units (“PRSUs”) and restricted stock awards) and “professional services” expense (with respect to deferred stock units (“DSUs”)) within the Company’s accompanying condensed consolidated statements of operations for the three month and six month periods ended June 30, 2015 and 2014: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auto"/>
              </w:rPr>
              <w:t>Three Months Ended</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5"/>
          </w:tcPr>
          <w:p>
            <w:pPr>
              <w:ind w:left="32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52"/>
        </w:trPr>
        <w:tc>
          <w:tcPr>
            <w:tcW w:w="7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b w:val="1"/>
                <w:bCs w:val="1"/>
                <w:color w:val="auto"/>
                <w:w w:val="92"/>
              </w:rPr>
              <w:t>June 30,</w:t>
            </w:r>
          </w:p>
        </w:tc>
        <w:tc>
          <w:tcPr>
            <w:tcW w:w="5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b w:val="1"/>
                <w:bCs w:val="1"/>
                <w:color w:val="auto"/>
                <w:w w:val="96"/>
              </w:rPr>
              <w:t>June 30,</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71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03"/>
              <w:spacing w:after="0" w:line="132" w:lineRule="exact"/>
              <w:rPr>
                <w:sz w:val="20"/>
                <w:szCs w:val="20"/>
                <w:color w:val="auto"/>
              </w:rPr>
            </w:pPr>
            <w:r>
              <w:rPr>
                <w:rFonts w:ascii="Arial" w:cs="Arial" w:eastAsia="Arial" w:hAnsi="Arial"/>
                <w:sz w:val="13"/>
                <w:szCs w:val="13"/>
                <w:b w:val="1"/>
                <w:bCs w:val="1"/>
                <w:color w:val="auto"/>
              </w:rPr>
              <w:t>2015</w:t>
            </w:r>
          </w:p>
        </w:tc>
        <w:tc>
          <w:tcPr>
            <w:tcW w:w="5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01"/>
              <w:spacing w:after="0" w:line="132" w:lineRule="exact"/>
              <w:rPr>
                <w:sz w:val="20"/>
                <w:szCs w:val="20"/>
                <w:color w:val="auto"/>
              </w:rPr>
            </w:pPr>
            <w:r>
              <w:rPr>
                <w:rFonts w:ascii="Arial" w:cs="Arial" w:eastAsia="Arial" w:hAnsi="Arial"/>
                <w:sz w:val="13"/>
                <w:szCs w:val="13"/>
                <w:b w:val="1"/>
                <w:bCs w:val="1"/>
                <w:color w:val="auto"/>
              </w:rPr>
              <w:t>2014</w:t>
            </w:r>
          </w:p>
        </w:tc>
        <w:tc>
          <w:tcPr>
            <w:tcW w:w="28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03"/>
              <w:spacing w:after="0" w:line="132" w:lineRule="exact"/>
              <w:rPr>
                <w:sz w:val="20"/>
                <w:szCs w:val="20"/>
                <w:color w:val="auto"/>
              </w:rPr>
            </w:pPr>
            <w:r>
              <w:rPr>
                <w:rFonts w:ascii="Arial" w:cs="Arial" w:eastAsia="Arial" w:hAnsi="Arial"/>
                <w:sz w:val="13"/>
                <w:szCs w:val="13"/>
                <w:b w:val="1"/>
                <w:bCs w:val="1"/>
                <w:color w:val="auto"/>
              </w:rPr>
              <w:t>2015</w:t>
            </w:r>
          </w:p>
        </w:tc>
        <w:tc>
          <w:tcPr>
            <w:tcW w:w="5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21"/>
              <w:spacing w:after="0" w:line="132" w:lineRule="exact"/>
              <w:rPr>
                <w:sz w:val="20"/>
                <w:szCs w:val="20"/>
                <w:color w:val="auto"/>
              </w:rPr>
            </w:pPr>
            <w:r>
              <w:rPr>
                <w:rFonts w:ascii="Arial" w:cs="Arial" w:eastAsia="Arial" w:hAnsi="Arial"/>
                <w:sz w:val="13"/>
                <w:szCs w:val="13"/>
                <w:b w:val="1"/>
                <w:bCs w:val="1"/>
                <w:color w:val="auto"/>
              </w:rPr>
              <w:t>2014</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718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Share-based incentive awards:</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180" w:type="dxa"/>
            <w:vAlign w:val="bottom"/>
          </w:tcPr>
          <w:p>
            <w:pPr>
              <w:ind w:left="400"/>
              <w:spacing w:after="0"/>
              <w:rPr>
                <w:sz w:val="20"/>
                <w:szCs w:val="20"/>
                <w:color w:val="auto"/>
              </w:rPr>
            </w:pPr>
            <w:r>
              <w:rPr>
                <w:rFonts w:ascii="Arial" w:cs="Arial" w:eastAsia="Arial" w:hAnsi="Arial"/>
                <w:sz w:val="16"/>
                <w:szCs w:val="16"/>
                <w:color w:val="auto"/>
              </w:rPr>
              <w:t>RSUs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32,263</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6"/>
                <w:szCs w:val="16"/>
                <w:color w:val="auto"/>
                <w:w w:val="98"/>
              </w:rPr>
              <w:t>40,931</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91,334</w:t>
            </w: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93,216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1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PRSUs</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8,414</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4,902</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14,612</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180" w:type="dxa"/>
            <w:vAlign w:val="bottom"/>
          </w:tcPr>
          <w:p>
            <w:pPr>
              <w:ind w:left="400"/>
              <w:spacing w:after="0"/>
              <w:rPr>
                <w:sz w:val="20"/>
                <w:szCs w:val="20"/>
                <w:color w:val="auto"/>
              </w:rPr>
            </w:pPr>
            <w:r>
              <w:rPr>
                <w:rFonts w:ascii="Arial" w:cs="Arial" w:eastAsia="Arial" w:hAnsi="Arial"/>
                <w:sz w:val="16"/>
                <w:szCs w:val="16"/>
                <w:color w:val="auto"/>
              </w:rPr>
              <w:t>Restricted Stock</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2,830</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6"/>
                <w:szCs w:val="16"/>
                <w:color w:val="auto"/>
              </w:rPr>
              <w:t>4,244</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15,453</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10,856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1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DSUs</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1,434</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1,394</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80" w:type="dxa"/>
            <w:vAlign w:val="bottom"/>
            <w:vMerge w:val="restart"/>
          </w:tcPr>
          <w:p>
            <w:pPr>
              <w:ind w:left="400"/>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18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44,870</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6"/>
                <w:szCs w:val="16"/>
                <w:color w:val="auto"/>
                <w:w w:val="98"/>
              </w:rPr>
              <w:t>51,511</w:t>
            </w:r>
          </w:p>
        </w:tc>
        <w:tc>
          <w:tcPr>
            <w:tcW w:w="36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122,793</w:t>
            </w: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112,308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right="80" w:firstLine="457"/>
        <w:spacing w:after="0" w:line="274" w:lineRule="auto"/>
        <w:rPr>
          <w:sz w:val="20"/>
          <w:szCs w:val="20"/>
          <w:color w:val="auto"/>
        </w:rPr>
      </w:pPr>
      <w:r>
        <w:rPr>
          <w:rFonts w:ascii="Arial" w:cs="Arial" w:eastAsia="Arial" w:hAnsi="Arial"/>
          <w:sz w:val="16"/>
          <w:szCs w:val="16"/>
          <w:color w:val="auto"/>
        </w:rPr>
        <w:t>The ultimate amount of compensation and benefits expense relating to share-based awards is dependent upon the actual number of shares of Class A common stock that vest. The Company periodically assesses the forfeiture rates used for such estimates. A change in estimated forfeiture rates results in a cumulative adjustment to previously recorded compensation and benefits expense and also would cause the aggregate amount of compensation expense recognized in future periods to differ from the estimated unrecognized compensation expense described below.</w:t>
      </w:r>
    </w:p>
    <w:p>
      <w:pPr>
        <w:spacing w:after="0" w:line="121"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For purposes of calculating diluted net income per share, RSUs, DSUs and restricted stock awards are included in the diluted weighted average shares of Class A common stock outstanding using the “treasury stock” method. PRSUs are included in the diluted weighted average shares of Class A common stock outstanding to the extent the performance conditions are met at the end of the reporting period, also using the “treasury stock” method.</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incentive plans are described below.</w:t>
      </w:r>
    </w:p>
    <w:p>
      <w:pPr>
        <w:spacing w:after="0" w:line="246"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RSUs and DSUs</w:t>
      </w:r>
    </w:p>
    <w:p>
      <w:pPr>
        <w:spacing w:after="0" w:line="94" w:lineRule="exact"/>
        <w:rPr>
          <w:sz w:val="20"/>
          <w:szCs w:val="20"/>
          <w:color w:val="auto"/>
        </w:rPr>
      </w:pPr>
    </w:p>
    <w:p>
      <w:pPr>
        <w:ind w:right="80" w:firstLine="457"/>
        <w:spacing w:after="0" w:line="272" w:lineRule="auto"/>
        <w:rPr>
          <w:sz w:val="20"/>
          <w:szCs w:val="20"/>
          <w:color w:val="auto"/>
        </w:rPr>
      </w:pPr>
      <w:r>
        <w:rPr>
          <w:rFonts w:ascii="Arial" w:cs="Arial" w:eastAsia="Arial" w:hAnsi="Arial"/>
          <w:sz w:val="16"/>
          <w:szCs w:val="16"/>
          <w:color w:val="auto"/>
        </w:rPr>
        <w:t>RSUs generally require future service as a condition for the delivery of the underlying shares of Class A common stock (unless the recipient is then eligible for retirement under the Company’s retirement policy) and convert into shares of Class A common stock on a one-for-one basis after the stipulated vesting periods. PRSUs, which are RSUs that are also subject to service-based vesting conditions, have additional performance conditions, and are described below.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440" w:right="23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LAZARD LTD</w:t>
      </w:r>
    </w:p>
    <w:p>
      <w:pPr>
        <w:spacing w:after="0" w:line="94"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auto"/>
        </w:rPr>
        <w:t>NOTES TO CONDENSED CONSOLIDATED FINANCIAL STATEMENTS—(Continued)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except for per share data, unless otherwise noted)</w:t>
      </w:r>
    </w:p>
    <w:p>
      <w:pPr>
        <w:spacing w:after="0" w:line="152" w:lineRule="exact"/>
        <w:rPr>
          <w:sz w:val="20"/>
          <w:szCs w:val="20"/>
          <w:color w:val="auto"/>
        </w:rPr>
      </w:pPr>
    </w:p>
    <w:p>
      <w:pPr>
        <w:ind w:firstLine="457"/>
        <w:spacing w:after="0" w:line="274" w:lineRule="auto"/>
        <w:rPr>
          <w:sz w:val="20"/>
          <w:szCs w:val="20"/>
          <w:color w:val="auto"/>
        </w:rPr>
      </w:pPr>
      <w:r>
        <w:rPr>
          <w:rFonts w:ascii="Arial" w:cs="Arial" w:eastAsia="Arial" w:hAnsi="Arial"/>
          <w:sz w:val="16"/>
          <w:szCs w:val="16"/>
          <w:color w:val="auto"/>
        </w:rPr>
        <w:t>RSUs generally include a dividend participation right that provides that during vesting periods each RSU is attributed additional RSUs (or fractions thereof) equivalent to any dividends paid on Class A common stock during such period. During the six month periods ended June 30, 2015 and 2014, issuances of RSUs pertaining to such dividend participation rights and respective charges to “retained earnings”, net of estimated forfeitures (with corresponding credits to “additional paid-in-capital”), consisted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00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88"/>
              </w:rPr>
              <w:t>Six Months Ended</w:t>
            </w:r>
          </w:p>
        </w:tc>
      </w:tr>
      <w:tr>
        <w:trPr>
          <w:trHeight w:val="152"/>
        </w:trPr>
        <w:tc>
          <w:tcPr>
            <w:tcW w:w="65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60" w:type="dxa"/>
            <w:vAlign w:val="bottom"/>
            <w:gridSpan w:val="3"/>
          </w:tcPr>
          <w:p>
            <w:pPr>
              <w:jc w:val="center"/>
              <w:ind w:right="720"/>
              <w:spacing w:after="0"/>
              <w:rPr>
                <w:sz w:val="20"/>
                <w:szCs w:val="20"/>
                <w:color w:val="auto"/>
              </w:rPr>
            </w:pPr>
            <w:r>
              <w:rPr>
                <w:rFonts w:ascii="Arial" w:cs="Arial" w:eastAsia="Arial" w:hAnsi="Arial"/>
                <w:sz w:val="13"/>
                <w:szCs w:val="13"/>
                <w:b w:val="1"/>
                <w:bCs w:val="1"/>
                <w:color w:val="auto"/>
                <w:w w:val="84"/>
              </w:rPr>
              <w:t>June 30,</w:t>
            </w:r>
          </w:p>
        </w:tc>
      </w:tr>
      <w:tr>
        <w:trPr>
          <w:trHeight w:val="132"/>
        </w:trPr>
        <w:tc>
          <w:tcPr>
            <w:tcW w:w="658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640" w:type="dxa"/>
            <w:vAlign w:val="bottom"/>
            <w:tcBorders>
              <w:top w:val="single" w:sz="8" w:color="auto"/>
            </w:tcBorders>
          </w:tcPr>
          <w:p>
            <w:pPr>
              <w:jc w:val="right"/>
              <w:ind w:right="110"/>
              <w:spacing w:after="0" w:line="132" w:lineRule="exact"/>
              <w:rPr>
                <w:sz w:val="20"/>
                <w:szCs w:val="20"/>
                <w:color w:val="auto"/>
              </w:rPr>
            </w:pPr>
            <w:r>
              <w:rPr>
                <w:rFonts w:ascii="Arial" w:cs="Arial" w:eastAsia="Arial" w:hAnsi="Arial"/>
                <w:sz w:val="13"/>
                <w:szCs w:val="13"/>
                <w:b w:val="1"/>
                <w:bCs w:val="1"/>
                <w:color w:val="auto"/>
              </w:rPr>
              <w:t>2015</w:t>
            </w:r>
          </w:p>
        </w:tc>
        <w:tc>
          <w:tcPr>
            <w:tcW w:w="1280" w:type="dxa"/>
            <w:vAlign w:val="bottom"/>
            <w:tcBorders>
              <w:top w:val="single" w:sz="8" w:color="auto"/>
            </w:tcBorders>
            <w:gridSpan w:val="2"/>
          </w:tcPr>
          <w:p>
            <w:pPr>
              <w:jc w:val="right"/>
              <w:ind w:right="118"/>
              <w:spacing w:after="0" w:line="132" w:lineRule="exact"/>
              <w:rPr>
                <w:sz w:val="20"/>
                <w:szCs w:val="20"/>
                <w:color w:val="auto"/>
              </w:rPr>
            </w:pPr>
            <w:r>
              <w:rPr>
                <w:rFonts w:ascii="Arial" w:cs="Arial" w:eastAsia="Arial" w:hAnsi="Arial"/>
                <w:sz w:val="13"/>
                <w:szCs w:val="13"/>
                <w:b w:val="1"/>
                <w:bCs w:val="1"/>
                <w:color w:val="auto"/>
              </w:rPr>
              <w:t>2014</w:t>
            </w:r>
          </w:p>
        </w:tc>
        <w:tc>
          <w:tcPr>
            <w:tcW w:w="80" w:type="dxa"/>
            <w:vAlign w:val="bottom"/>
          </w:tcPr>
          <w:p>
            <w:pPr>
              <w:spacing w:after="0"/>
              <w:rPr>
                <w:sz w:val="11"/>
                <w:szCs w:val="11"/>
                <w:color w:val="auto"/>
              </w:rPr>
            </w:pPr>
          </w:p>
        </w:tc>
      </w:tr>
      <w:tr>
        <w:trPr>
          <w:trHeight w:val="195"/>
        </w:trPr>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Number of RSUs issued</w:t>
            </w:r>
          </w:p>
        </w:tc>
        <w:tc>
          <w:tcPr>
            <w:tcW w:w="28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529,616</w:t>
            </w:r>
          </w:p>
        </w:tc>
        <w:tc>
          <w:tcPr>
            <w:tcW w:w="6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203,537</w:t>
            </w:r>
          </w:p>
        </w:tc>
        <w:tc>
          <w:tcPr>
            <w:tcW w:w="80" w:type="dxa"/>
            <w:vAlign w:val="bottom"/>
            <w:tcBorders>
              <w:top w:val="single" w:sz="8" w:color="CCEEFF"/>
            </w:tcBorders>
            <w:shd w:val="clear" w:color="auto" w:fill="CCEEFF"/>
          </w:tcPr>
          <w:p>
            <w:pPr>
              <w:spacing w:after="0"/>
              <w:rPr>
                <w:sz w:val="16"/>
                <w:szCs w:val="16"/>
                <w:color w:val="auto"/>
              </w:rPr>
            </w:pPr>
          </w:p>
        </w:tc>
      </w:tr>
      <w:tr>
        <w:trPr>
          <w:trHeight w:val="209"/>
        </w:trPr>
        <w:tc>
          <w:tcPr>
            <w:tcW w:w="6580" w:type="dxa"/>
            <w:vAlign w:val="bottom"/>
          </w:tcPr>
          <w:p>
            <w:pPr>
              <w:spacing w:after="0"/>
              <w:rPr>
                <w:sz w:val="20"/>
                <w:szCs w:val="20"/>
                <w:color w:val="auto"/>
              </w:rPr>
            </w:pPr>
            <w:r>
              <w:rPr>
                <w:rFonts w:ascii="Arial" w:cs="Arial" w:eastAsia="Arial" w:hAnsi="Arial"/>
                <w:sz w:val="16"/>
                <w:szCs w:val="16"/>
                <w:color w:val="auto"/>
              </w:rPr>
              <w:t>Charges to retained earnings, net of estimated forfeitures</w:t>
            </w:r>
          </w:p>
        </w:tc>
        <w:tc>
          <w:tcPr>
            <w:tcW w:w="3480" w:type="dxa"/>
            <w:vAlign w:val="bottom"/>
            <w:gridSpan w:val="2"/>
          </w:tcPr>
          <w:p>
            <w:pPr>
              <w:jc w:val="right"/>
              <w:spacing w:after="0"/>
              <w:rPr>
                <w:sz w:val="20"/>
                <w:szCs w:val="20"/>
                <w:color w:val="auto"/>
              </w:rPr>
            </w:pPr>
            <w:r>
              <w:rPr>
                <w:rFonts w:ascii="Arial" w:cs="Arial" w:eastAsia="Arial" w:hAnsi="Arial"/>
                <w:sz w:val="16"/>
                <w:szCs w:val="16"/>
                <w:color w:val="auto"/>
              </w:rPr>
              <w:t>$ 26,461</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  9,387</w:t>
            </w:r>
          </w:p>
        </w:tc>
        <w:tc>
          <w:tcPr>
            <w:tcW w:w="80" w:type="dxa"/>
            <w:vAlign w:val="bottom"/>
          </w:tcPr>
          <w:p>
            <w:pPr>
              <w:spacing w:after="0"/>
              <w:rPr>
                <w:sz w:val="18"/>
                <w:szCs w:val="18"/>
                <w:color w:val="auto"/>
              </w:rPr>
            </w:pPr>
          </w:p>
        </w:tc>
      </w:tr>
    </w:tbl>
    <w:p>
      <w:pPr>
        <w:spacing w:after="0" w:line="137" w:lineRule="exact"/>
        <w:rPr>
          <w:sz w:val="20"/>
          <w:szCs w:val="20"/>
          <w:color w:val="auto"/>
        </w:rPr>
      </w:pPr>
    </w:p>
    <w:p>
      <w:pPr>
        <w:ind w:right="60" w:firstLine="457"/>
        <w:spacing w:after="0" w:line="291" w:lineRule="auto"/>
        <w:rPr>
          <w:sz w:val="20"/>
          <w:szCs w:val="20"/>
          <w:color w:val="auto"/>
        </w:rPr>
      </w:pPr>
      <w:r>
        <w:rPr>
          <w:rFonts w:ascii="Arial" w:cs="Arial" w:eastAsia="Arial" w:hAnsi="Arial"/>
          <w:sz w:val="15"/>
          <w:szCs w:val="15"/>
          <w:color w:val="auto"/>
        </w:rPr>
        <w:t>Non-executive members of the Board of Directors (“Non-Executive Directors”) receive approximately 55% of their annual compensation for service on the Board of Directors and its committees in the form of DSUs, which resulted in 23,961 and 26,360 DSUs granted in connection with annual compensation during the six month periods ended June 30, 2015 and 2014, respectively. Their remaining compensation is payable in cash, which they may elect to receive in the form of additional DSUs under the Directors’ Fee Deferral Unit Plan described below. DSUs are convertible into shares of Class A common stock at the time of cessation of service to the Board of Directors and, for purposes of calculating diluted net income per share, are included in the diluted weighted average shares of Class A common stock outstanding using the “treasury stock” method. DSUs include a cash dividend participation right equivalent to any ordinary quarterly dividends paid on Class A common stock.</w:t>
      </w:r>
    </w:p>
    <w:p>
      <w:pPr>
        <w:spacing w:after="0" w:line="112" w:lineRule="exact"/>
        <w:rPr>
          <w:sz w:val="20"/>
          <w:szCs w:val="20"/>
          <w:color w:val="auto"/>
        </w:rPr>
      </w:pPr>
    </w:p>
    <w:p>
      <w:pPr>
        <w:ind w:right="80" w:firstLine="457"/>
        <w:spacing w:after="0" w:line="298" w:lineRule="auto"/>
        <w:rPr>
          <w:sz w:val="20"/>
          <w:szCs w:val="20"/>
          <w:color w:val="auto"/>
        </w:rPr>
      </w:pPr>
      <w:r>
        <w:rPr>
          <w:rFonts w:ascii="Arial" w:cs="Arial" w:eastAsia="Arial" w:hAnsi="Arial"/>
          <w:sz w:val="15"/>
          <w:szCs w:val="15"/>
          <w:color w:val="auto"/>
        </w:rPr>
        <w:t>The Company’s Directors’ Fee Deferral Unit Plan permits the Non-Executive Directors to elect to receive additional DSUs in lieu of some or all of their cash fees. The number of DSUs that shall be granted to a Non-Executive Director pursuant to this election will equal the value of cash fees that the applicable Non-Executive Director has elected to forego pursuant to such election, divided by the market value of a share of Class A common stock on the date immediately preceding the date of the grant. During the six month periods ended June 30, 2015 and 2014, 1,183 and 4,383 DSUs, respectively, had been granted pursuant to such Plan.</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DSU awards are expensed at their fair value on their date of grant, inclusive of amounts related to the Directors’ Fee Deferral Unit Plan.</w:t>
      </w:r>
    </w:p>
    <w:p>
      <w:pPr>
        <w:spacing w:after="0" w:line="15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440" w:right="23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LAZARD LTD</w:t>
      </w:r>
    </w:p>
    <w:p>
      <w:pPr>
        <w:spacing w:after="0" w:line="94"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auto"/>
        </w:rPr>
        <w:t>NOTES TO CONDENSED CONSOLIDATED FINANCIAL STATEMENTS—(Continued)</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(UNAUDITED)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(dollars in thousands, except for per share data, unless otherwise noted)</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activity relating to RSUs and DSUs during the six month periods ended June 30, 2015 and 2014:</w:t>
      </w:r>
    </w:p>
    <w:p>
      <w:pPr>
        <w:spacing w:after="0" w:line="90" w:lineRule="exact"/>
        <w:rPr>
          <w:sz w:val="20"/>
          <w:szCs w:val="20"/>
          <w:color w:val="auto"/>
        </w:rPr>
      </w:pPr>
    </w:p>
    <w:tbl>
      <w:tblPr>
        <w:tblLayout w:type="fixed"/>
        <w:tblInd w:w="58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rPr>
              <w:t>RSUs</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7"/>
              </w:rPr>
              <w:t>DSUs</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88"/>
              </w:rPr>
              <w:t>Weighted</w:t>
            </w: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85"/>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380"/>
              <w:spacing w:after="0" w:line="139" w:lineRule="exact"/>
              <w:rPr>
                <w:sz w:val="20"/>
                <w:szCs w:val="20"/>
                <w:color w:val="auto"/>
              </w:rPr>
            </w:pPr>
            <w:r>
              <w:rPr>
                <w:rFonts w:ascii="Arial" w:cs="Arial" w:eastAsia="Arial" w:hAnsi="Arial"/>
                <w:sz w:val="13"/>
                <w:szCs w:val="13"/>
                <w:b w:val="1"/>
                <w:bCs w:val="1"/>
                <w:color w:val="auto"/>
                <w:w w:val="85"/>
              </w:rPr>
              <w:t>Average</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60"/>
              <w:spacing w:after="0" w:line="139" w:lineRule="exact"/>
              <w:rPr>
                <w:sz w:val="20"/>
                <w:szCs w:val="20"/>
                <w:color w:val="auto"/>
              </w:rPr>
            </w:pPr>
            <w:r>
              <w:rPr>
                <w:rFonts w:ascii="Arial" w:cs="Arial" w:eastAsia="Arial" w:hAnsi="Arial"/>
                <w:sz w:val="13"/>
                <w:szCs w:val="13"/>
                <w:b w:val="1"/>
                <w:bCs w:val="1"/>
                <w:color w:val="auto"/>
                <w:w w:val="85"/>
              </w:rPr>
              <w:t>Average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4"/>
          </w:tcPr>
          <w:p>
            <w:pPr>
              <w:jc w:val="right"/>
              <w:ind w:right="300"/>
              <w:spacing w:after="0" w:line="139" w:lineRule="exact"/>
              <w:rPr>
                <w:sz w:val="20"/>
                <w:szCs w:val="20"/>
                <w:color w:val="auto"/>
              </w:rPr>
            </w:pPr>
            <w:r>
              <w:rPr>
                <w:rFonts w:ascii="Arial" w:cs="Arial" w:eastAsia="Arial" w:hAnsi="Arial"/>
                <w:sz w:val="13"/>
                <w:szCs w:val="13"/>
                <w:b w:val="1"/>
                <w:bCs w:val="1"/>
                <w:color w:val="auto"/>
                <w:w w:val="96"/>
              </w:rPr>
              <w:t>Grant Date</w:t>
            </w:r>
          </w:p>
        </w:tc>
        <w:tc>
          <w:tcPr>
            <w:tcW w:w="600" w:type="dxa"/>
            <w:vAlign w:val="bottom"/>
          </w:tcPr>
          <w:p>
            <w:pPr>
              <w:spacing w:after="0"/>
              <w:rPr>
                <w:sz w:val="12"/>
                <w:szCs w:val="12"/>
                <w:color w:val="auto"/>
              </w:rPr>
            </w:pPr>
          </w:p>
        </w:tc>
        <w:tc>
          <w:tcPr>
            <w:tcW w:w="1000" w:type="dxa"/>
            <w:vAlign w:val="bottom"/>
            <w:gridSpan w:val="4"/>
          </w:tcPr>
          <w:p>
            <w:pPr>
              <w:ind w:left="280"/>
              <w:spacing w:after="0" w:line="139" w:lineRule="exact"/>
              <w:rPr>
                <w:sz w:val="20"/>
                <w:szCs w:val="20"/>
                <w:color w:val="auto"/>
              </w:rPr>
            </w:pPr>
            <w:r>
              <w:rPr>
                <w:rFonts w:ascii="Arial" w:cs="Arial" w:eastAsia="Arial" w:hAnsi="Arial"/>
                <w:sz w:val="13"/>
                <w:szCs w:val="13"/>
                <w:b w:val="1"/>
                <w:bCs w:val="1"/>
                <w:color w:val="auto"/>
              </w:rPr>
              <w:t>Grant Date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Units</w:t>
            </w:r>
          </w:p>
        </w:tc>
        <w:tc>
          <w:tcPr>
            <w:tcW w:w="60" w:type="dxa"/>
            <w:vAlign w:val="bottom"/>
          </w:tcPr>
          <w:p>
            <w:pPr>
              <w:spacing w:after="0"/>
              <w:rPr>
                <w:sz w:val="13"/>
                <w:szCs w:val="13"/>
                <w:color w:val="auto"/>
              </w:rPr>
            </w:pPr>
          </w:p>
        </w:tc>
        <w:tc>
          <w:tcPr>
            <w:tcW w:w="90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0"/>
              </w:rPr>
              <w:t>Fair Value</w:t>
            </w:r>
          </w:p>
        </w:tc>
        <w:tc>
          <w:tcPr>
            <w:tcW w:w="600" w:type="dxa"/>
            <w:vAlign w:val="bottom"/>
          </w:tcPr>
          <w:p>
            <w:pPr>
              <w:jc w:val="right"/>
              <w:ind w:right="79"/>
              <w:spacing w:after="0"/>
              <w:rPr>
                <w:sz w:val="20"/>
                <w:szCs w:val="20"/>
                <w:color w:val="auto"/>
              </w:rPr>
            </w:pPr>
            <w:r>
              <w:rPr>
                <w:rFonts w:ascii="Arial" w:cs="Arial" w:eastAsia="Arial" w:hAnsi="Arial"/>
                <w:sz w:val="13"/>
                <w:szCs w:val="13"/>
                <w:b w:val="1"/>
                <w:bCs w:val="1"/>
                <w:color w:val="auto"/>
              </w:rPr>
              <w:t>Units</w:t>
            </w:r>
          </w:p>
        </w:tc>
        <w:tc>
          <w:tcPr>
            <w:tcW w:w="280" w:type="dxa"/>
            <w:vAlign w:val="bottom"/>
          </w:tcPr>
          <w:p>
            <w:pPr>
              <w:spacing w:after="0"/>
              <w:rPr>
                <w:sz w:val="13"/>
                <w:szCs w:val="13"/>
                <w:color w:val="auto"/>
              </w:rPr>
            </w:pPr>
          </w:p>
        </w:tc>
        <w:tc>
          <w:tcPr>
            <w:tcW w:w="7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0"/>
              </w:rPr>
              <w:t>Fair Value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January 1, 2015</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13,529,116</w:t>
            </w:r>
          </w:p>
        </w:tc>
        <w:tc>
          <w:tcPr>
            <w:tcW w:w="2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35.19</w:t>
            </w:r>
          </w:p>
        </w:tc>
        <w:tc>
          <w:tcPr>
            <w:tcW w:w="2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286,227</w:t>
            </w:r>
          </w:p>
        </w:tc>
        <w:tc>
          <w:tcPr>
            <w:tcW w:w="2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34.21</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60" w:type="dxa"/>
            <w:vAlign w:val="bottom"/>
          </w:tcPr>
          <w:p>
            <w:pPr>
              <w:spacing w:after="0"/>
              <w:rPr>
                <w:sz w:val="20"/>
                <w:szCs w:val="20"/>
                <w:color w:val="auto"/>
              </w:rPr>
            </w:pPr>
            <w:r>
              <w:rPr>
                <w:rFonts w:ascii="Arial" w:cs="Arial" w:eastAsia="Arial" w:hAnsi="Arial"/>
                <w:sz w:val="16"/>
                <w:szCs w:val="16"/>
                <w:color w:val="auto"/>
              </w:rPr>
              <w:t>Granted (including 529,616 RSUs relating to dividend participation)</w:t>
            </w:r>
          </w:p>
        </w:tc>
        <w:tc>
          <w:tcPr>
            <w:tcW w:w="780" w:type="dxa"/>
            <w:vAlign w:val="bottom"/>
          </w:tcPr>
          <w:p>
            <w:pPr>
              <w:jc w:val="right"/>
              <w:spacing w:after="0"/>
              <w:rPr>
                <w:sz w:val="20"/>
                <w:szCs w:val="20"/>
                <w:color w:val="auto"/>
              </w:rPr>
            </w:pPr>
            <w:r>
              <w:rPr>
                <w:rFonts w:ascii="Arial" w:cs="Arial" w:eastAsia="Arial" w:hAnsi="Arial"/>
                <w:sz w:val="16"/>
                <w:szCs w:val="16"/>
                <w:color w:val="auto"/>
              </w:rPr>
              <w:t>3,982,135</w:t>
            </w:r>
          </w:p>
        </w:tc>
        <w:tc>
          <w:tcPr>
            <w:tcW w:w="2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48.83</w:t>
            </w: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25,144</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55.45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Forfeited</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(397,637)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43.04</w:t>
            </w: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6"/>
                <w:szCs w:val="16"/>
                <w:color w:val="auto"/>
              </w:rPr>
              <w:t>Vested</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(6,873,352)</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30.79</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Balance, June 30, 2015</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10,240,262</w:t>
            </w:r>
          </w:p>
        </w:tc>
        <w:tc>
          <w:tcPr>
            <w:tcW w:w="26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43.14</w:t>
            </w:r>
          </w:p>
        </w:tc>
        <w:tc>
          <w:tcPr>
            <w:tcW w:w="280" w:type="dxa"/>
            <w:vAlign w:val="bottom"/>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311,371</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Arial" w:cs="Arial" w:eastAsia="Arial" w:hAnsi="Arial"/>
                <w:sz w:val="16"/>
                <w:szCs w:val="16"/>
                <w:color w:val="auto"/>
              </w:rPr>
              <w:t>Balance, January 1, 2014</w:t>
            </w: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34.51</w:t>
            </w: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gridSpan w:val="2"/>
            <w:vMerge w:val="restart"/>
          </w:tcPr>
          <w:p>
            <w:pPr>
              <w:ind w:left="280"/>
              <w:spacing w:after="0"/>
              <w:rPr>
                <w:sz w:val="20"/>
                <w:szCs w:val="20"/>
                <w:color w:val="auto"/>
              </w:rPr>
            </w:pPr>
            <w:r>
              <w:rPr>
                <w:rFonts w:ascii="Arial" w:cs="Arial" w:eastAsia="Arial" w:hAnsi="Arial"/>
                <w:sz w:val="15"/>
                <w:szCs w:val="15"/>
                <w:color w:val="auto"/>
                <w:w w:val="71"/>
              </w:rPr>
              <w:t>$</w:t>
            </w: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32.02</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80" w:type="dxa"/>
            <w:vAlign w:val="bottom"/>
            <w:gridSpan w:val="2"/>
            <w:vMerge w:val="continue"/>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4"/>
              </w:rPr>
              <w:t>16,630,009</w:t>
            </w:r>
          </w:p>
        </w:tc>
        <w:tc>
          <w:tcPr>
            <w:tcW w:w="260" w:type="dxa"/>
            <w:vAlign w:val="bottom"/>
          </w:tcPr>
          <w:p>
            <w:pPr>
              <w:spacing w:after="0"/>
              <w:rPr>
                <w:sz w:val="16"/>
                <w:szCs w:val="16"/>
                <w:color w:val="auto"/>
              </w:rPr>
            </w:pPr>
          </w:p>
        </w:tc>
        <w:tc>
          <w:tcPr>
            <w:tcW w:w="14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251,434</w:t>
            </w:r>
          </w:p>
        </w:tc>
        <w:tc>
          <w:tcPr>
            <w:tcW w:w="36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Granted (including 203,537 RSUs relating to dividend participation)</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3,625,734</w:t>
            </w:r>
          </w:p>
        </w:tc>
        <w:tc>
          <w:tcPr>
            <w:tcW w:w="2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42.87</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30,743</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60" w:type="dxa"/>
            <w:vAlign w:val="bottom"/>
          </w:tcPr>
          <w:p>
            <w:pPr>
              <w:spacing w:after="0"/>
              <w:rPr>
                <w:sz w:val="20"/>
                <w:szCs w:val="20"/>
                <w:color w:val="auto"/>
              </w:rPr>
            </w:pPr>
            <w:r>
              <w:rPr>
                <w:rFonts w:ascii="Arial" w:cs="Arial" w:eastAsia="Arial" w:hAnsi="Arial"/>
                <w:sz w:val="16"/>
                <w:szCs w:val="16"/>
                <w:color w:val="auto"/>
              </w:rPr>
              <w:t>Forfeited</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(77,368)</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37.01</w:t>
            </w: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Vested</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(6,381,080)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37.98</w:t>
            </w: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6680" w:type="dxa"/>
            <w:vAlign w:val="bottom"/>
            <w:gridSpan w:val="2"/>
          </w:tcPr>
          <w:p>
            <w:pPr>
              <w:spacing w:after="0"/>
              <w:rPr>
                <w:sz w:val="20"/>
                <w:szCs w:val="20"/>
                <w:color w:val="auto"/>
              </w:rPr>
            </w:pPr>
            <w:r>
              <w:rPr>
                <w:rFonts w:ascii="Arial" w:cs="Arial" w:eastAsia="Arial" w:hAnsi="Arial"/>
                <w:sz w:val="16"/>
                <w:szCs w:val="16"/>
                <w:color w:val="auto"/>
              </w:rPr>
              <w:t>Balance, June 30, 2014</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4"/>
              </w:rPr>
              <w:t>13,797,295</w:t>
            </w:r>
          </w:p>
        </w:tc>
        <w:tc>
          <w:tcPr>
            <w:tcW w:w="2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35.09</w:t>
            </w:r>
          </w:p>
        </w:tc>
        <w:tc>
          <w:tcPr>
            <w:tcW w:w="28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282,177</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33.97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right="120" w:firstLine="457"/>
        <w:spacing w:after="0" w:line="306" w:lineRule="auto"/>
        <w:rPr>
          <w:sz w:val="20"/>
          <w:szCs w:val="20"/>
          <w:color w:val="auto"/>
        </w:rPr>
      </w:pPr>
      <w:r>
        <w:rPr>
          <w:rFonts w:ascii="Arial" w:cs="Arial" w:eastAsia="Arial" w:hAnsi="Arial"/>
          <w:sz w:val="15"/>
          <w:szCs w:val="15"/>
          <w:color w:val="auto"/>
        </w:rPr>
        <w:t>In connection with RSUs that vested during the six month periods ended June 30, 2015 and 2014, the Company satisfied its minimum statutory tax withholding requirements in lieu of issuing 1,895,301 and 1,853,416 shares of Class A common stock in the respective six month periods. Accordingly, 4,978,051 and 4,527,664 shares of Class A common stock held by the Company were delivered during the six month periods ended June 30, 2015 and 2014, respectively.</w:t>
      </w:r>
    </w:p>
    <w:p>
      <w:pPr>
        <w:spacing w:after="0" w:line="99" w:lineRule="exact"/>
        <w:rPr>
          <w:sz w:val="20"/>
          <w:szCs w:val="20"/>
          <w:color w:val="auto"/>
        </w:rPr>
      </w:pPr>
    </w:p>
    <w:p>
      <w:pPr>
        <w:ind w:firstLine="457"/>
        <w:spacing w:after="0" w:line="296" w:lineRule="auto"/>
        <w:rPr>
          <w:sz w:val="20"/>
          <w:szCs w:val="20"/>
          <w:color w:val="auto"/>
        </w:rPr>
      </w:pPr>
      <w:r>
        <w:rPr>
          <w:rFonts w:ascii="Arial" w:cs="Arial" w:eastAsia="Arial" w:hAnsi="Arial"/>
          <w:sz w:val="16"/>
          <w:szCs w:val="16"/>
          <w:color w:val="auto"/>
        </w:rPr>
        <w:t>As of June 30, 2015, estimated unrecognized RSU compensation expense was approximately $192,787, with such expense expected to be recognized over a weighted average period of approximately 1.0 year subsequent to June 30, 2015.</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380"/>
          </w:cols>
          <w:pgMar w:left="240" w:top="440" w:right="27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LAZARD LTD</w:t>
      </w:r>
    </w:p>
    <w:p>
      <w:pPr>
        <w:spacing w:after="0" w:line="94"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auto"/>
        </w:rPr>
        <w:t>NOTES TO CONDENSED CONSOLIDATED FINANCIAL STATEMENTS—(Continued)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except for per share data, unless otherwise noted)</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Restricted Stock</w:t>
      </w:r>
    </w:p>
    <w:p>
      <w:pPr>
        <w:spacing w:after="0" w:line="94" w:lineRule="exact"/>
        <w:rPr>
          <w:sz w:val="20"/>
          <w:szCs w:val="20"/>
          <w:color w:val="auto"/>
        </w:rPr>
      </w:pPr>
    </w:p>
    <w:p>
      <w:pPr>
        <w:ind w:right="20" w:firstLine="457"/>
        <w:spacing w:after="0" w:line="296" w:lineRule="auto"/>
        <w:rPr>
          <w:sz w:val="20"/>
          <w:szCs w:val="20"/>
          <w:color w:val="auto"/>
        </w:rPr>
      </w:pPr>
      <w:r>
        <w:rPr>
          <w:rFonts w:ascii="Arial" w:cs="Arial" w:eastAsia="Arial" w:hAnsi="Arial"/>
          <w:sz w:val="16"/>
          <w:szCs w:val="16"/>
          <w:color w:val="auto"/>
        </w:rPr>
        <w:t>The following is a summary of activity related to shares of restricted Class A common stock associated with compensation arrangements during the six month periods ended June 30, 2015 and 2014:</w:t>
      </w:r>
    </w:p>
    <w:p>
      <w:pPr>
        <w:spacing w:after="0" w:line="12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8"/>
              </w:rPr>
              <w:t>Weighted</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80"/>
              <w:spacing w:after="0" w:line="139" w:lineRule="exact"/>
              <w:rPr>
                <w:sz w:val="20"/>
                <w:szCs w:val="20"/>
                <w:color w:val="auto"/>
              </w:rPr>
            </w:pPr>
            <w:r>
              <w:rPr>
                <w:rFonts w:ascii="Arial" w:cs="Arial" w:eastAsia="Arial" w:hAnsi="Arial"/>
                <w:sz w:val="13"/>
                <w:szCs w:val="13"/>
                <w:b w:val="1"/>
                <w:bCs w:val="1"/>
                <w:color w:val="auto"/>
                <w:w w:val="85"/>
              </w:rPr>
              <w:t>Average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1000" w:type="dxa"/>
            <w:vAlign w:val="bottom"/>
            <w:gridSpan w:val="2"/>
          </w:tcPr>
          <w:p>
            <w:pPr>
              <w:jc w:val="right"/>
              <w:ind w:right="400"/>
              <w:spacing w:after="0" w:line="139" w:lineRule="exact"/>
              <w:rPr>
                <w:sz w:val="20"/>
                <w:szCs w:val="20"/>
                <w:color w:val="auto"/>
              </w:rPr>
            </w:pPr>
            <w:r>
              <w:rPr>
                <w:rFonts w:ascii="Arial" w:cs="Arial" w:eastAsia="Arial" w:hAnsi="Arial"/>
                <w:sz w:val="13"/>
                <w:szCs w:val="13"/>
                <w:b w:val="1"/>
                <w:bCs w:val="1"/>
                <w:color w:val="auto"/>
                <w:w w:val="91"/>
              </w:rPr>
              <w:t>Restricted</w:t>
            </w:r>
          </w:p>
        </w:tc>
        <w:tc>
          <w:tcPr>
            <w:tcW w:w="1000" w:type="dxa"/>
            <w:vAlign w:val="bottom"/>
            <w:gridSpan w:val="4"/>
          </w:tcPr>
          <w:p>
            <w:pPr>
              <w:ind w:left="300"/>
              <w:spacing w:after="0" w:line="139" w:lineRule="exact"/>
              <w:rPr>
                <w:sz w:val="20"/>
                <w:szCs w:val="20"/>
                <w:color w:val="auto"/>
              </w:rPr>
            </w:pPr>
            <w:r>
              <w:rPr>
                <w:rFonts w:ascii="Arial" w:cs="Arial" w:eastAsia="Arial" w:hAnsi="Arial"/>
                <w:sz w:val="13"/>
                <w:szCs w:val="13"/>
                <w:b w:val="1"/>
                <w:bCs w:val="1"/>
                <w:color w:val="auto"/>
              </w:rPr>
              <w:t>Grant Date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120" w:type="dxa"/>
            <w:vAlign w:val="bottom"/>
          </w:tcPr>
          <w:p>
            <w:pPr>
              <w:spacing w:after="0"/>
              <w:rPr>
                <w:sz w:val="13"/>
                <w:szCs w:val="13"/>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Shares</w:t>
            </w:r>
          </w:p>
        </w:tc>
        <w:tc>
          <w:tcPr>
            <w:tcW w:w="300" w:type="dxa"/>
            <w:vAlign w:val="bottom"/>
          </w:tcPr>
          <w:p>
            <w:pPr>
              <w:spacing w:after="0"/>
              <w:rPr>
                <w:sz w:val="13"/>
                <w:szCs w:val="13"/>
                <w:color w:val="auto"/>
              </w:rPr>
            </w:pPr>
          </w:p>
        </w:tc>
        <w:tc>
          <w:tcPr>
            <w:tcW w:w="7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0"/>
              </w:rPr>
              <w:t>Fair Value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January 1, 2015</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729,827</w:t>
            </w:r>
          </w:p>
        </w:tc>
        <w:tc>
          <w:tcPr>
            <w:tcW w:w="3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38.63</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20" w:type="dxa"/>
            <w:vAlign w:val="bottom"/>
          </w:tcPr>
          <w:p>
            <w:pPr>
              <w:spacing w:after="0"/>
              <w:rPr>
                <w:sz w:val="20"/>
                <w:szCs w:val="20"/>
                <w:color w:val="auto"/>
              </w:rPr>
            </w:pPr>
            <w:r>
              <w:rPr>
                <w:rFonts w:ascii="Arial" w:cs="Arial" w:eastAsia="Arial" w:hAnsi="Arial"/>
                <w:sz w:val="16"/>
                <w:szCs w:val="16"/>
                <w:color w:val="auto"/>
              </w:rPr>
              <w:t>Granted</w:t>
            </w:r>
          </w:p>
        </w:tc>
        <w:tc>
          <w:tcPr>
            <w:tcW w:w="660" w:type="dxa"/>
            <w:vAlign w:val="bottom"/>
          </w:tcPr>
          <w:p>
            <w:pPr>
              <w:jc w:val="right"/>
              <w:spacing w:after="0"/>
              <w:rPr>
                <w:sz w:val="20"/>
                <w:szCs w:val="20"/>
                <w:color w:val="auto"/>
              </w:rPr>
            </w:pPr>
            <w:r>
              <w:rPr>
                <w:rFonts w:ascii="Arial" w:cs="Arial" w:eastAsia="Arial" w:hAnsi="Arial"/>
                <w:sz w:val="16"/>
                <w:szCs w:val="16"/>
                <w:color w:val="auto"/>
              </w:rPr>
              <w:t>576,886</w:t>
            </w:r>
          </w:p>
        </w:tc>
        <w:tc>
          <w:tcPr>
            <w:tcW w:w="340" w:type="dxa"/>
            <w:vAlign w:val="bottom"/>
          </w:tcPr>
          <w:p>
            <w:pPr>
              <w:spacing w:after="0"/>
              <w:rPr>
                <w:sz w:val="17"/>
                <w:szCs w:val="17"/>
                <w:color w:val="auto"/>
              </w:rPr>
            </w:pP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50.88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6"/>
                <w:szCs w:val="16"/>
                <w:color w:val="auto"/>
              </w:rPr>
              <w:t>Forfeited</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(44,769)</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6"/>
                <w:szCs w:val="16"/>
                <w:color w:val="auto"/>
              </w:rPr>
              <w:t>Vested</w:t>
            </w:r>
          </w:p>
        </w:tc>
        <w:tc>
          <w:tcPr>
            <w:tcW w:w="1000" w:type="dxa"/>
            <w:vAlign w:val="bottom"/>
            <w:gridSpan w:val="2"/>
          </w:tcPr>
          <w:p>
            <w:pPr>
              <w:jc w:val="right"/>
              <w:ind w:right="300"/>
              <w:spacing w:after="0"/>
              <w:rPr>
                <w:sz w:val="20"/>
                <w:szCs w:val="20"/>
                <w:color w:val="auto"/>
              </w:rPr>
            </w:pPr>
            <w:r>
              <w:rPr>
                <w:rFonts w:ascii="Arial" w:cs="Arial" w:eastAsia="Arial" w:hAnsi="Arial"/>
                <w:sz w:val="16"/>
                <w:szCs w:val="16"/>
                <w:color w:val="auto"/>
                <w:w w:val="99"/>
              </w:rPr>
              <w:t>(501,298)</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39.19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6"/>
                <w:szCs w:val="16"/>
                <w:color w:val="auto"/>
              </w:rPr>
              <w:t>Balance, June 30, 2015</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760,646</w:t>
            </w:r>
          </w:p>
        </w:tc>
        <w:tc>
          <w:tcPr>
            <w:tcW w:w="3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Arial" w:cs="Arial" w:eastAsia="Arial" w:hAnsi="Arial"/>
                <w:sz w:val="16"/>
                <w:szCs w:val="16"/>
                <w:color w:val="auto"/>
              </w:rPr>
              <w:t>Balance, January 1, 2014</w:t>
            </w: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2"/>
            <w:vMerge w:val="restart"/>
          </w:tcPr>
          <w:p>
            <w:pPr>
              <w:ind w:left="300"/>
              <w:spacing w:after="0"/>
              <w:rPr>
                <w:sz w:val="20"/>
                <w:szCs w:val="20"/>
                <w:color w:val="auto"/>
              </w:rPr>
            </w:pPr>
            <w:r>
              <w:rPr>
                <w:rFonts w:ascii="Arial" w:cs="Arial" w:eastAsia="Arial" w:hAnsi="Arial"/>
                <w:sz w:val="15"/>
                <w:szCs w:val="15"/>
                <w:color w:val="auto"/>
                <w:w w:val="71"/>
              </w:rPr>
              <w:t>$</w:t>
            </w: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32.72</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140" w:type="dxa"/>
            <w:vAlign w:val="bottom"/>
            <w:gridSpan w:val="2"/>
            <w:vMerge w:val="continue"/>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575,054</w:t>
            </w:r>
          </w:p>
        </w:tc>
        <w:tc>
          <w:tcPr>
            <w:tcW w:w="34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6"/>
                <w:szCs w:val="16"/>
                <w:color w:val="auto"/>
              </w:rPr>
              <w:t>Granted</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449,911</w:t>
            </w:r>
          </w:p>
        </w:tc>
        <w:tc>
          <w:tcPr>
            <w:tcW w:w="3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20" w:type="dxa"/>
            <w:vAlign w:val="bottom"/>
          </w:tcPr>
          <w:p>
            <w:pPr>
              <w:spacing w:after="0"/>
              <w:rPr>
                <w:sz w:val="20"/>
                <w:szCs w:val="20"/>
                <w:color w:val="auto"/>
              </w:rPr>
            </w:pPr>
            <w:r>
              <w:rPr>
                <w:rFonts w:ascii="Arial" w:cs="Arial" w:eastAsia="Arial" w:hAnsi="Arial"/>
                <w:sz w:val="16"/>
                <w:szCs w:val="16"/>
                <w:color w:val="auto"/>
              </w:rPr>
              <w:t>Forfeited</w:t>
            </w:r>
          </w:p>
        </w:tc>
        <w:tc>
          <w:tcPr>
            <w:tcW w:w="1000" w:type="dxa"/>
            <w:vAlign w:val="bottom"/>
            <w:gridSpan w:val="2"/>
          </w:tcPr>
          <w:p>
            <w:pPr>
              <w:jc w:val="right"/>
              <w:ind w:right="300"/>
              <w:spacing w:after="0"/>
              <w:rPr>
                <w:sz w:val="20"/>
                <w:szCs w:val="20"/>
                <w:color w:val="auto"/>
              </w:rPr>
            </w:pPr>
            <w:r>
              <w:rPr>
                <w:rFonts w:ascii="Arial" w:cs="Arial" w:eastAsia="Arial" w:hAnsi="Arial"/>
                <w:sz w:val="16"/>
                <w:szCs w:val="16"/>
                <w:color w:val="auto"/>
              </w:rPr>
              <w:t>(9,438)</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41.45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6"/>
                <w:szCs w:val="16"/>
                <w:color w:val="auto"/>
              </w:rPr>
              <w:t>Vested</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9"/>
              </w:rPr>
              <w:t>(205,075)</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140" w:type="dxa"/>
            <w:vAlign w:val="bottom"/>
            <w:gridSpan w:val="2"/>
          </w:tcPr>
          <w:p>
            <w:pPr>
              <w:spacing w:after="0"/>
              <w:rPr>
                <w:sz w:val="20"/>
                <w:szCs w:val="20"/>
                <w:color w:val="auto"/>
              </w:rPr>
            </w:pPr>
            <w:r>
              <w:rPr>
                <w:rFonts w:ascii="Arial" w:cs="Arial" w:eastAsia="Arial" w:hAnsi="Arial"/>
                <w:sz w:val="16"/>
                <w:szCs w:val="16"/>
                <w:color w:val="auto"/>
              </w:rPr>
              <w:t>Balance, June 30, 2014</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810,452</w:t>
            </w:r>
          </w:p>
        </w:tc>
        <w:tc>
          <w:tcPr>
            <w:tcW w:w="340" w:type="dxa"/>
            <w:vAlign w:val="bottom"/>
          </w:tcPr>
          <w:p>
            <w:pPr>
              <w:spacing w:after="0"/>
              <w:rPr>
                <w:sz w:val="17"/>
                <w:szCs w:val="17"/>
                <w:color w:val="auto"/>
              </w:rPr>
            </w:pP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39.09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right="400" w:firstLine="457"/>
        <w:spacing w:after="0" w:line="274" w:lineRule="auto"/>
        <w:rPr>
          <w:sz w:val="20"/>
          <w:szCs w:val="20"/>
          <w:color w:val="auto"/>
        </w:rPr>
      </w:pPr>
      <w:r>
        <w:rPr>
          <w:rFonts w:ascii="Arial" w:cs="Arial" w:eastAsia="Arial" w:hAnsi="Arial"/>
          <w:sz w:val="16"/>
          <w:szCs w:val="16"/>
          <w:color w:val="auto"/>
        </w:rPr>
        <w:t>In connection with shares of restricted Class A common stock that vested during the six month periods ended June 30, 2015 and 2014, the Company satisfied its minimum statutory tax withholding requirements in lieu of delivering 92,500 and 29,999 shares of Class A common stock during such respective six month periods. Accordingly, 408,798 and 175,076 shares of Class A common stock held by the Company were delivered during the six month periods ended June 30, 2015 and 2014, respectively.</w:t>
      </w:r>
    </w:p>
    <w:p>
      <w:pPr>
        <w:spacing w:after="0" w:line="121" w:lineRule="exact"/>
        <w:rPr>
          <w:sz w:val="20"/>
          <w:szCs w:val="20"/>
          <w:color w:val="auto"/>
        </w:rPr>
      </w:pPr>
    </w:p>
    <w:p>
      <w:pPr>
        <w:jc w:val="both"/>
        <w:ind w:right="140" w:firstLine="457"/>
        <w:spacing w:after="0" w:line="280" w:lineRule="auto"/>
        <w:rPr>
          <w:sz w:val="20"/>
          <w:szCs w:val="20"/>
          <w:color w:val="auto"/>
        </w:rPr>
      </w:pPr>
      <w:r>
        <w:rPr>
          <w:rFonts w:ascii="Arial" w:cs="Arial" w:eastAsia="Arial" w:hAnsi="Arial"/>
          <w:sz w:val="16"/>
          <w:szCs w:val="16"/>
          <w:color w:val="auto"/>
        </w:rPr>
        <w:t>The restricted stock awards include a cash dividend participation right equivalent to any ordinary dividends paid on Class A common stock during the period, which will vest concurrently with the underlying restricted stock award. At June 30, 2015, estimated unrecognized restricted stock expense was approximately $21,470, with such expense to be recognized over a weighted average period of approximately 1.1 years subsequent to June 30, 2015.</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PRSUs</w:t>
      </w:r>
    </w:p>
    <w:p>
      <w:pPr>
        <w:spacing w:after="0" w:line="94" w:lineRule="exact"/>
        <w:rPr>
          <w:sz w:val="20"/>
          <w:szCs w:val="20"/>
          <w:color w:val="auto"/>
        </w:rPr>
      </w:pPr>
    </w:p>
    <w:p>
      <w:pPr>
        <w:ind w:firstLine="457"/>
        <w:spacing w:after="0" w:line="287" w:lineRule="auto"/>
        <w:rPr>
          <w:sz w:val="20"/>
          <w:szCs w:val="20"/>
          <w:color w:val="auto"/>
        </w:rPr>
      </w:pPr>
      <w:r>
        <w:rPr>
          <w:rFonts w:ascii="Arial" w:cs="Arial" w:eastAsia="Arial" w:hAnsi="Arial"/>
          <w:sz w:val="15"/>
          <w:szCs w:val="15"/>
          <w:color w:val="auto"/>
        </w:rPr>
        <w:t>PRSUs are subject to both performance-based and service-based vesting conditions. The number of shares of Class A common stock that a recipient will receive upon vesting of a PRSU will be calculated by reference to certain performance metrics that relate to the Company’s performance over a three-year period. The target number of shares of Class A common stock subject to each PRSU is one; however, based on the achievement of the performance criteria, the number of shares of Class A common stock that may be received in connection with each PRSU generally can range from zero to two times the target number (with the exception of the PRSUs granted in 2013, for which (i) the performance period ended on December 31, 2014 and (ii) the number of shares of Class A common stock that may be received is equal to approximately 2.2 times the target number). The PRSUs granted in 2015 and 2014 will vest on a single date three years following the date of the grant and the PRSUs granted in 2013 vested 33% in March 2015 and will vest 67% in March 2016, in each case provided the applicable service and performance conditions are satisfied, other than with respect to the PRSUs granted in 2013, which performance conditions have been satisfied as of December 31, 2014. In addition, the performance metrics applicable to each PRSU will be evaluated on an annual basis at the end of each fiscal year during the performance period and, if the Company has achieved a threshold level of performance with respect to the fiscal year, 25% of the target number of shares of Class A common stock subject to</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440" w:right="23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LAZARD LTD</w:t>
      </w:r>
    </w:p>
    <w:p>
      <w:pPr>
        <w:spacing w:after="0" w:line="94"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auto"/>
        </w:rPr>
        <w:t>NOTES TO CONDENSED CONSOLIDATED FINANCIAL STATEMENTS—(Continued)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except for per share data, unless otherwise noted)</w:t>
      </w:r>
    </w:p>
    <w:p>
      <w:pPr>
        <w:spacing w:after="0" w:line="152"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each PRSU award will no longer be at risk of forfeiture based on the achievement of performance criteria. PRSUs include dividend participation rights that provide that during vesting periods the target number of PRSUs (or, following the relevant performance period, the actual number of shares of Class A common stock that are no longer subject to performance conditions) receive dividend equivalents at the same rate that dividends are paid on Class A common stock during such period. These dividend equivalents are credited as RSUs that are not subject to the performance-based vesting criteria but are otherwise subject to the same restrictions as the underlying PRSUs to which they relate.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activity relating to PRSUs during the six month periods ended June 30, 2015 and 2014:</w:t>
      </w:r>
    </w:p>
    <w:p>
      <w:pPr>
        <w:spacing w:after="0" w:line="194"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5"/>
              </w:rPr>
              <w:t>Weighted</w:t>
            </w:r>
          </w:p>
        </w:tc>
      </w:tr>
      <w:tr>
        <w:trPr>
          <w:trHeight w:val="139"/>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60"/>
              <w:spacing w:after="0" w:line="139" w:lineRule="exact"/>
              <w:rPr>
                <w:sz w:val="20"/>
                <w:szCs w:val="20"/>
                <w:color w:val="auto"/>
              </w:rPr>
            </w:pPr>
            <w:r>
              <w:rPr>
                <w:rFonts w:ascii="Arial" w:cs="Arial" w:eastAsia="Arial" w:hAnsi="Arial"/>
                <w:sz w:val="13"/>
                <w:szCs w:val="13"/>
                <w:b w:val="1"/>
                <w:bCs w:val="1"/>
                <w:color w:val="auto"/>
                <w:w w:val="85"/>
              </w:rPr>
              <w:t>Average</w:t>
            </w:r>
          </w:p>
        </w:tc>
      </w:tr>
      <w:tr>
        <w:trPr>
          <w:trHeight w:val="139"/>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4"/>
          </w:tcPr>
          <w:p>
            <w:pPr>
              <w:ind w:left="260"/>
              <w:spacing w:after="0" w:line="139" w:lineRule="exact"/>
              <w:rPr>
                <w:sz w:val="20"/>
                <w:szCs w:val="20"/>
                <w:color w:val="auto"/>
              </w:rPr>
            </w:pPr>
            <w:r>
              <w:rPr>
                <w:rFonts w:ascii="Arial" w:cs="Arial" w:eastAsia="Arial" w:hAnsi="Arial"/>
                <w:sz w:val="13"/>
                <w:szCs w:val="13"/>
                <w:b w:val="1"/>
                <w:bCs w:val="1"/>
                <w:color w:val="auto"/>
              </w:rPr>
              <w:t>Grant Date</w:t>
            </w:r>
          </w:p>
        </w:tc>
      </w:tr>
      <w:tr>
        <w:trPr>
          <w:trHeight w:val="152"/>
        </w:trPr>
        <w:tc>
          <w:tcPr>
            <w:tcW w:w="20" w:type="dxa"/>
            <w:vAlign w:val="bottom"/>
          </w:tcPr>
          <w:p>
            <w:pPr>
              <w:spacing w:after="0"/>
              <w:rPr>
                <w:sz w:val="13"/>
                <w:szCs w:val="13"/>
                <w:color w:val="auto"/>
              </w:rPr>
            </w:pPr>
          </w:p>
        </w:tc>
        <w:tc>
          <w:tcPr>
            <w:tcW w:w="7580" w:type="dxa"/>
            <w:vAlign w:val="bottom"/>
          </w:tcPr>
          <w:p>
            <w:pPr>
              <w:spacing w:after="0"/>
              <w:rPr>
                <w:sz w:val="13"/>
                <w:szCs w:val="13"/>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PRSUs</w:t>
            </w:r>
          </w:p>
        </w:tc>
        <w:tc>
          <w:tcPr>
            <w:tcW w:w="260" w:type="dxa"/>
            <w:vAlign w:val="bottom"/>
          </w:tcPr>
          <w:p>
            <w:pPr>
              <w:spacing w:after="0"/>
              <w:rPr>
                <w:sz w:val="13"/>
                <w:szCs w:val="13"/>
                <w:color w:val="auto"/>
              </w:rPr>
            </w:pPr>
          </w:p>
        </w:tc>
        <w:tc>
          <w:tcPr>
            <w:tcW w:w="7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3"/>
              </w:rPr>
              <w:t>Fair Value</w:t>
            </w:r>
          </w:p>
        </w:tc>
      </w:tr>
      <w:tr>
        <w:trPr>
          <w:trHeight w:val="195"/>
        </w:trPr>
        <w:tc>
          <w:tcPr>
            <w:tcW w:w="20" w:type="dxa"/>
            <w:vAlign w:val="bottom"/>
          </w:tcPr>
          <w:p>
            <w:pPr>
              <w:spacing w:after="0"/>
              <w:rPr>
                <w:sz w:val="16"/>
                <w:szCs w:val="16"/>
                <w:color w:val="auto"/>
              </w:rPr>
            </w:pPr>
          </w:p>
        </w:tc>
        <w:tc>
          <w:tcPr>
            <w:tcW w:w="7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January 1, 2015</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1,347,148</w:t>
            </w:r>
          </w:p>
        </w:tc>
        <w:tc>
          <w:tcPr>
            <w:tcW w:w="3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37.79</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7580" w:type="dxa"/>
            <w:vAlign w:val="bottom"/>
          </w:tcPr>
          <w:p>
            <w:pPr>
              <w:spacing w:after="0"/>
              <w:rPr>
                <w:sz w:val="20"/>
                <w:szCs w:val="20"/>
                <w:color w:val="auto"/>
              </w:rPr>
            </w:pPr>
            <w:r>
              <w:rPr>
                <w:rFonts w:ascii="Arial" w:cs="Arial" w:eastAsia="Arial" w:hAnsi="Arial"/>
                <w:sz w:val="16"/>
                <w:szCs w:val="16"/>
                <w:color w:val="auto"/>
              </w:rPr>
              <w:t>Granted</w:t>
            </w:r>
          </w:p>
        </w:tc>
        <w:tc>
          <w:tcPr>
            <w:tcW w:w="720" w:type="dxa"/>
            <w:vAlign w:val="bottom"/>
          </w:tcPr>
          <w:p>
            <w:pPr>
              <w:jc w:val="right"/>
              <w:spacing w:after="0"/>
              <w:rPr>
                <w:sz w:val="20"/>
                <w:szCs w:val="20"/>
                <w:color w:val="auto"/>
              </w:rPr>
            </w:pPr>
            <w:r>
              <w:rPr>
                <w:rFonts w:ascii="Arial" w:cs="Arial" w:eastAsia="Arial" w:hAnsi="Arial"/>
                <w:sz w:val="16"/>
                <w:szCs w:val="16"/>
                <w:color w:val="auto"/>
              </w:rPr>
              <w:t>368,389</w:t>
            </w:r>
          </w:p>
        </w:tc>
        <w:tc>
          <w:tcPr>
            <w:tcW w:w="300" w:type="dxa"/>
            <w:vAlign w:val="bottom"/>
          </w:tcPr>
          <w:p>
            <w:pPr>
              <w:spacing w:after="0"/>
              <w:rPr>
                <w:sz w:val="17"/>
                <w:szCs w:val="17"/>
                <w:color w:val="auto"/>
              </w:rPr>
            </w:pP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52.85</w:t>
            </w:r>
          </w:p>
        </w:tc>
        <w:tc>
          <w:tcPr>
            <w:tcW w:w="100" w:type="dxa"/>
            <w:vAlign w:val="bottom"/>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6"/>
                <w:szCs w:val="16"/>
                <w:color w:val="auto"/>
              </w:rPr>
              <w:t>Vested</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(696,499)</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35.96</w:t>
            </w:r>
          </w:p>
        </w:tc>
        <w:tc>
          <w:tcPr>
            <w:tcW w:w="100" w:type="dxa"/>
            <w:vAlign w:val="bottom"/>
            <w:shd w:val="clear" w:color="auto" w:fill="CCEEFF"/>
          </w:tcPr>
          <w:p>
            <w:pPr>
              <w:spacing w:after="0"/>
              <w:rPr>
                <w:sz w:val="18"/>
                <w:szCs w:val="18"/>
                <w:color w:val="auto"/>
              </w:rPr>
            </w:pPr>
          </w:p>
        </w:tc>
      </w:tr>
      <w:tr>
        <w:trPr>
          <w:trHeight w:val="206"/>
        </w:trPr>
        <w:tc>
          <w:tcPr>
            <w:tcW w:w="7600" w:type="dxa"/>
            <w:vAlign w:val="bottom"/>
            <w:gridSpan w:val="2"/>
          </w:tcPr>
          <w:p>
            <w:pPr>
              <w:spacing w:after="0"/>
              <w:rPr>
                <w:sz w:val="20"/>
                <w:szCs w:val="20"/>
                <w:color w:val="auto"/>
              </w:rPr>
            </w:pPr>
            <w:r>
              <w:rPr>
                <w:rFonts w:ascii="Arial" w:cs="Arial" w:eastAsia="Arial" w:hAnsi="Arial"/>
                <w:sz w:val="16"/>
                <w:szCs w:val="16"/>
                <w:color w:val="auto"/>
              </w:rPr>
              <w:t>Balance June 30, 2015</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1,019,038</w:t>
            </w:r>
          </w:p>
        </w:tc>
        <w:tc>
          <w:tcPr>
            <w:tcW w:w="300" w:type="dxa"/>
            <w:vAlign w:val="bottom"/>
          </w:tcPr>
          <w:p>
            <w:pPr>
              <w:spacing w:after="0"/>
              <w:rPr>
                <w:sz w:val="17"/>
                <w:szCs w:val="17"/>
                <w:color w:val="auto"/>
              </w:rPr>
            </w:pP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44.49</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6"/>
                <w:szCs w:val="16"/>
                <w:color w:val="auto"/>
              </w:rPr>
              <w:t>Balance, January 1, 2014</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448,128</w:t>
            </w:r>
          </w:p>
        </w:tc>
        <w:tc>
          <w:tcPr>
            <w:tcW w:w="3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36.11</w:t>
            </w:r>
          </w:p>
        </w:tc>
        <w:tc>
          <w:tcPr>
            <w:tcW w:w="100" w:type="dxa"/>
            <w:vAlign w:val="bottom"/>
            <w:shd w:val="clear" w:color="auto" w:fill="CCEEFF"/>
          </w:tcPr>
          <w:p>
            <w:pPr>
              <w:spacing w:after="0"/>
              <w:rPr>
                <w:sz w:val="16"/>
                <w:szCs w:val="16"/>
                <w:color w:val="auto"/>
              </w:rPr>
            </w:pPr>
          </w:p>
        </w:tc>
      </w:tr>
      <w:tr>
        <w:trPr>
          <w:trHeight w:val="208"/>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6"/>
                <w:szCs w:val="16"/>
                <w:color w:val="auto"/>
              </w:rPr>
              <w:t>Granted</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360,783</w:t>
            </w:r>
          </w:p>
        </w:tc>
        <w:tc>
          <w:tcPr>
            <w:tcW w:w="300" w:type="dxa"/>
            <w:vAlign w:val="bottom"/>
          </w:tcPr>
          <w:p>
            <w:pPr>
              <w:spacing w:after="0"/>
              <w:rPr>
                <w:sz w:val="18"/>
                <w:szCs w:val="18"/>
                <w:color w:val="auto"/>
              </w:rPr>
            </w:pP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44.46</w:t>
            </w: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6"/>
                <w:szCs w:val="16"/>
                <w:color w:val="auto"/>
              </w:rPr>
              <w:t>Balance, June 30, 2014</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808,911</w:t>
            </w:r>
          </w:p>
        </w:tc>
        <w:tc>
          <w:tcPr>
            <w:tcW w:w="3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39.83</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6" w:lineRule="exact"/>
        <w:rPr>
          <w:sz w:val="20"/>
          <w:szCs w:val="20"/>
          <w:color w:val="auto"/>
        </w:rPr>
      </w:pPr>
    </w:p>
    <w:p>
      <w:pPr>
        <w:jc w:val="both"/>
        <w:ind w:firstLine="457"/>
        <w:spacing w:after="0" w:line="280" w:lineRule="auto"/>
        <w:rPr>
          <w:sz w:val="20"/>
          <w:szCs w:val="20"/>
          <w:color w:val="auto"/>
        </w:rPr>
      </w:pPr>
      <w:r>
        <w:rPr>
          <w:rFonts w:ascii="Arial" w:cs="Arial" w:eastAsia="Arial" w:hAnsi="Arial"/>
          <w:sz w:val="16"/>
          <w:szCs w:val="16"/>
          <w:color w:val="auto"/>
        </w:rPr>
        <w:t>In connection with PRSUs that vested during the six month period ended June 30, 2015, the Company satisfied its minimum statutory tax withholding requirements in lieu of issuing 32,086 shares of Class A common stock in the period. Accordingly, 664,413 shares of Class A common stock held by the Company were delivered during the six month period ended June 30, 2015.</w:t>
      </w:r>
    </w:p>
    <w:p>
      <w:pPr>
        <w:spacing w:after="0" w:line="115" w:lineRule="exact"/>
        <w:rPr>
          <w:sz w:val="20"/>
          <w:szCs w:val="20"/>
          <w:color w:val="auto"/>
        </w:rPr>
      </w:pPr>
    </w:p>
    <w:p>
      <w:pPr>
        <w:jc w:val="both"/>
        <w:ind w:firstLine="457"/>
        <w:spacing w:after="0" w:line="337" w:lineRule="auto"/>
        <w:rPr>
          <w:sz w:val="20"/>
          <w:szCs w:val="20"/>
          <w:color w:val="auto"/>
        </w:rPr>
      </w:pPr>
      <w:r>
        <w:rPr>
          <w:rFonts w:ascii="Arial" w:cs="Arial" w:eastAsia="Arial" w:hAnsi="Arial"/>
          <w:sz w:val="14"/>
          <w:szCs w:val="14"/>
          <w:color w:val="auto"/>
        </w:rPr>
        <w:t>Compensation expense recognized for PRSU awards is determined by multiplying the number of shares of Class A common stock underlying such awards that, based on the Company’s estimate, are considered probable of vesting, by the grant date fair value. As of June 30, 2015, the total estimated unrecognized compensation expense was approximately $24,406, and the Company expects to amortize such expense over a weighted-average period of approximately 0.8 years subsequent to June 30, 2015.</w:t>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LFI and Other Similar Deferred Compensation Arrangements</w:t>
      </w:r>
    </w:p>
    <w:p>
      <w:pPr>
        <w:spacing w:after="0" w:line="94" w:lineRule="exact"/>
        <w:rPr>
          <w:sz w:val="20"/>
          <w:szCs w:val="20"/>
          <w:color w:val="auto"/>
        </w:rPr>
      </w:pPr>
    </w:p>
    <w:p>
      <w:pPr>
        <w:ind w:right="40" w:firstLine="457"/>
        <w:spacing w:after="0" w:line="269" w:lineRule="auto"/>
        <w:rPr>
          <w:sz w:val="20"/>
          <w:szCs w:val="20"/>
          <w:color w:val="auto"/>
        </w:rPr>
      </w:pPr>
      <w:r>
        <w:rPr>
          <w:rFonts w:ascii="Arial" w:cs="Arial" w:eastAsia="Arial" w:hAnsi="Arial"/>
          <w:sz w:val="16"/>
          <w:szCs w:val="16"/>
          <w:color w:val="auto"/>
        </w:rPr>
        <w:t>Commencing in February 2011, the Company granted LFI to eligible employees. In connection with LFI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condensed consolidated statement of operations. LFI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440" w:right="23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LAZARD LTD</w:t>
      </w:r>
    </w:p>
    <w:p>
      <w:pPr>
        <w:spacing w:after="0" w:line="94"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auto"/>
        </w:rPr>
        <w:t>NOTES TO CONDENSED CONSOLIDATED FINANCIAL STATEMENTS—(Continued)</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(UNAUDITED)</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(dollars in thousands, except for per share data, unless otherwise noted)</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is a summary of activity relating to LFI and other similar deferred compensation arrangements during the six month periods ended June 30, 2015 and</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2014:</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8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87"/>
              </w:rPr>
              <w:t>Prepaid</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8020" w:type="dxa"/>
            <w:vAlign w:val="bottom"/>
          </w:tcPr>
          <w:p>
            <w:pPr>
              <w:spacing w:after="0"/>
              <w:rPr>
                <w:sz w:val="12"/>
                <w:szCs w:val="12"/>
                <w:color w:val="auto"/>
              </w:rPr>
            </w:pPr>
          </w:p>
        </w:tc>
        <w:tc>
          <w:tcPr>
            <w:tcW w:w="1160" w:type="dxa"/>
            <w:vAlign w:val="bottom"/>
            <w:gridSpan w:val="4"/>
          </w:tcPr>
          <w:p>
            <w:pPr>
              <w:spacing w:after="0" w:line="139" w:lineRule="exact"/>
              <w:rPr>
                <w:sz w:val="20"/>
                <w:szCs w:val="20"/>
                <w:color w:val="auto"/>
              </w:rPr>
            </w:pPr>
            <w:r>
              <w:rPr>
                <w:rFonts w:ascii="Arial" w:cs="Arial" w:eastAsia="Arial" w:hAnsi="Arial"/>
                <w:sz w:val="13"/>
                <w:szCs w:val="13"/>
                <w:b w:val="1"/>
                <w:bCs w:val="1"/>
                <w:color w:val="auto"/>
              </w:rPr>
              <w:t>Compensation</w:t>
            </w:r>
          </w:p>
        </w:tc>
        <w:tc>
          <w:tcPr>
            <w:tcW w:w="320" w:type="dxa"/>
            <w:vAlign w:val="bottom"/>
          </w:tcPr>
          <w:p>
            <w:pPr>
              <w:spacing w:after="0"/>
              <w:rPr>
                <w:sz w:val="12"/>
                <w:szCs w:val="12"/>
                <w:color w:val="auto"/>
              </w:rPr>
            </w:pPr>
          </w:p>
        </w:tc>
        <w:tc>
          <w:tcPr>
            <w:tcW w:w="1020" w:type="dxa"/>
            <w:vAlign w:val="bottom"/>
            <w:gridSpan w:val="3"/>
          </w:tcPr>
          <w:p>
            <w:pPr>
              <w:jc w:val="center"/>
              <w:ind w:right="120"/>
              <w:spacing w:after="0" w:line="139" w:lineRule="exact"/>
              <w:rPr>
                <w:sz w:val="20"/>
                <w:szCs w:val="20"/>
                <w:color w:val="auto"/>
              </w:rPr>
            </w:pPr>
            <w:r>
              <w:rPr>
                <w:rFonts w:ascii="Arial" w:cs="Arial" w:eastAsia="Arial" w:hAnsi="Arial"/>
                <w:sz w:val="13"/>
                <w:szCs w:val="13"/>
                <w:b w:val="1"/>
                <w:bCs w:val="1"/>
                <w:color w:val="auto"/>
                <w:w w:val="86"/>
              </w:rPr>
              <w:t>Compensation</w:t>
            </w:r>
          </w:p>
        </w:tc>
        <w:tc>
          <w:tcPr>
            <w:tcW w:w="0" w:type="dxa"/>
            <w:vAlign w:val="bottom"/>
          </w:tcPr>
          <w:p>
            <w:pPr>
              <w:spacing w:after="0"/>
              <w:rPr>
                <w:sz w:val="1"/>
                <w:szCs w:val="1"/>
                <w:color w:val="auto"/>
              </w:rPr>
            </w:pPr>
          </w:p>
        </w:tc>
      </w:tr>
      <w:tr>
        <w:trPr>
          <w:trHeight w:val="152"/>
        </w:trPr>
        <w:tc>
          <w:tcPr>
            <w:tcW w:w="8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78"/>
              </w:rPr>
              <w:t>Asset</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Liability</w:t>
            </w:r>
          </w:p>
        </w:tc>
        <w:tc>
          <w:tcPr>
            <w:tcW w:w="0" w:type="dxa"/>
            <w:vAlign w:val="bottom"/>
          </w:tcPr>
          <w:p>
            <w:pPr>
              <w:spacing w:after="0"/>
              <w:rPr>
                <w:sz w:val="1"/>
                <w:szCs w:val="1"/>
                <w:color w:val="auto"/>
              </w:rPr>
            </w:pPr>
          </w:p>
        </w:tc>
      </w:tr>
      <w:tr>
        <w:trPr>
          <w:trHeight w:val="195"/>
        </w:trPr>
        <w:tc>
          <w:tcPr>
            <w:tcW w:w="8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January 1, 2015</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73,278</w:t>
            </w:r>
          </w:p>
        </w:tc>
        <w:tc>
          <w:tcPr>
            <w:tcW w:w="3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207,306</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20" w:type="dxa"/>
            <w:vAlign w:val="bottom"/>
          </w:tcPr>
          <w:p>
            <w:pPr>
              <w:ind w:left="400"/>
              <w:spacing w:after="0"/>
              <w:rPr>
                <w:sz w:val="20"/>
                <w:szCs w:val="20"/>
                <w:color w:val="auto"/>
              </w:rPr>
            </w:pPr>
            <w:r>
              <w:rPr>
                <w:rFonts w:ascii="Arial" w:cs="Arial" w:eastAsia="Arial" w:hAnsi="Arial"/>
                <w:sz w:val="16"/>
                <w:szCs w:val="16"/>
                <w:color w:val="auto"/>
              </w:rPr>
              <w:t>Granted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89,817</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89,817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0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Settled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(92,893)</w:t>
            </w:r>
          </w:p>
        </w:tc>
        <w:tc>
          <w:tcPr>
            <w:tcW w:w="0" w:type="dxa"/>
            <w:vAlign w:val="bottom"/>
          </w:tcPr>
          <w:p>
            <w:pPr>
              <w:spacing w:after="0"/>
              <w:rPr>
                <w:sz w:val="1"/>
                <w:szCs w:val="1"/>
                <w:color w:val="auto"/>
              </w:rPr>
            </w:pPr>
          </w:p>
        </w:tc>
      </w:tr>
      <w:tr>
        <w:trPr>
          <w:trHeight w:val="214"/>
        </w:trPr>
        <w:tc>
          <w:tcPr>
            <w:tcW w:w="8020" w:type="dxa"/>
            <w:vAlign w:val="bottom"/>
          </w:tcPr>
          <w:p>
            <w:pPr>
              <w:ind w:left="400"/>
              <w:spacing w:after="0"/>
              <w:rPr>
                <w:sz w:val="20"/>
                <w:szCs w:val="20"/>
                <w:color w:val="auto"/>
              </w:rPr>
            </w:pPr>
            <w:r>
              <w:rPr>
                <w:rFonts w:ascii="Arial" w:cs="Arial" w:eastAsia="Arial" w:hAnsi="Arial"/>
                <w:sz w:val="16"/>
                <w:szCs w:val="16"/>
                <w:color w:val="auto"/>
              </w:rPr>
              <w:t>Forfeited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(3,259)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(6,290)</w:t>
            </w:r>
          </w:p>
        </w:tc>
        <w:tc>
          <w:tcPr>
            <w:tcW w:w="0" w:type="dxa"/>
            <w:vAlign w:val="bottom"/>
          </w:tcPr>
          <w:p>
            <w:pPr>
              <w:spacing w:after="0"/>
              <w:rPr>
                <w:sz w:val="1"/>
                <w:szCs w:val="1"/>
                <w:color w:val="auto"/>
              </w:rPr>
            </w:pPr>
          </w:p>
        </w:tc>
      </w:tr>
      <w:tr>
        <w:trPr>
          <w:trHeight w:val="204"/>
        </w:trPr>
        <w:tc>
          <w:tcPr>
            <w:tcW w:w="80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Amortization</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(44,522)</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8020" w:type="dxa"/>
            <w:vAlign w:val="bottom"/>
          </w:tcPr>
          <w:p>
            <w:pPr>
              <w:ind w:left="400"/>
              <w:spacing w:after="0"/>
              <w:rPr>
                <w:sz w:val="20"/>
                <w:szCs w:val="20"/>
                <w:color w:val="auto"/>
              </w:rPr>
            </w:pPr>
            <w:r>
              <w:rPr>
                <w:rFonts w:ascii="Arial" w:cs="Arial" w:eastAsia="Arial" w:hAnsi="Arial"/>
                <w:sz w:val="16"/>
                <w:szCs w:val="16"/>
                <w:color w:val="auto"/>
              </w:rPr>
              <w:t>Change in fair value related to:</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20" w:type="dxa"/>
            <w:vAlign w:val="bottom"/>
            <w:shd w:val="clear" w:color="auto" w:fill="CCEEFF"/>
          </w:tcPr>
          <w:p>
            <w:pPr>
              <w:ind w:left="620"/>
              <w:spacing w:after="0"/>
              <w:rPr>
                <w:sz w:val="20"/>
                <w:szCs w:val="20"/>
                <w:color w:val="auto"/>
              </w:rPr>
            </w:pPr>
            <w:r>
              <w:rPr>
                <w:rFonts w:ascii="Arial" w:cs="Arial" w:eastAsia="Arial" w:hAnsi="Arial"/>
                <w:sz w:val="16"/>
                <w:szCs w:val="16"/>
                <w:color w:val="auto"/>
              </w:rPr>
              <w:t>Increase in fair value of underlying investments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20" w:type="dxa"/>
            <w:vAlign w:val="bottom"/>
          </w:tcPr>
          <w:p>
            <w:pPr>
              <w:ind w:left="620"/>
              <w:spacing w:after="0"/>
              <w:rPr>
                <w:sz w:val="20"/>
                <w:szCs w:val="20"/>
                <w:color w:val="auto"/>
              </w:rPr>
            </w:pPr>
            <w:r>
              <w:rPr>
                <w:rFonts w:ascii="Arial" w:cs="Arial" w:eastAsia="Arial" w:hAnsi="Arial"/>
                <w:sz w:val="16"/>
                <w:szCs w:val="16"/>
                <w:color w:val="auto"/>
              </w:rPr>
              <w:t>Adjustment for estimated forfeitures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Other</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(1,552)</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6"/>
                <w:szCs w:val="16"/>
                <w:color w:val="auto"/>
              </w:rPr>
              <w:t>Balance, June 30, 2015</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020" w:type="dxa"/>
            <w:vAlign w:val="bottom"/>
            <w:vMerge w:val="continue"/>
          </w:tcPr>
          <w:p>
            <w:pPr>
              <w:spacing w:after="0"/>
              <w:rPr>
                <w:sz w:val="17"/>
                <w:szCs w:val="17"/>
                <w:color w:val="auto"/>
              </w:rPr>
            </w:pPr>
          </w:p>
        </w:tc>
        <w:tc>
          <w:tcPr>
            <w:tcW w:w="120" w:type="dxa"/>
            <w:vAlign w:val="bottom"/>
            <w:gridSpan w:val="2"/>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115,490</w:t>
            </w:r>
          </w:p>
        </w:tc>
        <w:tc>
          <w:tcPr>
            <w:tcW w:w="38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202,063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8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87"/>
              </w:rPr>
              <w:t>Prepaid</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8020" w:type="dxa"/>
            <w:vAlign w:val="bottom"/>
          </w:tcPr>
          <w:p>
            <w:pPr>
              <w:spacing w:after="0"/>
              <w:rPr>
                <w:sz w:val="12"/>
                <w:szCs w:val="12"/>
                <w:color w:val="auto"/>
              </w:rPr>
            </w:pPr>
          </w:p>
        </w:tc>
        <w:tc>
          <w:tcPr>
            <w:tcW w:w="1160" w:type="dxa"/>
            <w:vAlign w:val="bottom"/>
            <w:gridSpan w:val="4"/>
          </w:tcPr>
          <w:p>
            <w:pPr>
              <w:spacing w:after="0" w:line="139" w:lineRule="exact"/>
              <w:rPr>
                <w:sz w:val="20"/>
                <w:szCs w:val="20"/>
                <w:color w:val="auto"/>
              </w:rPr>
            </w:pPr>
            <w:r>
              <w:rPr>
                <w:rFonts w:ascii="Arial" w:cs="Arial" w:eastAsia="Arial" w:hAnsi="Arial"/>
                <w:sz w:val="13"/>
                <w:szCs w:val="13"/>
                <w:b w:val="1"/>
                <w:bCs w:val="1"/>
                <w:color w:val="auto"/>
              </w:rPr>
              <w:t>Compensation</w:t>
            </w:r>
          </w:p>
        </w:tc>
        <w:tc>
          <w:tcPr>
            <w:tcW w:w="320" w:type="dxa"/>
            <w:vAlign w:val="bottom"/>
          </w:tcPr>
          <w:p>
            <w:pPr>
              <w:spacing w:after="0"/>
              <w:rPr>
                <w:sz w:val="12"/>
                <w:szCs w:val="12"/>
                <w:color w:val="auto"/>
              </w:rPr>
            </w:pPr>
          </w:p>
        </w:tc>
        <w:tc>
          <w:tcPr>
            <w:tcW w:w="1020" w:type="dxa"/>
            <w:vAlign w:val="bottom"/>
            <w:gridSpan w:val="3"/>
          </w:tcPr>
          <w:p>
            <w:pPr>
              <w:jc w:val="center"/>
              <w:ind w:right="120"/>
              <w:spacing w:after="0" w:line="139" w:lineRule="exact"/>
              <w:rPr>
                <w:sz w:val="20"/>
                <w:szCs w:val="20"/>
                <w:color w:val="auto"/>
              </w:rPr>
            </w:pPr>
            <w:r>
              <w:rPr>
                <w:rFonts w:ascii="Arial" w:cs="Arial" w:eastAsia="Arial" w:hAnsi="Arial"/>
                <w:sz w:val="13"/>
                <w:szCs w:val="13"/>
                <w:b w:val="1"/>
                <w:bCs w:val="1"/>
                <w:color w:val="auto"/>
                <w:w w:val="86"/>
              </w:rPr>
              <w:t>Compensation</w:t>
            </w:r>
          </w:p>
        </w:tc>
        <w:tc>
          <w:tcPr>
            <w:tcW w:w="0" w:type="dxa"/>
            <w:vAlign w:val="bottom"/>
          </w:tcPr>
          <w:p>
            <w:pPr>
              <w:spacing w:after="0"/>
              <w:rPr>
                <w:sz w:val="1"/>
                <w:szCs w:val="1"/>
                <w:color w:val="auto"/>
              </w:rPr>
            </w:pPr>
          </w:p>
        </w:tc>
      </w:tr>
      <w:tr>
        <w:trPr>
          <w:trHeight w:val="152"/>
        </w:trPr>
        <w:tc>
          <w:tcPr>
            <w:tcW w:w="8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78"/>
              </w:rPr>
              <w:t>Asset</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Liability</w:t>
            </w:r>
          </w:p>
        </w:tc>
        <w:tc>
          <w:tcPr>
            <w:tcW w:w="0" w:type="dxa"/>
            <w:vAlign w:val="bottom"/>
          </w:tcPr>
          <w:p>
            <w:pPr>
              <w:spacing w:after="0"/>
              <w:rPr>
                <w:sz w:val="1"/>
                <w:szCs w:val="1"/>
                <w:color w:val="auto"/>
              </w:rPr>
            </w:pPr>
          </w:p>
        </w:tc>
      </w:tr>
      <w:tr>
        <w:trPr>
          <w:trHeight w:val="195"/>
        </w:trPr>
        <w:tc>
          <w:tcPr>
            <w:tcW w:w="8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January 1, 2014</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60,433</w:t>
            </w:r>
          </w:p>
        </w:tc>
        <w:tc>
          <w:tcPr>
            <w:tcW w:w="3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162,422</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20" w:type="dxa"/>
            <w:vAlign w:val="bottom"/>
          </w:tcPr>
          <w:p>
            <w:pPr>
              <w:ind w:left="400"/>
              <w:spacing w:after="0"/>
              <w:rPr>
                <w:sz w:val="20"/>
                <w:szCs w:val="20"/>
                <w:color w:val="auto"/>
              </w:rPr>
            </w:pPr>
            <w:r>
              <w:rPr>
                <w:rFonts w:ascii="Arial" w:cs="Arial" w:eastAsia="Arial" w:hAnsi="Arial"/>
                <w:sz w:val="16"/>
                <w:szCs w:val="16"/>
                <w:color w:val="auto"/>
              </w:rPr>
              <w:t>Granted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92,711</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92,711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0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Settled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(52,944)</w:t>
            </w:r>
          </w:p>
        </w:tc>
        <w:tc>
          <w:tcPr>
            <w:tcW w:w="0" w:type="dxa"/>
            <w:vAlign w:val="bottom"/>
          </w:tcPr>
          <w:p>
            <w:pPr>
              <w:spacing w:after="0"/>
              <w:rPr>
                <w:sz w:val="1"/>
                <w:szCs w:val="1"/>
                <w:color w:val="auto"/>
              </w:rPr>
            </w:pPr>
          </w:p>
        </w:tc>
      </w:tr>
      <w:tr>
        <w:trPr>
          <w:trHeight w:val="214"/>
        </w:trPr>
        <w:tc>
          <w:tcPr>
            <w:tcW w:w="8020" w:type="dxa"/>
            <w:vAlign w:val="bottom"/>
          </w:tcPr>
          <w:p>
            <w:pPr>
              <w:ind w:left="400"/>
              <w:spacing w:after="0"/>
              <w:rPr>
                <w:sz w:val="20"/>
                <w:szCs w:val="20"/>
                <w:color w:val="auto"/>
              </w:rPr>
            </w:pPr>
            <w:r>
              <w:rPr>
                <w:rFonts w:ascii="Arial" w:cs="Arial" w:eastAsia="Arial" w:hAnsi="Arial"/>
                <w:sz w:val="16"/>
                <w:szCs w:val="16"/>
                <w:color w:val="auto"/>
              </w:rPr>
              <w:t>Forfeited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(1,189)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(1,659)</w:t>
            </w:r>
          </w:p>
        </w:tc>
        <w:tc>
          <w:tcPr>
            <w:tcW w:w="0" w:type="dxa"/>
            <w:vAlign w:val="bottom"/>
          </w:tcPr>
          <w:p>
            <w:pPr>
              <w:spacing w:after="0"/>
              <w:rPr>
                <w:sz w:val="1"/>
                <w:szCs w:val="1"/>
                <w:color w:val="auto"/>
              </w:rPr>
            </w:pPr>
          </w:p>
        </w:tc>
      </w:tr>
      <w:tr>
        <w:trPr>
          <w:trHeight w:val="204"/>
        </w:trPr>
        <w:tc>
          <w:tcPr>
            <w:tcW w:w="80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Amortization</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(39,457)</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8020" w:type="dxa"/>
            <w:vAlign w:val="bottom"/>
          </w:tcPr>
          <w:p>
            <w:pPr>
              <w:ind w:left="400"/>
              <w:spacing w:after="0"/>
              <w:rPr>
                <w:sz w:val="20"/>
                <w:szCs w:val="20"/>
                <w:color w:val="auto"/>
              </w:rPr>
            </w:pPr>
            <w:r>
              <w:rPr>
                <w:rFonts w:ascii="Arial" w:cs="Arial" w:eastAsia="Arial" w:hAnsi="Arial"/>
                <w:sz w:val="16"/>
                <w:szCs w:val="16"/>
                <w:color w:val="auto"/>
              </w:rPr>
              <w:t>Change in fair value related to:</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20" w:type="dxa"/>
            <w:vAlign w:val="bottom"/>
            <w:shd w:val="clear" w:color="auto" w:fill="CCEEFF"/>
          </w:tcPr>
          <w:p>
            <w:pPr>
              <w:ind w:left="620"/>
              <w:spacing w:after="0"/>
              <w:rPr>
                <w:sz w:val="20"/>
                <w:szCs w:val="20"/>
                <w:color w:val="auto"/>
              </w:rPr>
            </w:pPr>
            <w:r>
              <w:rPr>
                <w:rFonts w:ascii="Arial" w:cs="Arial" w:eastAsia="Arial" w:hAnsi="Arial"/>
                <w:sz w:val="16"/>
                <w:szCs w:val="16"/>
                <w:color w:val="auto"/>
              </w:rPr>
              <w:t>Increase in fair value of underlying investments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20" w:type="dxa"/>
            <w:vAlign w:val="bottom"/>
          </w:tcPr>
          <w:p>
            <w:pPr>
              <w:ind w:left="620"/>
              <w:spacing w:after="0"/>
              <w:rPr>
                <w:sz w:val="20"/>
                <w:szCs w:val="20"/>
                <w:color w:val="auto"/>
              </w:rPr>
            </w:pPr>
            <w:r>
              <w:rPr>
                <w:rFonts w:ascii="Arial" w:cs="Arial" w:eastAsia="Arial" w:hAnsi="Arial"/>
                <w:sz w:val="16"/>
                <w:szCs w:val="16"/>
                <w:color w:val="auto"/>
              </w:rPr>
              <w:t>Adjustment for estimated forfeitures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Other</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020" w:type="dxa"/>
            <w:vAlign w:val="bottom"/>
          </w:tcPr>
          <w:p>
            <w:pPr>
              <w:spacing w:after="0"/>
              <w:rPr>
                <w:sz w:val="20"/>
                <w:szCs w:val="20"/>
                <w:color w:val="auto"/>
              </w:rPr>
            </w:pPr>
            <w:r>
              <w:rPr>
                <w:rFonts w:ascii="Arial" w:cs="Arial" w:eastAsia="Arial" w:hAnsi="Arial"/>
                <w:sz w:val="16"/>
                <w:szCs w:val="16"/>
                <w:color w:val="auto"/>
              </w:rPr>
              <w:t>Balance, June 30, 2014</w:t>
            </w:r>
          </w:p>
        </w:tc>
        <w:tc>
          <w:tcPr>
            <w:tcW w:w="120" w:type="dxa"/>
            <w:vAlign w:val="bottom"/>
            <w:gridSpan w:val="2"/>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112,535</w:t>
            </w:r>
          </w:p>
        </w:tc>
        <w:tc>
          <w:tcPr>
            <w:tcW w:w="38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215,163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amortization of the prepaid compensation asset will generally be recognized over a weighted average period of approximately 1.0 year subsequent to June 30,</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2015.</w:t>
      </w:r>
    </w:p>
    <w:p>
      <w:pPr>
        <w:spacing w:after="0" w:line="164" w:lineRule="exact"/>
        <w:rPr>
          <w:sz w:val="20"/>
          <w:szCs w:val="20"/>
          <w:color w:val="auto"/>
        </w:rPr>
      </w:pPr>
    </w:p>
    <w:p>
      <w:pPr>
        <w:ind w:right="520" w:firstLine="457"/>
        <w:spacing w:after="0" w:line="296" w:lineRule="auto"/>
        <w:rPr>
          <w:sz w:val="20"/>
          <w:szCs w:val="20"/>
          <w:color w:val="auto"/>
        </w:rPr>
      </w:pPr>
      <w:r>
        <w:rPr>
          <w:rFonts w:ascii="Arial" w:cs="Arial" w:eastAsia="Arial" w:hAnsi="Arial"/>
          <w:sz w:val="16"/>
          <w:szCs w:val="16"/>
          <w:color w:val="auto"/>
        </w:rPr>
        <w:t>The following is a summary of the impact of LFI and other similar deferred compensation arrangements on “compensation and benefits” expense within the accompanying condensed consolidated statements of operations for the three month and six month periods ended June 30, 2015 and 2014:</w:t>
      </w:r>
    </w:p>
    <w:p>
      <w:pPr>
        <w:spacing w:after="0" w:line="126"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500" w:type="dxa"/>
            <w:vAlign w:val="bottom"/>
            <w:gridSpan w:val="4"/>
          </w:tcPr>
          <w:p>
            <w:pPr>
              <w:jc w:val="right"/>
              <w:ind w:right="98"/>
              <w:spacing w:after="0"/>
              <w:rPr>
                <w:sz w:val="20"/>
                <w:szCs w:val="20"/>
                <w:color w:val="auto"/>
              </w:rPr>
            </w:pPr>
            <w:r>
              <w:rPr>
                <w:rFonts w:ascii="Arial" w:cs="Arial" w:eastAsia="Arial" w:hAnsi="Arial"/>
                <w:sz w:val="13"/>
                <w:szCs w:val="13"/>
                <w:b w:val="1"/>
                <w:bCs w:val="1"/>
                <w:color w:val="auto"/>
              </w:rPr>
              <w:t>Three Months Ended</w:t>
            </w:r>
          </w:p>
        </w:tc>
        <w:tc>
          <w:tcPr>
            <w:tcW w:w="500" w:type="dxa"/>
            <w:vAlign w:val="bottom"/>
          </w:tcPr>
          <w:p>
            <w:pPr>
              <w:spacing w:after="0"/>
              <w:rPr>
                <w:sz w:val="12"/>
                <w:szCs w:val="12"/>
                <w:color w:val="auto"/>
              </w:rPr>
            </w:pPr>
          </w:p>
        </w:tc>
        <w:tc>
          <w:tcPr>
            <w:tcW w:w="170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88"/>
              </w:rPr>
              <w:t>Six Months Ended</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500" w:type="dxa"/>
            <w:vAlign w:val="bottom"/>
            <w:gridSpan w:val="4"/>
          </w:tcPr>
          <w:p>
            <w:pPr>
              <w:jc w:val="right"/>
              <w:ind w:right="438"/>
              <w:spacing w:after="0"/>
              <w:rPr>
                <w:sz w:val="20"/>
                <w:szCs w:val="20"/>
                <w:color w:val="auto"/>
              </w:rPr>
            </w:pPr>
            <w:r>
              <w:rPr>
                <w:rFonts w:ascii="Arial" w:cs="Arial" w:eastAsia="Arial" w:hAnsi="Arial"/>
                <w:sz w:val="13"/>
                <w:szCs w:val="13"/>
                <w:b w:val="1"/>
                <w:bCs w:val="1"/>
                <w:color w:val="auto"/>
              </w:rPr>
              <w:t>June 30,</w:t>
            </w: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gridSpan w:val="3"/>
          </w:tcPr>
          <w:p>
            <w:pPr>
              <w:jc w:val="center"/>
              <w:ind w:right="660"/>
              <w:spacing w:after="0"/>
              <w:rPr>
                <w:sz w:val="20"/>
                <w:szCs w:val="20"/>
                <w:color w:val="auto"/>
              </w:rPr>
            </w:pPr>
            <w:r>
              <w:rPr>
                <w:rFonts w:ascii="Arial" w:cs="Arial" w:eastAsia="Arial" w:hAnsi="Arial"/>
                <w:sz w:val="13"/>
                <w:szCs w:val="13"/>
                <w:b w:val="1"/>
                <w:bCs w:val="1"/>
                <w:color w:val="auto"/>
                <w:w w:val="84"/>
              </w:rPr>
              <w:t>June 30,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560" w:type="dxa"/>
            <w:vAlign w:val="bottom"/>
            <w:tcBorders>
              <w:top w:val="single" w:sz="8" w:color="auto"/>
            </w:tcBorders>
          </w:tcPr>
          <w:p>
            <w:pPr>
              <w:jc w:val="right"/>
              <w:ind w:right="87"/>
              <w:spacing w:after="0" w:line="132" w:lineRule="exact"/>
              <w:rPr>
                <w:sz w:val="20"/>
                <w:szCs w:val="20"/>
                <w:color w:val="auto"/>
              </w:rPr>
            </w:pPr>
            <w:r>
              <w:rPr>
                <w:rFonts w:ascii="Arial" w:cs="Arial" w:eastAsia="Arial" w:hAnsi="Arial"/>
                <w:sz w:val="13"/>
                <w:szCs w:val="13"/>
                <w:b w:val="1"/>
                <w:bCs w:val="1"/>
                <w:color w:val="auto"/>
              </w:rPr>
              <w:t>2015</w:t>
            </w:r>
          </w:p>
        </w:tc>
        <w:tc>
          <w:tcPr>
            <w:tcW w:w="2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right"/>
              <w:ind w:right="58"/>
              <w:spacing w:after="0" w:line="132" w:lineRule="exact"/>
              <w:rPr>
                <w:sz w:val="20"/>
                <w:szCs w:val="20"/>
                <w:color w:val="auto"/>
              </w:rPr>
            </w:pPr>
            <w:r>
              <w:rPr>
                <w:rFonts w:ascii="Arial" w:cs="Arial" w:eastAsia="Arial" w:hAnsi="Arial"/>
                <w:sz w:val="13"/>
                <w:szCs w:val="13"/>
                <w:b w:val="1"/>
                <w:bCs w:val="1"/>
                <w:color w:val="auto"/>
              </w:rPr>
              <w:t>2014</w:t>
            </w:r>
          </w:p>
        </w:tc>
        <w:tc>
          <w:tcPr>
            <w:tcW w:w="500" w:type="dxa"/>
            <w:vAlign w:val="bottom"/>
          </w:tcPr>
          <w:p>
            <w:pPr>
              <w:spacing w:after="0"/>
              <w:rPr>
                <w:sz w:val="11"/>
                <w:szCs w:val="11"/>
                <w:color w:val="auto"/>
              </w:rPr>
            </w:pPr>
          </w:p>
        </w:tc>
        <w:tc>
          <w:tcPr>
            <w:tcW w:w="560" w:type="dxa"/>
            <w:vAlign w:val="bottom"/>
            <w:tcBorders>
              <w:top w:val="single" w:sz="8" w:color="auto"/>
            </w:tcBorders>
          </w:tcPr>
          <w:p>
            <w:pPr>
              <w:jc w:val="right"/>
              <w:ind w:right="90"/>
              <w:spacing w:after="0" w:line="132" w:lineRule="exact"/>
              <w:rPr>
                <w:sz w:val="20"/>
                <w:szCs w:val="20"/>
                <w:color w:val="auto"/>
              </w:rPr>
            </w:pPr>
            <w:r>
              <w:rPr>
                <w:rFonts w:ascii="Arial" w:cs="Arial" w:eastAsia="Arial" w:hAnsi="Arial"/>
                <w:sz w:val="13"/>
                <w:szCs w:val="13"/>
                <w:b w:val="1"/>
                <w:bCs w:val="1"/>
                <w:color w:val="auto"/>
              </w:rPr>
              <w:t>2015</w:t>
            </w:r>
          </w:p>
        </w:tc>
        <w:tc>
          <w:tcPr>
            <w:tcW w:w="1040" w:type="dxa"/>
            <w:vAlign w:val="bottom"/>
            <w:tcBorders>
              <w:top w:val="single" w:sz="8" w:color="auto"/>
            </w:tcBorders>
            <w:gridSpan w:val="2"/>
          </w:tcPr>
          <w:p>
            <w:pPr>
              <w:jc w:val="right"/>
              <w:ind w:right="58"/>
              <w:spacing w:after="0" w:line="132" w:lineRule="exact"/>
              <w:rPr>
                <w:sz w:val="20"/>
                <w:szCs w:val="20"/>
                <w:color w:val="auto"/>
              </w:rPr>
            </w:pPr>
            <w:r>
              <w:rPr>
                <w:rFonts w:ascii="Arial" w:cs="Arial" w:eastAsia="Arial" w:hAnsi="Arial"/>
                <w:sz w:val="13"/>
                <w:szCs w:val="13"/>
                <w:b w:val="1"/>
                <w:bCs w:val="1"/>
                <w:color w:val="auto"/>
              </w:rPr>
              <w:t>2014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Amortization, net of forfeitures</w:t>
            </w:r>
          </w:p>
        </w:tc>
        <w:tc>
          <w:tcPr>
            <w:tcW w:w="25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$18,260</w:t>
            </w: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$21,603</w:t>
            </w:r>
          </w:p>
        </w:tc>
        <w:tc>
          <w:tcPr>
            <w:tcW w:w="5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$44,924</w:t>
            </w:r>
          </w:p>
        </w:tc>
        <w:tc>
          <w:tcPr>
            <w:tcW w:w="5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$41,916</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tcPr>
          <w:p>
            <w:pPr>
              <w:spacing w:after="0"/>
              <w:rPr>
                <w:sz w:val="20"/>
                <w:szCs w:val="20"/>
                <w:color w:val="auto"/>
              </w:rPr>
            </w:pPr>
            <w:r>
              <w:rPr>
                <w:rFonts w:ascii="Arial" w:cs="Arial" w:eastAsia="Arial" w:hAnsi="Arial"/>
                <w:sz w:val="16"/>
                <w:szCs w:val="16"/>
                <w:color w:val="auto"/>
              </w:rPr>
              <w:t>Change in the fair value of underlying investments</w:t>
            </w:r>
          </w:p>
        </w:tc>
        <w:tc>
          <w:tcPr>
            <w:tcW w:w="256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(1,894)</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8,906</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2,242</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11,532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25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16,366</w:t>
            </w:r>
          </w:p>
        </w:tc>
        <w:tc>
          <w:tcPr>
            <w:tcW w:w="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30,509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47,166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53,448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560" w:type="dxa"/>
            <w:vAlign w:val="bottom"/>
            <w:vMerge w:val="restart"/>
          </w:tcPr>
          <w:p>
            <w:pPr>
              <w:jc w:val="right"/>
              <w:ind w:right="1398"/>
              <w:spacing w:after="0"/>
              <w:rPr>
                <w:sz w:val="20"/>
                <w:szCs w:val="20"/>
                <w:color w:val="auto"/>
              </w:rPr>
            </w:pPr>
            <w:r>
              <w:rPr>
                <w:rFonts w:ascii="Arial" w:cs="Arial" w:eastAsia="Arial" w:hAnsi="Arial"/>
                <w:sz w:val="16"/>
                <w:szCs w:val="16"/>
                <w:color w:val="auto"/>
              </w:rPr>
              <w:t>33</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40" w:right="39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LAZARD LTD</w:t>
      </w:r>
    </w:p>
    <w:p>
      <w:pPr>
        <w:spacing w:after="0" w:line="94"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auto"/>
        </w:rPr>
        <w:t>NOTES TO CONDENSED CONSOLIDATED FINANCIAL STATEMENTS—(Continued)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except for per share data, unless otherwise noted)</w:t>
      </w:r>
    </w:p>
    <w:p>
      <w:pPr>
        <w:spacing w:after="0" w:line="152" w:lineRule="exact"/>
        <w:rPr>
          <w:sz w:val="20"/>
          <w:szCs w:val="20"/>
          <w:color w:val="auto"/>
        </w:rPr>
      </w:pPr>
    </w:p>
    <w:p>
      <w:pPr>
        <w:ind w:left="460" w:hanging="459"/>
        <w:spacing w:after="0"/>
        <w:tabs>
          <w:tab w:leader="none" w:pos="460" w:val="left"/>
        </w:tabs>
        <w:numPr>
          <w:ilvl w:val="0"/>
          <w:numId w:val="2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EMPLOYEE BENEFIT PLANS</w:t>
      </w:r>
    </w:p>
    <w:p>
      <w:pPr>
        <w:spacing w:after="0" w:line="94" w:lineRule="exact"/>
        <w:rPr>
          <w:sz w:val="20"/>
          <w:szCs w:val="20"/>
          <w:color w:val="auto"/>
        </w:rPr>
      </w:pPr>
    </w:p>
    <w:p>
      <w:pPr>
        <w:ind w:right="200" w:firstLine="457"/>
        <w:spacing w:after="0" w:line="272" w:lineRule="auto"/>
        <w:rPr>
          <w:sz w:val="20"/>
          <w:szCs w:val="20"/>
          <w:color w:val="auto"/>
        </w:rPr>
      </w:pPr>
      <w:r>
        <w:rPr>
          <w:rFonts w:ascii="Arial" w:cs="Arial" w:eastAsia="Arial" w:hAnsi="Arial"/>
          <w:sz w:val="16"/>
          <w:szCs w:val="16"/>
          <w:color w:val="auto"/>
        </w:rPr>
        <w:t>The Company provides retirement and other post-retirement benefits to certain of its employees through defined benefit pension plans (the “pension plans”) and, in the U.S., a partially funded contributory post-retirement plan covering qualifying U.S. employees (the “medical plan” and together with the pension plans, the “post-retirement plans”). The Company also offers defined contribution plans to its employees. The post-retirement plans generally provide benefits to participants based on average levels of compensation. Expenses related to the Company’s employee benefit plans are included in “compensation and benefits” expense on the condensed consolidated statements of operations.</w:t>
      </w:r>
    </w:p>
    <w:p>
      <w:pPr>
        <w:spacing w:after="0" w:line="121" w:lineRule="exact"/>
        <w:rPr>
          <w:sz w:val="20"/>
          <w:szCs w:val="20"/>
          <w:color w:val="auto"/>
        </w:rPr>
      </w:pPr>
    </w:p>
    <w:p>
      <w:pPr>
        <w:ind w:right="360" w:firstLine="457"/>
        <w:spacing w:after="0" w:line="372" w:lineRule="auto"/>
        <w:rPr>
          <w:sz w:val="20"/>
          <w:szCs w:val="20"/>
          <w:color w:val="auto"/>
        </w:rPr>
      </w:pPr>
      <w:r>
        <w:rPr>
          <w:rFonts w:ascii="Arial" w:cs="Arial" w:eastAsia="Arial" w:hAnsi="Arial"/>
          <w:sz w:val="14"/>
          <w:szCs w:val="14"/>
          <w:b w:val="1"/>
          <w:bCs w:val="1"/>
          <w:i w:val="1"/>
          <w:iCs w:val="1"/>
          <w:color w:val="auto"/>
        </w:rPr>
        <w:t>Employer Contributions to Pension Plans</w:t>
      </w:r>
      <w:r>
        <w:rPr>
          <w:rFonts w:ascii="Arial" w:cs="Arial" w:eastAsia="Arial" w:hAnsi="Arial"/>
          <w:sz w:val="14"/>
          <w:szCs w:val="14"/>
          <w:color w:val="auto"/>
        </w:rPr>
        <w:t>—The Company’s funding policy for its U.S. and non-U.S. pension plans is to fund when required or when applicable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upon an agreement with the plans’ trustees (the “Trustees”). Management also evaluates from time to time whether to make voluntary contributions to the plans.</w:t>
      </w:r>
    </w:p>
    <w:p>
      <w:pPr>
        <w:spacing w:after="0" w:line="58" w:lineRule="exact"/>
        <w:rPr>
          <w:sz w:val="20"/>
          <w:szCs w:val="20"/>
          <w:color w:val="auto"/>
        </w:rPr>
      </w:pPr>
    </w:p>
    <w:p>
      <w:pPr>
        <w:ind w:right="20" w:firstLine="457"/>
        <w:spacing w:after="0" w:line="290" w:lineRule="auto"/>
        <w:rPr>
          <w:sz w:val="20"/>
          <w:szCs w:val="20"/>
          <w:color w:val="auto"/>
        </w:rPr>
      </w:pPr>
      <w:r>
        <w:rPr>
          <w:rFonts w:ascii="Arial" w:cs="Arial" w:eastAsia="Arial" w:hAnsi="Arial"/>
          <w:sz w:val="15"/>
          <w:szCs w:val="15"/>
          <w:color w:val="auto"/>
        </w:rPr>
        <w:t>On March 31, 2015, the Company and the Trustees of the U.K. defined benefit pension plans concluded the December 31, 2013 triennial valuations of the plans. In connection with such valuations, the Company and the Trustees agreed upon pension funding terms pursuant to which the Company agreed, among other things, (i) to make contributions of 11.2 million British pounds into the plans by way of three equal contributions at June 30, September 30 and December 31, 2015, and (ii) that the Company’s existing account security arrangement would be dissolved and the cash balance within such accounts would be paid into the plans by June 30, 2015. On June 4, 2015, the full balance of 11.2 million British pounds in the account security arrangement was paid into the plans. At December 31, 2014, the balance of the account security arrangement was $17,500 and was recorded in “cash deposited with clearing organizations and other segregated cash” on the accompanying condensed consolidated statements of financial condition. Income on the account security arrangement accreted to the Company and is recorded in interest income.</w:t>
      </w:r>
    </w:p>
    <w:p>
      <w:pPr>
        <w:spacing w:after="0" w:line="110" w:lineRule="exact"/>
        <w:rPr>
          <w:sz w:val="20"/>
          <w:szCs w:val="20"/>
          <w:color w:val="auto"/>
        </w:rPr>
      </w:pPr>
    </w:p>
    <w:p>
      <w:pPr>
        <w:ind w:right="20" w:firstLine="457"/>
        <w:spacing w:after="0" w:line="296" w:lineRule="auto"/>
        <w:rPr>
          <w:sz w:val="20"/>
          <w:szCs w:val="20"/>
          <w:color w:val="auto"/>
        </w:rPr>
      </w:pPr>
      <w:r>
        <w:rPr>
          <w:rFonts w:ascii="Arial" w:cs="Arial" w:eastAsia="Arial" w:hAnsi="Arial"/>
          <w:sz w:val="16"/>
          <w:szCs w:val="16"/>
          <w:color w:val="auto"/>
        </w:rPr>
        <w:t>The following table summarizes the components of net periodic benefit cost (credit) related to the Company’s post-retirement plans for the three month and six month periods ended June 30, 2015 and 2014:</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458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gridSpan w:val="6"/>
          </w:tcPr>
          <w:p>
            <w:pPr>
              <w:jc w:val="right"/>
              <w:ind w:right="800"/>
              <w:spacing w:after="0"/>
              <w:rPr>
                <w:sz w:val="20"/>
                <w:szCs w:val="20"/>
                <w:color w:val="auto"/>
              </w:rPr>
            </w:pPr>
            <w:r>
              <w:rPr>
                <w:rFonts w:ascii="Arial" w:cs="Arial" w:eastAsia="Arial" w:hAnsi="Arial"/>
                <w:sz w:val="13"/>
                <w:szCs w:val="13"/>
                <w:b w:val="1"/>
                <w:bCs w:val="1"/>
                <w:color w:val="auto"/>
              </w:rPr>
              <w:t>Pension Plans</w:t>
            </w:r>
          </w:p>
        </w:tc>
        <w:tc>
          <w:tcPr>
            <w:tcW w:w="100" w:type="dxa"/>
            <w:vAlign w:val="bottom"/>
          </w:tcPr>
          <w:p>
            <w:pPr>
              <w:spacing w:after="0"/>
              <w:rPr>
                <w:sz w:val="13"/>
                <w:szCs w:val="13"/>
                <w:color w:val="auto"/>
              </w:rPr>
            </w:pPr>
          </w:p>
        </w:tc>
        <w:tc>
          <w:tcPr>
            <w:tcW w:w="1420" w:type="dxa"/>
            <w:vAlign w:val="bottom"/>
            <w:gridSpan w:val="6"/>
          </w:tcPr>
          <w:p>
            <w:pPr>
              <w:jc w:val="right"/>
              <w:ind w:right="460"/>
              <w:spacing w:after="0"/>
              <w:rPr>
                <w:sz w:val="20"/>
                <w:szCs w:val="20"/>
                <w:color w:val="auto"/>
              </w:rPr>
            </w:pPr>
            <w:r>
              <w:rPr>
                <w:rFonts w:ascii="Arial" w:cs="Arial" w:eastAsia="Arial" w:hAnsi="Arial"/>
                <w:sz w:val="13"/>
                <w:szCs w:val="13"/>
                <w:b w:val="1"/>
                <w:bCs w:val="1"/>
                <w:color w:val="auto"/>
              </w:rPr>
              <w:t>Medical Plan</w:t>
            </w:r>
          </w:p>
        </w:tc>
        <w:tc>
          <w:tcPr>
            <w:tcW w:w="0" w:type="dxa"/>
            <w:vAlign w:val="bottom"/>
          </w:tcPr>
          <w:p>
            <w:pPr>
              <w:spacing w:after="0"/>
              <w:rPr>
                <w:sz w:val="1"/>
                <w:szCs w:val="1"/>
                <w:color w:val="auto"/>
              </w:rPr>
            </w:pPr>
          </w:p>
        </w:tc>
      </w:tr>
      <w:tr>
        <w:trPr>
          <w:trHeight w:val="132"/>
        </w:trPr>
        <w:tc>
          <w:tcPr>
            <w:tcW w:w="45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940" w:type="dxa"/>
            <w:vAlign w:val="bottom"/>
            <w:tcBorders>
              <w:top w:val="single" w:sz="8" w:color="auto"/>
              <w:bottom w:val="single" w:sz="8" w:color="auto"/>
            </w:tcBorders>
            <w:gridSpan w:val="7"/>
          </w:tcPr>
          <w:p>
            <w:pPr>
              <w:jc w:val="right"/>
              <w:ind w:right="160"/>
              <w:spacing w:after="0" w:line="132" w:lineRule="exact"/>
              <w:rPr>
                <w:sz w:val="20"/>
                <w:szCs w:val="20"/>
                <w:color w:val="auto"/>
              </w:rPr>
            </w:pPr>
            <w:r>
              <w:rPr>
                <w:rFonts w:ascii="Arial" w:cs="Arial" w:eastAsia="Arial" w:hAnsi="Arial"/>
                <w:sz w:val="13"/>
                <w:szCs w:val="13"/>
                <w:b w:val="1"/>
                <w:bCs w:val="1"/>
                <w:color w:val="auto"/>
                <w:w w:val="95"/>
              </w:rPr>
              <w:t>Three Months Ended June 30,</w:t>
            </w:r>
          </w:p>
        </w:tc>
        <w:tc>
          <w:tcPr>
            <w:tcW w:w="1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580" w:type="dxa"/>
            <w:vAlign w:val="bottom"/>
            <w:tcBorders>
              <w:bottom w:val="single" w:sz="8" w:color="CCEEFF"/>
            </w:tcBorders>
          </w:tcPr>
          <w:p>
            <w:pPr>
              <w:spacing w:after="0"/>
              <w:rPr>
                <w:sz w:val="11"/>
                <w:szCs w:val="11"/>
                <w:color w:val="auto"/>
              </w:rPr>
            </w:pPr>
          </w:p>
        </w:tc>
        <w:tc>
          <w:tcPr>
            <w:tcW w:w="34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63"/>
              <w:spacing w:after="0" w:line="132" w:lineRule="exact"/>
              <w:rPr>
                <w:sz w:val="20"/>
                <w:szCs w:val="20"/>
                <w:color w:val="auto"/>
              </w:rPr>
            </w:pPr>
            <w:r>
              <w:rPr>
                <w:rFonts w:ascii="Arial" w:cs="Arial" w:eastAsia="Arial" w:hAnsi="Arial"/>
                <w:sz w:val="13"/>
                <w:szCs w:val="13"/>
                <w:b w:val="1"/>
                <w:bCs w:val="1"/>
                <w:color w:val="auto"/>
                <w:w w:val="96"/>
              </w:rPr>
              <w:t>2015</w:t>
            </w:r>
          </w:p>
        </w:tc>
        <w:tc>
          <w:tcPr>
            <w:tcW w:w="18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40"/>
              <w:spacing w:after="0" w:line="132" w:lineRule="exact"/>
              <w:rPr>
                <w:sz w:val="20"/>
                <w:szCs w:val="20"/>
                <w:color w:val="auto"/>
              </w:rPr>
            </w:pPr>
            <w:r>
              <w:rPr>
                <w:rFonts w:ascii="Arial" w:cs="Arial" w:eastAsia="Arial" w:hAnsi="Arial"/>
                <w:sz w:val="13"/>
                <w:szCs w:val="13"/>
                <w:b w:val="1"/>
                <w:bCs w:val="1"/>
                <w:color w:val="auto"/>
                <w:w w:val="96"/>
              </w:rPr>
              <w:t>2014</w:t>
            </w:r>
          </w:p>
        </w:tc>
        <w:tc>
          <w:tcPr>
            <w:tcW w:w="4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43"/>
              <w:spacing w:after="0" w:line="132" w:lineRule="exact"/>
              <w:rPr>
                <w:sz w:val="20"/>
                <w:szCs w:val="20"/>
                <w:color w:val="auto"/>
              </w:rPr>
            </w:pPr>
            <w:r>
              <w:rPr>
                <w:rFonts w:ascii="Arial" w:cs="Arial" w:eastAsia="Arial" w:hAnsi="Arial"/>
                <w:sz w:val="13"/>
                <w:szCs w:val="13"/>
                <w:b w:val="1"/>
                <w:bCs w:val="1"/>
                <w:color w:val="auto"/>
                <w:w w:val="89"/>
              </w:rPr>
              <w:t>2015</w:t>
            </w:r>
          </w:p>
        </w:tc>
        <w:tc>
          <w:tcPr>
            <w:tcW w:w="24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40"/>
              <w:spacing w:after="0" w:line="132" w:lineRule="exact"/>
              <w:rPr>
                <w:sz w:val="20"/>
                <w:szCs w:val="20"/>
                <w:color w:val="auto"/>
              </w:rPr>
            </w:pPr>
            <w:r>
              <w:rPr>
                <w:rFonts w:ascii="Arial" w:cs="Arial" w:eastAsia="Arial" w:hAnsi="Arial"/>
                <w:sz w:val="13"/>
                <w:szCs w:val="13"/>
                <w:b w:val="1"/>
                <w:bCs w:val="1"/>
                <w:color w:val="auto"/>
                <w:w w:val="89"/>
              </w:rPr>
              <w:t>2014</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580" w:type="dxa"/>
            <w:vAlign w:val="bottom"/>
            <w:shd w:val="clear" w:color="auto" w:fill="CCEEFF"/>
          </w:tcPr>
          <w:p>
            <w:pPr>
              <w:spacing w:after="0" w:line="182" w:lineRule="exact"/>
              <w:rPr>
                <w:sz w:val="20"/>
                <w:szCs w:val="20"/>
                <w:color w:val="auto"/>
              </w:rPr>
            </w:pPr>
            <w:r>
              <w:rPr>
                <w:rFonts w:ascii="Arial" w:cs="Arial" w:eastAsia="Arial" w:hAnsi="Arial"/>
                <w:sz w:val="16"/>
                <w:szCs w:val="16"/>
                <w:b w:val="1"/>
                <w:bCs w:val="1"/>
                <w:color w:val="auto"/>
              </w:rPr>
              <w:t>Components of Net Periodic Benefit Cost (Credit):</w:t>
            </w:r>
          </w:p>
        </w:tc>
        <w:tc>
          <w:tcPr>
            <w:tcW w:w="3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580" w:type="dxa"/>
            <w:vAlign w:val="bottom"/>
          </w:tcPr>
          <w:p>
            <w:pPr>
              <w:ind w:left="200"/>
              <w:spacing w:after="0"/>
              <w:rPr>
                <w:sz w:val="20"/>
                <w:szCs w:val="20"/>
                <w:color w:val="auto"/>
              </w:rPr>
            </w:pPr>
            <w:r>
              <w:rPr>
                <w:rFonts w:ascii="Arial" w:cs="Arial" w:eastAsia="Arial" w:hAnsi="Arial"/>
                <w:sz w:val="16"/>
                <w:szCs w:val="16"/>
                <w:color w:val="auto"/>
              </w:rPr>
              <w:t>Service cost</w:t>
            </w:r>
          </w:p>
        </w:tc>
        <w:tc>
          <w:tcPr>
            <w:tcW w:w="35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353</w:t>
            </w:r>
          </w:p>
        </w:tc>
        <w:tc>
          <w:tcPr>
            <w:tcW w:w="180" w:type="dxa"/>
            <w:vAlign w:val="bottom"/>
          </w:tcPr>
          <w:p>
            <w:pPr>
              <w:spacing w:after="0"/>
              <w:rPr>
                <w:sz w:val="17"/>
                <w:szCs w:val="17"/>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440"/>
              <w:spacing w:after="0"/>
              <w:rPr>
                <w:sz w:val="20"/>
                <w:szCs w:val="20"/>
                <w:color w:val="auto"/>
              </w:rPr>
            </w:pPr>
            <w:r>
              <w:rPr>
                <w:rFonts w:ascii="Arial" w:cs="Arial" w:eastAsia="Arial" w:hAnsi="Arial"/>
                <w:sz w:val="16"/>
                <w:szCs w:val="16"/>
                <w:color w:val="auto"/>
              </w:rPr>
              <w:t>228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17"/>
                <w:szCs w:val="17"/>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2"/>
        </w:trPr>
        <w:tc>
          <w:tcPr>
            <w:tcW w:w="4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 cost</w:t>
            </w:r>
          </w:p>
        </w:tc>
        <w:tc>
          <w:tcPr>
            <w:tcW w:w="3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6,153</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w w:val="99"/>
              </w:rPr>
              <w:t>7,640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2"/>
        </w:trPr>
        <w:tc>
          <w:tcPr>
            <w:tcW w:w="4580" w:type="dxa"/>
            <w:vAlign w:val="bottom"/>
          </w:tcPr>
          <w:p>
            <w:pPr>
              <w:ind w:left="200"/>
              <w:spacing w:after="0"/>
              <w:rPr>
                <w:sz w:val="20"/>
                <w:szCs w:val="20"/>
                <w:color w:val="auto"/>
              </w:rPr>
            </w:pPr>
            <w:r>
              <w:rPr>
                <w:rFonts w:ascii="Arial" w:cs="Arial" w:eastAsia="Arial" w:hAnsi="Arial"/>
                <w:sz w:val="16"/>
                <w:szCs w:val="16"/>
                <w:color w:val="auto"/>
              </w:rPr>
              <w:t>Expected return on plan assets</w:t>
            </w:r>
          </w:p>
        </w:tc>
        <w:tc>
          <w:tcPr>
            <w:tcW w:w="3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w w:val="94"/>
              </w:rPr>
              <w:t>(7,019)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6"/>
                <w:szCs w:val="16"/>
                <w:color w:val="auto"/>
                <w:w w:val="90"/>
              </w:rPr>
              <w:t>(8,228)</w:t>
            </w:r>
          </w:p>
        </w:tc>
        <w:tc>
          <w:tcPr>
            <w:tcW w:w="100" w:type="dxa"/>
            <w:vAlign w:val="bottom"/>
          </w:tcPr>
          <w:p>
            <w:pPr>
              <w:spacing w:after="0"/>
              <w:rPr>
                <w:sz w:val="17"/>
                <w:szCs w:val="17"/>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4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Amortization of:</w:t>
            </w:r>
          </w:p>
        </w:tc>
        <w:tc>
          <w:tcPr>
            <w:tcW w:w="3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80" w:type="dxa"/>
            <w:vAlign w:val="bottom"/>
          </w:tcPr>
          <w:p>
            <w:pPr>
              <w:ind w:left="400"/>
              <w:spacing w:after="0"/>
              <w:rPr>
                <w:sz w:val="20"/>
                <w:szCs w:val="20"/>
                <w:color w:val="auto"/>
              </w:rPr>
            </w:pPr>
            <w:r>
              <w:rPr>
                <w:rFonts w:ascii="Arial" w:cs="Arial" w:eastAsia="Arial" w:hAnsi="Arial"/>
                <w:sz w:val="16"/>
                <w:szCs w:val="16"/>
                <w:color w:val="auto"/>
              </w:rPr>
              <w:t>Prior service cost</w:t>
            </w:r>
          </w:p>
        </w:tc>
        <w:tc>
          <w:tcPr>
            <w:tcW w:w="3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591</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6"/>
                <w:szCs w:val="16"/>
                <w:color w:val="auto"/>
              </w:rPr>
              <w:t>735</w:t>
            </w:r>
          </w:p>
        </w:tc>
        <w:tc>
          <w:tcPr>
            <w:tcW w:w="100" w:type="dxa"/>
            <w:vAlign w:val="bottom"/>
          </w:tcPr>
          <w:p>
            <w:pPr>
              <w:spacing w:after="0"/>
              <w:rPr>
                <w:sz w:val="17"/>
                <w:szCs w:val="17"/>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45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Net actuarial loss (gain)</w:t>
            </w:r>
          </w:p>
        </w:tc>
        <w:tc>
          <w:tcPr>
            <w:tcW w:w="3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w w:val="99"/>
              </w:rPr>
              <w:t>1,118</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6"/>
                <w:szCs w:val="16"/>
                <w:color w:val="auto"/>
              </w:rPr>
              <w:t>Net periodic benefit cost (credit)</w:t>
            </w:r>
          </w:p>
        </w:tc>
        <w:tc>
          <w:tcPr>
            <w:tcW w:w="3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580" w:type="dxa"/>
            <w:vAlign w:val="bottom"/>
            <w:vMerge w:val="continue"/>
          </w:tcPr>
          <w:p>
            <w:pPr>
              <w:spacing w:after="0"/>
              <w:rPr>
                <w:sz w:val="17"/>
                <w:szCs w:val="17"/>
                <w:color w:val="auto"/>
              </w:rPr>
            </w:pPr>
          </w:p>
        </w:tc>
        <w:tc>
          <w:tcPr>
            <w:tcW w:w="35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1,215</w:t>
            </w:r>
          </w:p>
        </w:tc>
        <w:tc>
          <w:tcPr>
            <w:tcW w:w="180" w:type="dxa"/>
            <w:vAlign w:val="bottom"/>
          </w:tcPr>
          <w:p>
            <w:pPr>
              <w:spacing w:after="0"/>
              <w:rPr>
                <w:sz w:val="17"/>
                <w:szCs w:val="17"/>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440"/>
              <w:spacing w:after="0"/>
              <w:rPr>
                <w:sz w:val="20"/>
                <w:szCs w:val="20"/>
                <w:color w:val="auto"/>
              </w:rPr>
            </w:pPr>
            <w:r>
              <w:rPr>
                <w:rFonts w:ascii="Arial" w:cs="Arial" w:eastAsia="Arial" w:hAnsi="Arial"/>
                <w:sz w:val="16"/>
                <w:szCs w:val="16"/>
                <w:color w:val="auto"/>
                <w:w w:val="99"/>
              </w:rPr>
              <w:t>1,493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46</w:t>
            </w:r>
          </w:p>
        </w:tc>
        <w:tc>
          <w:tcPr>
            <w:tcW w:w="240" w:type="dxa"/>
            <w:vAlign w:val="bottom"/>
          </w:tcPr>
          <w:p>
            <w:pPr>
              <w:spacing w:after="0"/>
              <w:rPr>
                <w:sz w:val="17"/>
                <w:szCs w:val="17"/>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420" w:type="dxa"/>
            <w:vAlign w:val="bottom"/>
            <w:vMerge w:val="restart"/>
          </w:tcPr>
          <w:p>
            <w:pPr>
              <w:jc w:val="right"/>
              <w:ind w:right="2118"/>
              <w:spacing w:after="0"/>
              <w:rPr>
                <w:sz w:val="20"/>
                <w:szCs w:val="20"/>
                <w:color w:val="auto"/>
              </w:rPr>
            </w:pPr>
            <w:r>
              <w:rPr>
                <w:rFonts w:ascii="Arial" w:cs="Arial" w:eastAsia="Arial" w:hAnsi="Arial"/>
                <w:sz w:val="16"/>
                <w:szCs w:val="16"/>
                <w:color w:val="auto"/>
              </w:rPr>
              <w:t>34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58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0" w:right="23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LAZARD LTD</w:t>
      </w:r>
    </w:p>
    <w:p>
      <w:pPr>
        <w:spacing w:after="0" w:line="94"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auto"/>
        </w:rPr>
        <w:t>NOTES TO CONDENSED CONSOLIDATED FINANCIAL STATEMENTS—(Continued)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except for per share data,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gridSpan w:val="6"/>
          </w:tcPr>
          <w:p>
            <w:pPr>
              <w:jc w:val="right"/>
              <w:ind w:right="680"/>
              <w:spacing w:after="0"/>
              <w:rPr>
                <w:sz w:val="20"/>
                <w:szCs w:val="20"/>
                <w:color w:val="auto"/>
              </w:rPr>
            </w:pPr>
            <w:r>
              <w:rPr>
                <w:rFonts w:ascii="Arial" w:cs="Arial" w:eastAsia="Arial" w:hAnsi="Arial"/>
                <w:sz w:val="13"/>
                <w:szCs w:val="13"/>
                <w:b w:val="1"/>
                <w:bCs w:val="1"/>
                <w:color w:val="auto"/>
              </w:rPr>
              <w:t>Pension Plans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6"/>
          </w:tcPr>
          <w:p>
            <w:pPr>
              <w:jc w:val="right"/>
              <w:ind w:right="440"/>
              <w:spacing w:after="0"/>
              <w:rPr>
                <w:sz w:val="20"/>
                <w:szCs w:val="20"/>
                <w:color w:val="auto"/>
              </w:rPr>
            </w:pPr>
            <w:r>
              <w:rPr>
                <w:rFonts w:ascii="Arial" w:cs="Arial" w:eastAsia="Arial" w:hAnsi="Arial"/>
                <w:sz w:val="13"/>
                <w:szCs w:val="13"/>
                <w:b w:val="1"/>
                <w:bCs w:val="1"/>
                <w:color w:val="auto"/>
              </w:rPr>
              <w:t>Medical Plan</w:t>
            </w:r>
          </w:p>
        </w:tc>
        <w:tc>
          <w:tcPr>
            <w:tcW w:w="0" w:type="dxa"/>
            <w:vAlign w:val="bottom"/>
          </w:tcPr>
          <w:p>
            <w:pPr>
              <w:spacing w:after="0"/>
              <w:rPr>
                <w:sz w:val="1"/>
                <w:szCs w:val="1"/>
                <w:color w:val="auto"/>
              </w:rPr>
            </w:pPr>
          </w:p>
        </w:tc>
      </w:tr>
      <w:tr>
        <w:trPr>
          <w:trHeight w:val="132"/>
        </w:trPr>
        <w:tc>
          <w:tcPr>
            <w:tcW w:w="786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940" w:type="dxa"/>
            <w:vAlign w:val="bottom"/>
            <w:tcBorders>
              <w:top w:val="single" w:sz="8" w:color="auto"/>
              <w:bottom w:val="single" w:sz="8" w:color="auto"/>
            </w:tcBorders>
            <w:gridSpan w:val="8"/>
          </w:tcPr>
          <w:p>
            <w:pPr>
              <w:ind w:left="180"/>
              <w:spacing w:after="0" w:line="132" w:lineRule="exact"/>
              <w:rPr>
                <w:sz w:val="20"/>
                <w:szCs w:val="20"/>
                <w:color w:val="auto"/>
              </w:rPr>
            </w:pPr>
            <w:r>
              <w:rPr>
                <w:rFonts w:ascii="Arial" w:cs="Arial" w:eastAsia="Arial" w:hAnsi="Arial"/>
                <w:sz w:val="13"/>
                <w:szCs w:val="13"/>
                <w:b w:val="1"/>
                <w:bCs w:val="1"/>
                <w:color w:val="auto"/>
              </w:rPr>
              <w:t>Six Months Ended June 30,</w:t>
            </w:r>
          </w:p>
        </w:tc>
        <w:tc>
          <w:tcPr>
            <w:tcW w:w="20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8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03"/>
              <w:spacing w:after="0" w:line="132" w:lineRule="exact"/>
              <w:rPr>
                <w:sz w:val="20"/>
                <w:szCs w:val="20"/>
                <w:color w:val="auto"/>
              </w:rPr>
            </w:pPr>
            <w:r>
              <w:rPr>
                <w:rFonts w:ascii="Arial" w:cs="Arial" w:eastAsia="Arial" w:hAnsi="Arial"/>
                <w:sz w:val="13"/>
                <w:szCs w:val="13"/>
                <w:b w:val="1"/>
                <w:bCs w:val="1"/>
                <w:color w:val="auto"/>
              </w:rPr>
              <w:t>2015</w:t>
            </w:r>
          </w:p>
        </w:tc>
        <w:tc>
          <w:tcPr>
            <w:tcW w:w="2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00"/>
              <w:spacing w:after="0" w:line="132" w:lineRule="exact"/>
              <w:rPr>
                <w:sz w:val="20"/>
                <w:szCs w:val="20"/>
                <w:color w:val="auto"/>
              </w:rPr>
            </w:pPr>
            <w:r>
              <w:rPr>
                <w:rFonts w:ascii="Arial" w:cs="Arial" w:eastAsia="Arial" w:hAnsi="Arial"/>
                <w:sz w:val="13"/>
                <w:szCs w:val="13"/>
                <w:b w:val="1"/>
                <w:bCs w:val="1"/>
                <w:color w:val="auto"/>
              </w:rPr>
              <w:t>2014</w:t>
            </w:r>
          </w:p>
        </w:tc>
        <w:tc>
          <w:tcPr>
            <w:tcW w:w="22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63"/>
              <w:spacing w:after="0" w:line="132" w:lineRule="exact"/>
              <w:rPr>
                <w:sz w:val="20"/>
                <w:szCs w:val="20"/>
                <w:color w:val="auto"/>
              </w:rPr>
            </w:pPr>
            <w:r>
              <w:rPr>
                <w:rFonts w:ascii="Arial" w:cs="Arial" w:eastAsia="Arial" w:hAnsi="Arial"/>
                <w:sz w:val="13"/>
                <w:szCs w:val="13"/>
                <w:b w:val="1"/>
                <w:bCs w:val="1"/>
                <w:color w:val="auto"/>
                <w:w w:val="82"/>
              </w:rPr>
              <w:t>2015</w:t>
            </w:r>
          </w:p>
        </w:tc>
        <w:tc>
          <w:tcPr>
            <w:tcW w:w="20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40"/>
              <w:spacing w:after="0" w:line="132" w:lineRule="exact"/>
              <w:rPr>
                <w:sz w:val="20"/>
                <w:szCs w:val="20"/>
                <w:color w:val="auto"/>
              </w:rPr>
            </w:pPr>
            <w:r>
              <w:rPr>
                <w:rFonts w:ascii="Arial" w:cs="Arial" w:eastAsia="Arial" w:hAnsi="Arial"/>
                <w:sz w:val="13"/>
                <w:szCs w:val="13"/>
                <w:b w:val="1"/>
                <w:bCs w:val="1"/>
                <w:color w:val="auto"/>
                <w:w w:val="89"/>
              </w:rPr>
              <w:t>2014</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7860" w:type="dxa"/>
            <w:vAlign w:val="bottom"/>
            <w:shd w:val="clear" w:color="auto" w:fill="CCEEFF"/>
          </w:tcPr>
          <w:p>
            <w:pPr>
              <w:spacing w:after="0" w:line="182" w:lineRule="exact"/>
              <w:rPr>
                <w:sz w:val="20"/>
                <w:szCs w:val="20"/>
                <w:color w:val="auto"/>
              </w:rPr>
            </w:pPr>
            <w:r>
              <w:rPr>
                <w:rFonts w:ascii="Arial" w:cs="Arial" w:eastAsia="Arial" w:hAnsi="Arial"/>
                <w:sz w:val="16"/>
                <w:szCs w:val="16"/>
                <w:b w:val="1"/>
                <w:bCs w:val="1"/>
                <w:color w:val="auto"/>
              </w:rPr>
              <w:t>Components of Net Periodic Benefit Cost (Credit):</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860" w:type="dxa"/>
            <w:vAlign w:val="bottom"/>
          </w:tcPr>
          <w:p>
            <w:pPr>
              <w:ind w:left="200"/>
              <w:spacing w:after="0"/>
              <w:rPr>
                <w:sz w:val="20"/>
                <w:szCs w:val="20"/>
                <w:color w:val="auto"/>
              </w:rPr>
            </w:pPr>
            <w:r>
              <w:rPr>
                <w:rFonts w:ascii="Arial" w:cs="Arial" w:eastAsia="Arial" w:hAnsi="Arial"/>
                <w:sz w:val="16"/>
                <w:szCs w:val="16"/>
                <w:color w:val="auto"/>
              </w:rPr>
              <w:t>Service cost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713</w:t>
            </w:r>
          </w:p>
        </w:tc>
        <w:tc>
          <w:tcPr>
            <w:tcW w:w="22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451</w:t>
            </w:r>
          </w:p>
        </w:tc>
        <w:tc>
          <w:tcPr>
            <w:tcW w:w="22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13</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2"/>
        </w:trPr>
        <w:tc>
          <w:tcPr>
            <w:tcW w:w="78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 cost</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12,259</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02"/>
        </w:trPr>
        <w:tc>
          <w:tcPr>
            <w:tcW w:w="7860" w:type="dxa"/>
            <w:vAlign w:val="bottom"/>
          </w:tcPr>
          <w:p>
            <w:pPr>
              <w:ind w:left="200"/>
              <w:spacing w:after="0"/>
              <w:rPr>
                <w:sz w:val="20"/>
                <w:szCs w:val="20"/>
                <w:color w:val="auto"/>
              </w:rPr>
            </w:pPr>
            <w:r>
              <w:rPr>
                <w:rFonts w:ascii="Arial" w:cs="Arial" w:eastAsia="Arial" w:hAnsi="Arial"/>
                <w:sz w:val="16"/>
                <w:szCs w:val="16"/>
                <w:color w:val="auto"/>
              </w:rPr>
              <w:t>Expected return on plan assets</w:t>
            </w:r>
          </w:p>
        </w:tc>
        <w:tc>
          <w:tcPr>
            <w:tcW w:w="8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w w:val="93"/>
              </w:rPr>
              <w:t>(14,090)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w w:val="90"/>
              </w:rPr>
              <w:t>(16,307)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78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Amortization of:</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860" w:type="dxa"/>
            <w:vAlign w:val="bottom"/>
          </w:tcPr>
          <w:p>
            <w:pPr>
              <w:ind w:left="400"/>
              <w:spacing w:after="0"/>
              <w:rPr>
                <w:sz w:val="20"/>
                <w:szCs w:val="20"/>
                <w:color w:val="auto"/>
              </w:rPr>
            </w:pPr>
            <w:r>
              <w:rPr>
                <w:rFonts w:ascii="Arial" w:cs="Arial" w:eastAsia="Arial" w:hAnsi="Arial"/>
                <w:sz w:val="16"/>
                <w:szCs w:val="16"/>
                <w:color w:val="auto"/>
              </w:rPr>
              <w:t>Prior service cost</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1,194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1,468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78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Net actuarial loss (gain)</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2,283</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6"/>
                <w:szCs w:val="16"/>
                <w:color w:val="auto"/>
              </w:rPr>
              <w:t>Net periodic benefit cost (credit)</w:t>
            </w: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86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2,359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3,012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103</w:t>
            </w:r>
          </w:p>
        </w:tc>
        <w:tc>
          <w:tcPr>
            <w:tcW w:w="200" w:type="dxa"/>
            <w:vAlign w:val="bottom"/>
          </w:tcPr>
          <w:p>
            <w:pPr>
              <w:spacing w:after="0"/>
              <w:rPr>
                <w:sz w:val="17"/>
                <w:szCs w:val="17"/>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ind w:left="460" w:hanging="459"/>
        <w:spacing w:after="0"/>
        <w:tabs>
          <w:tab w:leader="none" w:pos="460" w:val="left"/>
        </w:tabs>
        <w:numPr>
          <w:ilvl w:val="0"/>
          <w:numId w:val="2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INCOME TAXES</w:t>
      </w:r>
    </w:p>
    <w:p>
      <w:pPr>
        <w:spacing w:after="0" w:line="94" w:lineRule="exact"/>
        <w:rPr>
          <w:sz w:val="20"/>
          <w:szCs w:val="20"/>
          <w:color w:val="auto"/>
        </w:rPr>
      </w:pPr>
    </w:p>
    <w:p>
      <w:pPr>
        <w:ind w:right="340" w:firstLine="457"/>
        <w:spacing w:after="0" w:line="306" w:lineRule="auto"/>
        <w:rPr>
          <w:sz w:val="20"/>
          <w:szCs w:val="20"/>
          <w:color w:val="auto"/>
        </w:rPr>
      </w:pPr>
      <w:r>
        <w:rPr>
          <w:rFonts w:ascii="Arial" w:cs="Arial" w:eastAsia="Arial" w:hAnsi="Arial"/>
          <w:sz w:val="15"/>
          <w:szCs w:val="15"/>
          <w:color w:val="auto"/>
        </w:rPr>
        <w:t>Lazard Ltd, through its subsidiaries, is subject to U.S. federal income taxes on all of its U.S. operating income, as well as on the portion of non-U.S. income attributable to its U.S. subsidiaries. Outside the U.S., Lazard Group operates principally through subsidiary corporations that are subject to local income taxes in foreign jurisdictions. Lazard Group is also subject to New York City Unincorporated Business Tax (“UBT”) attributable to its operations apportioned to New York City.</w:t>
      </w:r>
    </w:p>
    <w:p>
      <w:pPr>
        <w:spacing w:after="0" w:line="99" w:lineRule="exact"/>
        <w:rPr>
          <w:sz w:val="20"/>
          <w:szCs w:val="20"/>
          <w:color w:val="auto"/>
        </w:rPr>
      </w:pPr>
    </w:p>
    <w:p>
      <w:pPr>
        <w:ind w:right="360" w:firstLine="457"/>
        <w:spacing w:after="0" w:line="306" w:lineRule="auto"/>
        <w:rPr>
          <w:sz w:val="20"/>
          <w:szCs w:val="20"/>
          <w:color w:val="auto"/>
        </w:rPr>
      </w:pPr>
      <w:r>
        <w:rPr>
          <w:rFonts w:ascii="Arial" w:cs="Arial" w:eastAsia="Arial" w:hAnsi="Arial"/>
          <w:sz w:val="14"/>
          <w:szCs w:val="14"/>
          <w:color w:val="auto"/>
        </w:rPr>
        <w:t>The Company recorded income tax provisions (benefits) of $(1,176,531) and $(1,164,514) for the three month and six month periods ended June 30, 2015, respectively, and $13,071 and $34,822 for the three month and six month periods ended June 30, 2014, respectively, representing effective tax rates of 146.8%, 160.2%,</w:t>
      </w:r>
    </w:p>
    <w:p>
      <w:pPr>
        <w:ind w:right="80"/>
        <w:spacing w:after="0" w:line="295" w:lineRule="auto"/>
        <w:rPr>
          <w:sz w:val="20"/>
          <w:szCs w:val="20"/>
          <w:color w:val="auto"/>
        </w:rPr>
      </w:pPr>
      <w:r>
        <w:rPr>
          <w:rFonts w:ascii="Arial" w:cs="Arial" w:eastAsia="Arial" w:hAnsi="Arial"/>
          <w:sz w:val="15"/>
          <w:szCs w:val="15"/>
          <w:color w:val="auto"/>
        </w:rPr>
        <w:t>13.2% and 16.9%, respectively. The difference between the U.S. federal statutory rate of 35.0% and the effective tax rates reflected above principally relates to (i) change in the valuation allowance affecting the provision for income taxes, (ii) recognition of a deferred tax asset associated with the recording of the tax receivable agreement obligation (see below), (iii) taxes payable to foreign jurisdictions that are not offset against U.S. income taxes, (iv) foreign source income (loss) not subject to U.S. income taxes (including interest on intercompany financings), and (v) U.S. state and local taxes (primarily UBT), which are incremental to the U.S. federal statutory tax rate.</w:t>
      </w:r>
    </w:p>
    <w:p>
      <w:pPr>
        <w:spacing w:after="0" w:line="107" w:lineRule="exact"/>
        <w:rPr>
          <w:sz w:val="20"/>
          <w:szCs w:val="20"/>
          <w:color w:val="auto"/>
        </w:rPr>
      </w:pPr>
    </w:p>
    <w:p>
      <w:pPr>
        <w:ind w:right="20" w:firstLine="457"/>
        <w:spacing w:after="0" w:line="269" w:lineRule="auto"/>
        <w:rPr>
          <w:sz w:val="20"/>
          <w:szCs w:val="20"/>
          <w:color w:val="auto"/>
        </w:rPr>
      </w:pPr>
      <w:r>
        <w:rPr>
          <w:rFonts w:ascii="Arial" w:cs="Arial" w:eastAsia="Arial" w:hAnsi="Arial"/>
          <w:sz w:val="16"/>
          <w:szCs w:val="16"/>
          <w:color w:val="auto"/>
        </w:rPr>
        <w:t>Certain of our tax-paying entities at which we have historically recorded significant valuation allowances were profitable on a cumulative basis for the three year period ended June 30, 2015. In assessing our valuation allowance as of June 30, 2015, we considered all available information, including the magnitude of recent and current operating results, the relatively long duration of statutory carryforward periods, our historical experience utilizing tax attributes prior to their expiration dates, the historical volatility of operating results of these entities and our assessment regarding the sustainability of their profitability. We concluded that there is now a sufficient history of sustained profitability at these entities that it is more likely than not that these entities will be able to realize deferred tax assets. Accordingly, during the period ended June 30, 2015, we released substantially all of the valuation allowance against the deferred tax assets held by these entities, with the exception of the portion of the valuation allowance that we currently expect to utilize in the current year.</w:t>
      </w:r>
    </w:p>
    <w:p>
      <w:pPr>
        <w:spacing w:after="0" w:line="125" w:lineRule="exact"/>
        <w:rPr>
          <w:sz w:val="20"/>
          <w:szCs w:val="20"/>
          <w:color w:val="auto"/>
        </w:rPr>
      </w:pPr>
    </w:p>
    <w:p>
      <w:pPr>
        <w:ind w:right="20" w:firstLine="457"/>
        <w:spacing w:after="0" w:line="280" w:lineRule="auto"/>
        <w:rPr>
          <w:sz w:val="20"/>
          <w:szCs w:val="20"/>
          <w:color w:val="auto"/>
        </w:rPr>
      </w:pPr>
      <w:r>
        <w:rPr>
          <w:rFonts w:ascii="Arial" w:cs="Arial" w:eastAsia="Arial" w:hAnsi="Arial"/>
          <w:sz w:val="16"/>
          <w:szCs w:val="16"/>
          <w:color w:val="auto"/>
        </w:rPr>
        <w:t>As a result, during the quarter ended June 30, 2015, we recorded a deferred tax benefit of approximately $821,000. In addition, we also recorded a separate deferred tax benefit of approximately $378,000 that reflects the tax deductibility of payments under the tax receivable agreement. See “—Tax Receivable Agreement” below for more information regarding our accrual under the tax receivable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440" w:right="23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LAZARD LTD</w:t>
      </w:r>
    </w:p>
    <w:p>
      <w:pPr>
        <w:spacing w:after="0" w:line="94"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auto"/>
        </w:rPr>
        <w:t>NOTES TO CONDENSED CONSOLIDATED FINANCIAL STATEMENTS—(Continued)</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thousands, except for per share data, unless otherwise noted)</w:t>
      </w:r>
    </w:p>
    <w:p>
      <w:pPr>
        <w:spacing w:after="0" w:line="152" w:lineRule="exact"/>
        <w:rPr>
          <w:sz w:val="20"/>
          <w:szCs w:val="20"/>
          <w:color w:val="auto"/>
        </w:rPr>
      </w:pPr>
    </w:p>
    <w:p>
      <w:pPr>
        <w:jc w:val="both"/>
        <w:ind w:right="420" w:firstLine="457"/>
        <w:spacing w:after="0" w:line="280" w:lineRule="auto"/>
        <w:rPr>
          <w:sz w:val="20"/>
          <w:szCs w:val="20"/>
          <w:color w:val="auto"/>
        </w:rPr>
      </w:pPr>
      <w:r>
        <w:rPr>
          <w:rFonts w:ascii="Arial" w:cs="Arial" w:eastAsia="Arial" w:hAnsi="Arial"/>
          <w:sz w:val="16"/>
          <w:szCs w:val="16"/>
          <w:color w:val="auto"/>
        </w:rPr>
        <w:t>Substantially all of Lazard’s operations outside the U.S. are conducted in “pass-through” entities for U.S. income tax purposes. The Company provides for U.S. income taxes on a current basis for those earnings. The repatriation of prior earnings attributable to “non-pass-through” entities would not result in the recognition of a material amount of additional U.S. income taxes.</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Tax Receivable Agreement</w:t>
      </w:r>
    </w:p>
    <w:p>
      <w:pPr>
        <w:spacing w:after="0" w:line="94" w:lineRule="exact"/>
        <w:rPr>
          <w:sz w:val="20"/>
          <w:szCs w:val="20"/>
          <w:color w:val="auto"/>
        </w:rPr>
      </w:pPr>
    </w:p>
    <w:p>
      <w:pPr>
        <w:ind w:right="20" w:firstLine="457"/>
        <w:spacing w:after="0" w:line="269" w:lineRule="auto"/>
        <w:rPr>
          <w:sz w:val="20"/>
          <w:szCs w:val="20"/>
          <w:color w:val="auto"/>
        </w:rPr>
      </w:pPr>
      <w:r>
        <w:rPr>
          <w:rFonts w:ascii="Arial" w:cs="Arial" w:eastAsia="Arial" w:hAnsi="Arial"/>
          <w:sz w:val="16"/>
          <w:szCs w:val="16"/>
          <w:color w:val="auto"/>
        </w:rPr>
        <w:t>In connection with our initial public offering and related transactions in May 2005, we entered into a tax receivable agreement with the predecessor of LMDC Holdings LLC (“LMDC Holdings”) on May 10, 2005 (the “Tax Receivable Agreement”). The agreement was based on the mutual recognition that the redemption of Lazard Group membership interests that were held by the historical partners of Lazard Group on May 10, 2005 for cash resulted in an increase in the tax basis of the tangible and intangible assets of Lazard Group attributable to our subsidiaries’ interest in Lazard Group that otherwise would not have been available. The agreement also was based on the mutual recognition that the exchange from time to time by such historical partners of exchangeable interests in LAZ-MD Holdings LLC for shares of our Class A common stock could subsequently result in additional increases in such tax basis. Included in our deferred tax assets as of June 30, 2015 are approximately $1,177,000 of deferred tax assets which are subject to the Tax Receivable Agreement.</w:t>
      </w:r>
    </w:p>
    <w:p>
      <w:pPr>
        <w:spacing w:after="0" w:line="125" w:lineRule="exact"/>
        <w:rPr>
          <w:sz w:val="20"/>
          <w:szCs w:val="20"/>
          <w:color w:val="auto"/>
        </w:rPr>
      </w:pPr>
    </w:p>
    <w:p>
      <w:pPr>
        <w:ind w:right="20" w:firstLine="457"/>
        <w:spacing w:after="0" w:line="270" w:lineRule="auto"/>
        <w:rPr>
          <w:sz w:val="20"/>
          <w:szCs w:val="20"/>
          <w:color w:val="auto"/>
        </w:rPr>
      </w:pPr>
      <w:r>
        <w:rPr>
          <w:rFonts w:ascii="Arial" w:cs="Arial" w:eastAsia="Arial" w:hAnsi="Arial"/>
          <w:sz w:val="16"/>
          <w:szCs w:val="16"/>
          <w:color w:val="auto"/>
        </w:rPr>
        <w:t>On June 16, 2015, Lazard and LMDC Holdings amended the Tax Receivable Agreement and entered into an Amended and Restated Tax Receivable Agreement (the “Amended and Restated Tax Receivable Agreement”). Pursuant to the Amended and Restated Tax Receivable Agreement, among other things, (i) LMDC Holdings assigned all of its obligations thereunder, including the obligation to receive payments and promptly distribute them to historical partners of Lazard Group, to LTBP Trust, a new Delaware statutory trust (the “Trust”), and the Trust assumed all of LMDC Holdings’ obligations thereunder, (ii) LMDC Holdings distributed the interests in the Trust to certain owners of LMDC Holdings, and (iii) holders of interests in the Trust obtained the ability, subject to certain restrictions and conditions, to transfer such interests to certain additional persons and entities, including Lazard.</w:t>
      </w:r>
    </w:p>
    <w:p>
      <w:pPr>
        <w:spacing w:after="0" w:line="125" w:lineRule="exact"/>
        <w:rPr>
          <w:sz w:val="20"/>
          <w:szCs w:val="20"/>
          <w:color w:val="auto"/>
        </w:rPr>
      </w:pPr>
    </w:p>
    <w:p>
      <w:pPr>
        <w:ind w:right="140" w:firstLine="457"/>
        <w:spacing w:after="0" w:line="291" w:lineRule="auto"/>
        <w:rPr>
          <w:sz w:val="20"/>
          <w:szCs w:val="20"/>
          <w:color w:val="auto"/>
        </w:rPr>
      </w:pPr>
      <w:r>
        <w:rPr>
          <w:rFonts w:ascii="Arial" w:cs="Arial" w:eastAsia="Arial" w:hAnsi="Arial"/>
          <w:sz w:val="15"/>
          <w:szCs w:val="15"/>
          <w:color w:val="auto"/>
        </w:rPr>
        <w:t>Consistent with the original Tax Receivable Agreement, the Amended and Restated Tax Receivable Agreement provides for the payment by our subsidiaries to the Trust of a specified percentage (originally 85%, subject to downward adjustment in the event of any Lazard purchases of Trust interests) of the amount of cash savings, if any, in U.S. federal, state and local income tax or franchise tax that we actually realize as a result of the increases in tax basis and of certain other tax benefits related to the Amended and Restated Tax Receivable Agreement, including tax benefits attributable to payments under the Amended and Restated Tax Receivable Agreement. Our subsidiaries expect to benefit from the balance of cash savings, if any, in income tax that our subsidiaries realize. Any amount paid by our subsidiaries to the Trust will generally be distributed to the owners of the Trust, including our executive officers, in proportion to their beneficial interests in the Trust.</w:t>
      </w:r>
    </w:p>
    <w:p>
      <w:pPr>
        <w:spacing w:after="0" w:line="112" w:lineRule="exact"/>
        <w:rPr>
          <w:sz w:val="20"/>
          <w:szCs w:val="20"/>
          <w:color w:val="auto"/>
        </w:rPr>
      </w:pPr>
    </w:p>
    <w:p>
      <w:pPr>
        <w:ind w:firstLine="457"/>
        <w:spacing w:after="0" w:line="272" w:lineRule="auto"/>
        <w:rPr>
          <w:sz w:val="20"/>
          <w:szCs w:val="20"/>
          <w:color w:val="auto"/>
        </w:rPr>
      </w:pPr>
      <w:r>
        <w:rPr>
          <w:rFonts w:ascii="Arial" w:cs="Arial" w:eastAsia="Arial" w:hAnsi="Arial"/>
          <w:sz w:val="16"/>
          <w:szCs w:val="16"/>
          <w:color w:val="auto"/>
        </w:rPr>
        <w:t>For purposes of the Amended and Restated Tax Receivable Agreement, cash savings in income and franchise tax will be computed by comparing our subsidiaries’ actual income and franchise tax liability to the amount of such taxes that our subsidiaries would have been required to pay had there been no increase in the tax basis of the tangible and intangible assets of Lazard Group attributable to our subsidiaries’ interest in Lazard Group as a result of the redemption and exchanges and had our subsidiaries not entered into the Amended and Restated Tax Receivable Agreement. The term of the Amended and Restated Tax Receivable Agreement will continue until approximately 2033 or, if earlier, until all relevant tax benefits have been utilized or expired.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00"/>
          </w:cols>
          <w:pgMar w:left="240" w:top="440" w:right="25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LAZARD LTD</w:t>
      </w:r>
    </w:p>
    <w:p>
      <w:pPr>
        <w:spacing w:after="0" w:line="94"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auto"/>
        </w:rPr>
        <w:t>NOTES TO CONDENSED CONSOLIDATED FINANCIAL STATEMENTS—(Continued)</w:t>
      </w: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(UNAUDITED)</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(dollars in thousands, except for per share data, unless otherwise noted)</w:t>
      </w:r>
    </w:p>
    <w:p>
      <w:pPr>
        <w:spacing w:after="0" w:line="152" w:lineRule="exact"/>
        <w:rPr>
          <w:sz w:val="20"/>
          <w:szCs w:val="20"/>
          <w:color w:val="auto"/>
        </w:rPr>
      </w:pPr>
    </w:p>
    <w:p>
      <w:pPr>
        <w:ind w:right="240" w:firstLine="457"/>
        <w:spacing w:after="0" w:line="280" w:lineRule="auto"/>
        <w:rPr>
          <w:sz w:val="20"/>
          <w:szCs w:val="20"/>
          <w:color w:val="auto"/>
        </w:rPr>
      </w:pPr>
      <w:r>
        <w:rPr>
          <w:rFonts w:ascii="Arial" w:cs="Arial" w:eastAsia="Arial" w:hAnsi="Arial"/>
          <w:sz w:val="16"/>
          <w:szCs w:val="16"/>
          <w:color w:val="auto"/>
        </w:rPr>
        <w:t>As described above, during the period ended June 30, 2015, we released substantially all of our valuation allowance against deferred tax assets. As a result, we accrued a corresponding liability of $961,948 during the quarter ended June 30, 2015 for amounts relating to the Amended and Restated Tax Receivable Agreement. The cumulative liability recorded as of June 30, 2015 was $988,085.</w:t>
      </w:r>
    </w:p>
    <w:p>
      <w:pPr>
        <w:spacing w:after="0" w:line="115" w:lineRule="exact"/>
        <w:rPr>
          <w:sz w:val="20"/>
          <w:szCs w:val="20"/>
          <w:color w:val="auto"/>
        </w:rPr>
      </w:pPr>
    </w:p>
    <w:p>
      <w:pPr>
        <w:ind w:firstLine="457"/>
        <w:spacing w:after="0" w:line="272" w:lineRule="auto"/>
        <w:rPr>
          <w:sz w:val="20"/>
          <w:szCs w:val="20"/>
          <w:color w:val="auto"/>
        </w:rPr>
      </w:pPr>
      <w:r>
        <w:rPr>
          <w:rFonts w:ascii="Arial" w:cs="Arial" w:eastAsia="Arial" w:hAnsi="Arial"/>
          <w:sz w:val="16"/>
          <w:szCs w:val="16"/>
          <w:color w:val="auto"/>
        </w:rPr>
        <w:t>The amount of the Amended and Restated Tax Receivable Agreement liability is an undiscounted amount based upon currently enacted tax laws, the current structure of the Company and various assumptions regarding potential future operating profitability. The assumptions reflected in the estimate involve significant judgment. As such, the actual amount and timing of payments under the Amended and Restated Tax Receivable Agreement could differ materially from our estimates. Any changes in the amount of the estimated liability would be recorded as a non-compensation expense in the consolidated statement of operations. Adjustments, if necessary, to the related deferred tax assets would be recorded through income tax expense.</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Subsequent Event</w:t>
      </w:r>
    </w:p>
    <w:p>
      <w:pPr>
        <w:spacing w:after="0" w:line="94" w:lineRule="exact"/>
        <w:rPr>
          <w:sz w:val="20"/>
          <w:szCs w:val="20"/>
          <w:color w:val="auto"/>
        </w:rPr>
      </w:pPr>
    </w:p>
    <w:p>
      <w:pPr>
        <w:ind w:right="60" w:firstLine="457"/>
        <w:spacing w:after="0" w:line="272" w:lineRule="auto"/>
        <w:rPr>
          <w:sz w:val="20"/>
          <w:szCs w:val="20"/>
          <w:color w:val="auto"/>
        </w:rPr>
      </w:pPr>
      <w:r>
        <w:rPr>
          <w:rFonts w:ascii="Arial" w:cs="Arial" w:eastAsia="Arial" w:hAnsi="Arial"/>
          <w:sz w:val="16"/>
          <w:szCs w:val="16"/>
          <w:color w:val="auto"/>
        </w:rPr>
        <w:t>In July 2015, we purchased approximately 46.9% of the then-outstanding beneficial interests in the Trust from certain owners of the Trust for $42,222 in cash, which resulted in the automatic cancellation of such beneficial interests and the extinguishment of the corresponding portion of our payment obligations under the Amended and Restated Tax Receivable Agreement. The Company expects that the extinguishment of the obligations described above, and the corresponding reduction of related deferred tax assets, will have the effect of increasing our net income by approximately $290,000 in the third quarter of 2015 and will be reflected in our condensed consolidated financial statements in the third quarter of 2015.</w:t>
      </w:r>
    </w:p>
    <w:p>
      <w:pPr>
        <w:spacing w:after="0" w:line="235" w:lineRule="exact"/>
        <w:rPr>
          <w:sz w:val="20"/>
          <w:szCs w:val="20"/>
          <w:color w:val="auto"/>
        </w:rPr>
      </w:pPr>
    </w:p>
    <w:p>
      <w:pPr>
        <w:ind w:left="460" w:hanging="459"/>
        <w:spacing w:after="0"/>
        <w:tabs>
          <w:tab w:leader="none" w:pos="460" w:val="left"/>
        </w:tabs>
        <w:numPr>
          <w:ilvl w:val="0"/>
          <w:numId w:val="2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NET INCOME PER SHARE OF CLASS A COMMON STOCK</w:t>
      </w:r>
    </w:p>
    <w:p>
      <w:pPr>
        <w:spacing w:after="0" w:line="94" w:lineRule="exact"/>
        <w:rPr>
          <w:sz w:val="20"/>
          <w:szCs w:val="20"/>
          <w:color w:val="auto"/>
        </w:rPr>
      </w:pPr>
    </w:p>
    <w:p>
      <w:pPr>
        <w:ind w:right="520" w:firstLine="457"/>
        <w:spacing w:after="0" w:line="296" w:lineRule="auto"/>
        <w:rPr>
          <w:sz w:val="20"/>
          <w:szCs w:val="20"/>
          <w:color w:val="auto"/>
        </w:rPr>
      </w:pPr>
      <w:r>
        <w:rPr>
          <w:rFonts w:ascii="Arial" w:cs="Arial" w:eastAsia="Arial" w:hAnsi="Arial"/>
          <w:sz w:val="16"/>
          <w:szCs w:val="16"/>
          <w:color w:val="auto"/>
        </w:rPr>
        <w:t>The Company’s basic and diluted net income per share calculations for the three month and six month periods ended June 30, 2015 and 2014 are computed as described below.</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Basic Net Income Per Share</w:t>
      </w:r>
    </w:p>
    <w:p>
      <w:pPr>
        <w:spacing w:after="0" w:line="94" w:lineRule="exact"/>
        <w:rPr>
          <w:sz w:val="20"/>
          <w:szCs w:val="20"/>
          <w:color w:val="auto"/>
        </w:rPr>
      </w:pPr>
    </w:p>
    <w:p>
      <w:pPr>
        <w:ind w:right="60" w:firstLine="457"/>
        <w:spacing w:after="0" w:line="296" w:lineRule="auto"/>
        <w:rPr>
          <w:sz w:val="20"/>
          <w:szCs w:val="20"/>
          <w:color w:val="auto"/>
        </w:rPr>
      </w:pPr>
      <w:r>
        <w:rPr>
          <w:rFonts w:ascii="Arial" w:cs="Arial" w:eastAsia="Arial" w:hAnsi="Arial"/>
          <w:sz w:val="16"/>
          <w:szCs w:val="16"/>
          <w:i w:val="1"/>
          <w:iCs w:val="1"/>
          <w:color w:val="auto"/>
        </w:rPr>
        <w:t>Numerator</w:t>
      </w:r>
      <w:r>
        <w:rPr>
          <w:rFonts w:ascii="Arial" w:cs="Arial" w:eastAsia="Arial" w:hAnsi="Arial"/>
          <w:sz w:val="16"/>
          <w:szCs w:val="16"/>
          <w:color w:val="auto"/>
        </w:rPr>
        <w:t>—utilizes net income attributable to Lazard Ltd for the respective periods, plus applicable adjustments to such net income associated with the inclusion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Class A common stock issuable on a non-contingent basis.</w:t>
      </w:r>
    </w:p>
    <w:p>
      <w:pPr>
        <w:spacing w:after="0" w:line="103" w:lineRule="exact"/>
        <w:rPr>
          <w:sz w:val="20"/>
          <w:szCs w:val="20"/>
          <w:color w:val="auto"/>
        </w:rPr>
      </w:pPr>
    </w:p>
    <w:p>
      <w:pPr>
        <w:ind w:right="120" w:firstLine="457"/>
        <w:spacing w:after="0" w:line="296" w:lineRule="auto"/>
        <w:rPr>
          <w:sz w:val="20"/>
          <w:szCs w:val="20"/>
          <w:color w:val="auto"/>
        </w:rPr>
      </w:pPr>
      <w:r>
        <w:rPr>
          <w:rFonts w:ascii="Arial" w:cs="Arial" w:eastAsia="Arial" w:hAnsi="Arial"/>
          <w:sz w:val="16"/>
          <w:szCs w:val="16"/>
          <w:i w:val="1"/>
          <w:iCs w:val="1"/>
          <w:color w:val="auto"/>
        </w:rPr>
        <w:t>Denominator</w:t>
      </w:r>
      <w:r>
        <w:rPr>
          <w:rFonts w:ascii="Arial" w:cs="Arial" w:eastAsia="Arial" w:hAnsi="Arial"/>
          <w:sz w:val="16"/>
          <w:szCs w:val="16"/>
          <w:color w:val="auto"/>
        </w:rPr>
        <w:t>—utilizes the weighted average number of shares of Class A common stock outstanding for the respective periods, plus applicable adjustments to such</w:t>
      </w:r>
      <w:r>
        <w:rPr>
          <w:rFonts w:ascii="Arial" w:cs="Arial" w:eastAsia="Arial" w:hAnsi="Arial"/>
          <w:sz w:val="16"/>
          <w:szCs w:val="16"/>
          <w:i w:val="1"/>
          <w:iCs w:val="1"/>
          <w:color w:val="auto"/>
        </w:rPr>
        <w:t xml:space="preserve"> </w:t>
      </w:r>
      <w:r>
        <w:rPr>
          <w:rFonts w:ascii="Arial" w:cs="Arial" w:eastAsia="Arial" w:hAnsi="Arial"/>
          <w:sz w:val="16"/>
          <w:szCs w:val="16"/>
          <w:color w:val="auto"/>
        </w:rPr>
        <w:t>shares associated with shares of Class A common stock issuable on a non-contingent basis.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Diluted Net Income Per Share</w:t>
      </w:r>
    </w:p>
    <w:p>
      <w:pPr>
        <w:spacing w:after="0" w:line="94" w:lineRule="exact"/>
        <w:rPr>
          <w:sz w:val="20"/>
          <w:szCs w:val="20"/>
          <w:color w:val="auto"/>
        </w:rPr>
      </w:pPr>
    </w:p>
    <w:p>
      <w:pPr>
        <w:ind w:right="60" w:firstLine="457"/>
        <w:spacing w:after="0" w:line="274" w:lineRule="auto"/>
        <w:rPr>
          <w:sz w:val="20"/>
          <w:szCs w:val="20"/>
          <w:color w:val="auto"/>
        </w:rPr>
      </w:pPr>
      <w:r>
        <w:rPr>
          <w:rFonts w:ascii="Arial" w:cs="Arial" w:eastAsia="Arial" w:hAnsi="Arial"/>
          <w:sz w:val="16"/>
          <w:szCs w:val="16"/>
          <w:i w:val="1"/>
          <w:iCs w:val="1"/>
          <w:color w:val="auto"/>
        </w:rPr>
        <w:t>Numerator</w:t>
      </w:r>
      <w:r>
        <w:rPr>
          <w:rFonts w:ascii="Arial" w:cs="Arial" w:eastAsia="Arial" w:hAnsi="Arial"/>
          <w:sz w:val="16"/>
          <w:szCs w:val="16"/>
          <w:color w:val="auto"/>
        </w:rPr>
        <w:t>—utilizes net income attributable to Lazard Ltd for the respective periods as in the basic net income per share calculation described above, plus,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extent applicable and dilutive, (i) changes in net income attributable to noncontrolling interests resulting from assumed Class A common stock issuances in connection with share-based incentive compensation and, in 2014, on an “as-if-exchanged” basis, amounts applicable to LAZ-MD Holdings exchangeable interests and (ii) income tax related to (i) above.</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380"/>
          </w:cols>
          <w:pgMar w:left="240" w:top="440" w:right="27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LAZARD LTD</w:t>
      </w:r>
    </w:p>
    <w:p>
      <w:pPr>
        <w:spacing w:after="0" w:line="94"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auto"/>
        </w:rPr>
        <w:t>NOTES TO CONDENSED CONSOLIDATED FINANCIAL STATEMENTS—(Continued)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except for per share data, unless otherwise noted)</w:t>
      </w:r>
    </w:p>
    <w:p>
      <w:pPr>
        <w:spacing w:after="0" w:line="152" w:lineRule="exact"/>
        <w:rPr>
          <w:sz w:val="20"/>
          <w:szCs w:val="20"/>
          <w:color w:val="auto"/>
        </w:rPr>
      </w:pPr>
    </w:p>
    <w:p>
      <w:pPr>
        <w:jc w:val="both"/>
        <w:ind w:right="200" w:firstLine="457"/>
        <w:spacing w:after="0" w:line="306" w:lineRule="auto"/>
        <w:rPr>
          <w:sz w:val="20"/>
          <w:szCs w:val="20"/>
          <w:color w:val="auto"/>
        </w:rPr>
      </w:pPr>
      <w:r>
        <w:rPr>
          <w:rFonts w:ascii="Arial" w:cs="Arial" w:eastAsia="Arial" w:hAnsi="Arial"/>
          <w:sz w:val="15"/>
          <w:szCs w:val="15"/>
          <w:i w:val="1"/>
          <w:iCs w:val="1"/>
          <w:color w:val="auto"/>
        </w:rPr>
        <w:t>Denominator</w:t>
      </w:r>
      <w:r>
        <w:rPr>
          <w:rFonts w:ascii="Arial" w:cs="Arial" w:eastAsia="Arial" w:hAnsi="Arial"/>
          <w:sz w:val="15"/>
          <w:szCs w:val="15"/>
          <w:color w:val="auto"/>
        </w:rPr>
        <w:t>—utilizes the weighted average number of shares of Class A common stock outstanding for the respective periods as in the basic net income per share</w:t>
      </w:r>
      <w:r>
        <w:rPr>
          <w:rFonts w:ascii="Arial" w:cs="Arial" w:eastAsia="Arial" w:hAnsi="Arial"/>
          <w:sz w:val="15"/>
          <w:szCs w:val="15"/>
          <w:i w:val="1"/>
          <w:iCs w:val="1"/>
          <w:color w:val="auto"/>
        </w:rPr>
        <w:t xml:space="preserve"> </w:t>
      </w:r>
      <w:r>
        <w:rPr>
          <w:rFonts w:ascii="Arial" w:cs="Arial" w:eastAsia="Arial" w:hAnsi="Arial"/>
          <w:sz w:val="15"/>
          <w:szCs w:val="15"/>
          <w:color w:val="auto"/>
        </w:rPr>
        <w:t>calculation described above, plus, to the extent dilutive, the incremental number of shares of Class A common stock required to settle share-based incentive compensation and, in 2014, LAZ-MD Holdings exchangeable interests, using the “treasury stock” method or the “as-if-exchanged” basis, as applicable.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calculations of the Company’s basic and diluted net income per share and weighted average shares outstanding for the three month and six month periods ended</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June 30, 2015 and 2014 are presented below:</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272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0"/>
              </w:rPr>
              <w:t>Three Months Ended</w:t>
            </w:r>
          </w:p>
        </w:tc>
        <w:tc>
          <w:tcPr>
            <w:tcW w:w="2620" w:type="dxa"/>
            <w:vAlign w:val="bottom"/>
            <w:gridSpan w:val="5"/>
          </w:tcPr>
          <w:p>
            <w:pPr>
              <w:jc w:val="center"/>
              <w:ind w:right="60"/>
              <w:spacing w:after="0"/>
              <w:rPr>
                <w:sz w:val="20"/>
                <w:szCs w:val="20"/>
                <w:color w:val="auto"/>
              </w:rPr>
            </w:pPr>
            <w:r>
              <w:rPr>
                <w:rFonts w:ascii="Arial" w:cs="Arial" w:eastAsia="Arial" w:hAnsi="Arial"/>
                <w:sz w:val="13"/>
                <w:szCs w:val="13"/>
                <w:b w:val="1"/>
                <w:bCs w:val="1"/>
                <w:color w:val="auto"/>
                <w:w w:val="88"/>
              </w:rPr>
              <w:t>Six Months Ended</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600" w:type="dxa"/>
            <w:vAlign w:val="bottom"/>
            <w:tcBorders>
              <w:bottom w:val="single" w:sz="8" w:color="auto"/>
            </w:tcBorders>
            <w:gridSpan w:val="3"/>
          </w:tcPr>
          <w:p>
            <w:pPr>
              <w:jc w:val="center"/>
              <w:ind w:left="842"/>
              <w:spacing w:after="0"/>
              <w:rPr>
                <w:sz w:val="20"/>
                <w:szCs w:val="20"/>
                <w:color w:val="auto"/>
              </w:rPr>
            </w:pPr>
            <w:r>
              <w:rPr>
                <w:rFonts w:ascii="Arial" w:cs="Arial" w:eastAsia="Arial" w:hAnsi="Arial"/>
                <w:sz w:val="13"/>
                <w:szCs w:val="13"/>
                <w:b w:val="1"/>
                <w:bCs w:val="1"/>
                <w:color w:val="auto"/>
                <w:w w:val="84"/>
              </w:rPr>
              <w:t>June 30,</w:t>
            </w:r>
          </w:p>
        </w:tc>
        <w:tc>
          <w:tcPr>
            <w:tcW w:w="9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Borders>
              <w:bottom w:val="single" w:sz="8" w:color="auto"/>
            </w:tcBorders>
            <w:gridSpan w:val="3"/>
          </w:tcPr>
          <w:p>
            <w:pPr>
              <w:jc w:val="center"/>
              <w:ind w:left="862"/>
              <w:spacing w:after="0"/>
              <w:rPr>
                <w:sz w:val="20"/>
                <w:szCs w:val="20"/>
                <w:color w:val="auto"/>
              </w:rPr>
            </w:pPr>
            <w:r>
              <w:rPr>
                <w:rFonts w:ascii="Arial" w:cs="Arial" w:eastAsia="Arial" w:hAnsi="Arial"/>
                <w:sz w:val="13"/>
                <w:szCs w:val="13"/>
                <w:b w:val="1"/>
                <w:bCs w:val="1"/>
                <w:color w:val="auto"/>
                <w:w w:val="88"/>
              </w:rPr>
              <w:t>June 30,</w:t>
            </w:r>
          </w:p>
        </w:tc>
        <w:tc>
          <w:tcPr>
            <w:tcW w:w="9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60" w:type="dxa"/>
            <w:vAlign w:val="bottom"/>
            <w:tcBorders>
              <w:bottom w:val="single" w:sz="8" w:color="CCEEFF"/>
            </w:tcBorders>
          </w:tcPr>
          <w:p>
            <w:pPr>
              <w:spacing w:after="0"/>
              <w:rPr>
                <w:sz w:val="11"/>
                <w:szCs w:val="11"/>
                <w:color w:val="auto"/>
              </w:rPr>
            </w:pPr>
          </w:p>
        </w:tc>
        <w:tc>
          <w:tcPr>
            <w:tcW w:w="1160" w:type="dxa"/>
            <w:vAlign w:val="bottom"/>
            <w:tcBorders>
              <w:bottom w:val="single" w:sz="8" w:color="auto"/>
            </w:tcBorders>
          </w:tcPr>
          <w:p>
            <w:pPr>
              <w:jc w:val="right"/>
              <w:ind w:right="382"/>
              <w:spacing w:after="0" w:line="132" w:lineRule="exact"/>
              <w:rPr>
                <w:sz w:val="20"/>
                <w:szCs w:val="20"/>
                <w:color w:val="auto"/>
              </w:rPr>
            </w:pPr>
            <w:r>
              <w:rPr>
                <w:rFonts w:ascii="Arial" w:cs="Arial" w:eastAsia="Arial" w:hAnsi="Arial"/>
                <w:sz w:val="13"/>
                <w:szCs w:val="13"/>
                <w:b w:val="1"/>
                <w:bCs w:val="1"/>
                <w:color w:val="auto"/>
              </w:rPr>
              <w:t>2015</w:t>
            </w:r>
          </w:p>
        </w:tc>
        <w:tc>
          <w:tcPr>
            <w:tcW w:w="2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79"/>
              <w:spacing w:after="0" w:line="132" w:lineRule="exact"/>
              <w:rPr>
                <w:sz w:val="20"/>
                <w:szCs w:val="20"/>
                <w:color w:val="auto"/>
              </w:rPr>
            </w:pPr>
            <w:r>
              <w:rPr>
                <w:rFonts w:ascii="Arial" w:cs="Arial" w:eastAsia="Arial" w:hAnsi="Arial"/>
                <w:sz w:val="13"/>
                <w:szCs w:val="13"/>
                <w:b w:val="1"/>
                <w:bCs w:val="1"/>
                <w:color w:val="auto"/>
              </w:rPr>
              <w:t>2014</w:t>
            </w:r>
          </w:p>
        </w:tc>
        <w:tc>
          <w:tcPr>
            <w:tcW w:w="200" w:type="dxa"/>
            <w:vAlign w:val="bottom"/>
            <w:tcBorders>
              <w:bottom w:val="single" w:sz="8" w:color="CCEEFF"/>
            </w:tcBorders>
          </w:tcPr>
          <w:p>
            <w:pPr>
              <w:spacing w:after="0"/>
              <w:rPr>
                <w:sz w:val="11"/>
                <w:szCs w:val="11"/>
                <w:color w:val="auto"/>
              </w:rPr>
            </w:pPr>
          </w:p>
        </w:tc>
        <w:tc>
          <w:tcPr>
            <w:tcW w:w="1180" w:type="dxa"/>
            <w:vAlign w:val="bottom"/>
            <w:tcBorders>
              <w:bottom w:val="single" w:sz="8" w:color="auto"/>
            </w:tcBorders>
          </w:tcPr>
          <w:p>
            <w:pPr>
              <w:jc w:val="right"/>
              <w:ind w:right="382"/>
              <w:spacing w:after="0" w:line="132" w:lineRule="exact"/>
              <w:rPr>
                <w:sz w:val="20"/>
                <w:szCs w:val="20"/>
                <w:color w:val="auto"/>
              </w:rPr>
            </w:pPr>
            <w:r>
              <w:rPr>
                <w:rFonts w:ascii="Arial" w:cs="Arial" w:eastAsia="Arial" w:hAnsi="Arial"/>
                <w:sz w:val="13"/>
                <w:szCs w:val="13"/>
                <w:b w:val="1"/>
                <w:bCs w:val="1"/>
                <w:color w:val="auto"/>
              </w:rPr>
              <w:t>2015</w:t>
            </w:r>
          </w:p>
        </w:tc>
        <w:tc>
          <w:tcPr>
            <w:tcW w:w="2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79"/>
              <w:spacing w:after="0" w:line="132" w:lineRule="exact"/>
              <w:rPr>
                <w:sz w:val="20"/>
                <w:szCs w:val="20"/>
                <w:color w:val="auto"/>
              </w:rPr>
            </w:pPr>
            <w:r>
              <w:rPr>
                <w:rFonts w:ascii="Arial" w:cs="Arial" w:eastAsia="Arial" w:hAnsi="Arial"/>
                <w:sz w:val="13"/>
                <w:szCs w:val="13"/>
                <w:b w:val="1"/>
                <w:bCs w:val="1"/>
                <w:color w:val="auto"/>
              </w:rPr>
              <w:t>2014</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Net income attributable to Lazard Ltd</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$374,113</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$85,192</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$430,066</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$166,034</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Add (deduct) - adjustment associated with Class A common stock issuable on a non-</w:t>
            </w: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180"/>
              <w:spacing w:after="0"/>
              <w:rPr>
                <w:sz w:val="20"/>
                <w:szCs w:val="20"/>
                <w:color w:val="auto"/>
              </w:rPr>
            </w:pPr>
            <w:r>
              <w:rPr>
                <w:rFonts w:ascii="Arial" w:cs="Arial" w:eastAsia="Arial" w:hAnsi="Arial"/>
                <w:sz w:val="16"/>
                <w:szCs w:val="16"/>
                <w:color w:val="auto"/>
              </w:rPr>
              <w:t>contingent basis</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0" w:type="dxa"/>
            <w:vAlign w:val="bottom"/>
            <w:gridSpan w:val="3"/>
          </w:tcPr>
          <w:p>
            <w:pPr>
              <w:jc w:val="right"/>
              <w:ind w:right="4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Net income attributable to Lazard Ltd - basic</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374,113</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85,192</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430,066</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166,034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Add - dilutive effect, as applicable, of:</w:t>
            </w: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Adjustments to income relating to interest expense and changes in net income</w:t>
            </w: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shd w:val="clear" w:color="auto" w:fill="CCEEFF"/>
          </w:tcPr>
          <w:p>
            <w:pPr>
              <w:ind w:left="580"/>
              <w:spacing w:after="0"/>
              <w:rPr>
                <w:sz w:val="20"/>
                <w:szCs w:val="20"/>
                <w:color w:val="auto"/>
              </w:rPr>
            </w:pPr>
            <w:r>
              <w:rPr>
                <w:rFonts w:ascii="Arial" w:cs="Arial" w:eastAsia="Arial" w:hAnsi="Arial"/>
                <w:sz w:val="16"/>
                <w:szCs w:val="16"/>
                <w:color w:val="auto"/>
                <w:w w:val="97"/>
              </w:rPr>
              <w:t>attributable to noncontrolling interests resulting from assumed Class A common</w:t>
            </w: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shd w:val="clear" w:color="auto" w:fill="CCEEFF"/>
          </w:tcPr>
          <w:p>
            <w:pPr>
              <w:ind w:left="580"/>
              <w:spacing w:after="0"/>
              <w:rPr>
                <w:sz w:val="20"/>
                <w:szCs w:val="20"/>
                <w:color w:val="auto"/>
              </w:rPr>
            </w:pPr>
            <w:r>
              <w:rPr>
                <w:rFonts w:ascii="Arial" w:cs="Arial" w:eastAsia="Arial" w:hAnsi="Arial"/>
                <w:sz w:val="16"/>
                <w:szCs w:val="16"/>
                <w:color w:val="auto"/>
                <w:w w:val="96"/>
              </w:rPr>
              <w:t>stock issuances in connection with share-based incentive compensation, and, in</w:t>
            </w: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2014, exchangeable interests, net of tax</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174</w:t>
            </w:r>
          </w:p>
        </w:tc>
        <w:tc>
          <w:tcPr>
            <w:tcW w:w="160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6"/>
                <w:szCs w:val="16"/>
                <w:color w:val="auto"/>
              </w:rPr>
              <w:t>Net income attributable to Lazard Ltd - diluted</w:t>
            </w: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080" w:type="dxa"/>
            <w:vAlign w:val="bottom"/>
            <w:gridSpan w:val="2"/>
            <w:vMerge w:val="continue"/>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$374,113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$85,366</w:t>
            </w:r>
          </w:p>
        </w:tc>
        <w:tc>
          <w:tcPr>
            <w:tcW w:w="1180" w:type="dxa"/>
            <w:vAlign w:val="bottom"/>
          </w:tcPr>
          <w:p>
            <w:pPr>
              <w:jc w:val="right"/>
              <w:spacing w:after="0"/>
              <w:rPr>
                <w:sz w:val="20"/>
                <w:szCs w:val="20"/>
                <w:color w:val="auto"/>
              </w:rPr>
            </w:pPr>
            <w:r>
              <w:rPr>
                <w:rFonts w:ascii="Arial" w:cs="Arial" w:eastAsia="Arial" w:hAnsi="Arial"/>
                <w:sz w:val="16"/>
                <w:szCs w:val="16"/>
                <w:color w:val="auto"/>
              </w:rPr>
              <w:t>$430,066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$166,641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 w:type="dxa"/>
            <w:vAlign w:val="bottom"/>
            <w:vMerge w:val="restart"/>
          </w:tcPr>
          <w:p>
            <w:pPr>
              <w:spacing w:after="0"/>
              <w:rPr>
                <w:sz w:val="4"/>
                <w:szCs w:val="4"/>
                <w:color w:val="auto"/>
              </w:rPr>
            </w:pPr>
          </w:p>
        </w:tc>
        <w:tc>
          <w:tcPr>
            <w:tcW w:w="60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number of shares of Class A common stock outstanding</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126,140,634</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122,701,779</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124,862,156</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122,031,495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Arial" w:cs="Arial" w:eastAsia="Arial" w:hAnsi="Arial"/>
                <w:sz w:val="16"/>
                <w:szCs w:val="16"/>
                <w:color w:val="auto"/>
                <w:w w:val="95"/>
              </w:rPr>
              <w:t>Add - adjustment for shares of Class A common stock issuable on a non-contingent basis</w:t>
            </w:r>
          </w:p>
        </w:tc>
        <w:tc>
          <w:tcPr>
            <w:tcW w:w="1160" w:type="dxa"/>
            <w:vAlign w:val="bottom"/>
          </w:tcPr>
          <w:p>
            <w:pPr>
              <w:jc w:val="right"/>
              <w:spacing w:after="0"/>
              <w:rPr>
                <w:sz w:val="20"/>
                <w:szCs w:val="20"/>
                <w:color w:val="auto"/>
              </w:rPr>
            </w:pPr>
            <w:r>
              <w:rPr>
                <w:rFonts w:ascii="Arial" w:cs="Arial" w:eastAsia="Arial" w:hAnsi="Arial"/>
                <w:sz w:val="16"/>
                <w:szCs w:val="16"/>
                <w:color w:val="auto"/>
              </w:rPr>
              <w:t>72,011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414,997</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72,011</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414,997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number of shares of Class A common stock outstanding - basic</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126,212,645</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123,116,776</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124,934,167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122,446,492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Add - dilutive effect, as applicable, of:</w:t>
            </w: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6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5"/>
              </w:rPr>
              <w:t>Weighted average number of incremental shares of Class A common stock issuable</w:t>
            </w: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60" w:type="dxa"/>
            <w:vAlign w:val="bottom"/>
            <w:shd w:val="clear" w:color="auto" w:fill="CCEEFF"/>
          </w:tcPr>
          <w:p>
            <w:pPr>
              <w:ind w:left="580"/>
              <w:spacing w:after="0"/>
              <w:rPr>
                <w:sz w:val="20"/>
                <w:szCs w:val="20"/>
                <w:color w:val="auto"/>
              </w:rPr>
            </w:pPr>
            <w:r>
              <w:rPr>
                <w:rFonts w:ascii="Arial" w:cs="Arial" w:eastAsia="Arial" w:hAnsi="Arial"/>
                <w:sz w:val="16"/>
                <w:szCs w:val="16"/>
                <w:color w:val="auto"/>
                <w:w w:val="96"/>
              </w:rPr>
              <w:t>from share-based incentive compensation and, in 2014, exchangeable interests</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6,593,400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10,458,876</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8,336,829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11,354,330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6"/>
                <w:szCs w:val="16"/>
                <w:color w:val="auto"/>
              </w:rPr>
              <w:t>Weighted average number of shares of Class A common stock outstanding - diluted</w:t>
            </w: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080" w:type="dxa"/>
            <w:vAlign w:val="bottom"/>
            <w:gridSpan w:val="2"/>
            <w:vMerge w:val="continue"/>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132,806,045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133,575,652</w:t>
            </w:r>
          </w:p>
        </w:tc>
        <w:tc>
          <w:tcPr>
            <w:tcW w:w="1180" w:type="dxa"/>
            <w:vAlign w:val="bottom"/>
          </w:tcPr>
          <w:p>
            <w:pPr>
              <w:jc w:val="right"/>
              <w:spacing w:after="0"/>
              <w:rPr>
                <w:sz w:val="20"/>
                <w:szCs w:val="20"/>
                <w:color w:val="auto"/>
              </w:rPr>
            </w:pPr>
            <w:r>
              <w:rPr>
                <w:rFonts w:ascii="Arial" w:cs="Arial" w:eastAsia="Arial" w:hAnsi="Arial"/>
                <w:sz w:val="16"/>
                <w:szCs w:val="16"/>
                <w:color w:val="auto"/>
              </w:rPr>
              <w:t>133,270,996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133,800,822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Net income attributable to Lazard Ltd per share of Class A common stock:</w:t>
            </w: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ind w:left="380"/>
              <w:spacing w:after="0"/>
              <w:rPr>
                <w:sz w:val="20"/>
                <w:szCs w:val="20"/>
                <w:color w:val="auto"/>
              </w:rPr>
            </w:pPr>
            <w:r>
              <w:rPr>
                <w:rFonts w:ascii="Arial" w:cs="Arial" w:eastAsia="Arial" w:hAnsi="Arial"/>
                <w:sz w:val="16"/>
                <w:szCs w:val="16"/>
                <w:color w:val="auto"/>
              </w:rPr>
              <w:t>Basic</w:t>
            </w:r>
          </w:p>
        </w:tc>
        <w:tc>
          <w:tcPr>
            <w:tcW w:w="1160" w:type="dxa"/>
            <w:vAlign w:val="bottom"/>
          </w:tcPr>
          <w:p>
            <w:pPr>
              <w:jc w:val="right"/>
              <w:spacing w:after="0"/>
              <w:rPr>
                <w:sz w:val="20"/>
                <w:szCs w:val="20"/>
                <w:color w:val="auto"/>
              </w:rPr>
            </w:pPr>
            <w:r>
              <w:rPr>
                <w:rFonts w:ascii="Arial" w:cs="Arial" w:eastAsia="Arial" w:hAnsi="Arial"/>
                <w:sz w:val="16"/>
                <w:szCs w:val="16"/>
                <w:color w:val="auto"/>
              </w:rPr>
              <w:t>$2.96</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$0.69</w:t>
            </w:r>
          </w:p>
        </w:tc>
        <w:tc>
          <w:tcPr>
            <w:tcW w:w="1180" w:type="dxa"/>
            <w:vAlign w:val="bottom"/>
          </w:tcPr>
          <w:p>
            <w:pPr>
              <w:jc w:val="right"/>
              <w:spacing w:after="0"/>
              <w:rPr>
                <w:sz w:val="20"/>
                <w:szCs w:val="20"/>
                <w:color w:val="auto"/>
              </w:rPr>
            </w:pPr>
            <w:r>
              <w:rPr>
                <w:rFonts w:ascii="Arial" w:cs="Arial" w:eastAsia="Arial" w:hAnsi="Arial"/>
                <w:sz w:val="16"/>
                <w:szCs w:val="16"/>
                <w:color w:val="auto"/>
              </w:rPr>
              <w:t>$3.44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60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Diluted</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$0.64</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jc w:val="right"/>
              <w:ind w:right="198"/>
              <w:spacing w:after="0"/>
              <w:rPr>
                <w:sz w:val="20"/>
                <w:szCs w:val="20"/>
                <w:color w:val="auto"/>
              </w:rPr>
            </w:pPr>
            <w:r>
              <w:rPr>
                <w:rFonts w:ascii="Arial" w:cs="Arial" w:eastAsia="Arial" w:hAnsi="Arial"/>
                <w:sz w:val="16"/>
                <w:szCs w:val="16"/>
                <w:color w:val="auto"/>
              </w:rPr>
              <w:t>38</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608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0" w:right="23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LAZARD LTD</w:t>
      </w:r>
    </w:p>
    <w:p>
      <w:pPr>
        <w:spacing w:after="0" w:line="94"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auto"/>
        </w:rPr>
        <w:t>NOTES TO CONDENSED CONSOLIDATED FINANCIAL STATEMENTS—(Continued)</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(UNAUDITED)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(dollars in thousands, except for per share data, unless otherwise noted)</w:t>
      </w:r>
    </w:p>
    <w:p>
      <w:pPr>
        <w:spacing w:after="0" w:line="152" w:lineRule="exact"/>
        <w:rPr>
          <w:sz w:val="20"/>
          <w:szCs w:val="20"/>
          <w:color w:val="auto"/>
        </w:rPr>
      </w:pPr>
    </w:p>
    <w:p>
      <w:pPr>
        <w:ind w:left="460" w:hanging="459"/>
        <w:spacing w:after="0"/>
        <w:tabs>
          <w:tab w:leader="none" w:pos="460" w:val="left"/>
        </w:tabs>
        <w:numPr>
          <w:ilvl w:val="0"/>
          <w:numId w:val="2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REGULATORY AUTHORITIES</w:t>
      </w:r>
    </w:p>
    <w:p>
      <w:pPr>
        <w:spacing w:after="0" w:line="94" w:lineRule="exact"/>
        <w:rPr>
          <w:sz w:val="20"/>
          <w:szCs w:val="20"/>
          <w:color w:val="auto"/>
        </w:rPr>
      </w:pPr>
    </w:p>
    <w:p>
      <w:pPr>
        <w:ind w:right="20" w:firstLine="457"/>
        <w:spacing w:after="0" w:line="294" w:lineRule="auto"/>
        <w:rPr>
          <w:sz w:val="20"/>
          <w:szCs w:val="20"/>
          <w:color w:val="auto"/>
        </w:rPr>
      </w:pPr>
      <w:r>
        <w:rPr>
          <w:rFonts w:ascii="Arial" w:cs="Arial" w:eastAsia="Arial" w:hAnsi="Arial"/>
          <w:sz w:val="15"/>
          <w:szCs w:val="15"/>
          <w:color w:val="auto"/>
        </w:rPr>
        <w:t xml:space="preserve">LFNY is a U.S. registered broker-dealer and is subject to the net capital requirements of Rule 15c3-1 under the Securities Exchange Act of 1934. Under the basic method permitted by this rule, the minimum required net capital, as defined, is a specified fixed percentage (6 </w:t>
      </w:r>
      <w:r>
        <w:rPr>
          <w:rFonts w:ascii="Arial" w:cs="Arial" w:eastAsia="Arial" w:hAnsi="Arial"/>
          <w:sz w:val="9"/>
          <w:szCs w:val="9"/>
          <w:color w:val="auto"/>
        </w:rPr>
        <w:t>2</w:t>
      </w:r>
      <w:r>
        <w:rPr>
          <w:rFonts w:ascii="Arial" w:cs="Arial" w:eastAsia="Arial" w:hAnsi="Arial"/>
          <w:sz w:val="15"/>
          <w:szCs w:val="15"/>
          <w:color w:val="auto"/>
        </w:rPr>
        <w:t>/</w:t>
      </w:r>
      <w:r>
        <w:rPr>
          <w:rFonts w:ascii="Arial" w:cs="Arial" w:eastAsia="Arial" w:hAnsi="Arial"/>
          <w:sz w:val="9"/>
          <w:szCs w:val="9"/>
          <w:color w:val="auto"/>
        </w:rPr>
        <w:t>3</w:t>
      </w:r>
      <w:r>
        <w:rPr>
          <w:rFonts w:ascii="Arial" w:cs="Arial" w:eastAsia="Arial" w:hAnsi="Arial"/>
          <w:sz w:val="15"/>
          <w:szCs w:val="15"/>
          <w:color w:val="auto"/>
        </w:rPr>
        <w:t>%) of total aggregate indebtedness recorded in LFNY’s Financial and Operational Combined Uniform Single (“FOCUS”) report filed with the Financial Industry Regulatory Authority (“FINRA”), or $100, whichever is greater. In addition, the ratio of aggregate indebtedness (as defined) to net capital may not exceed 15:1. At June 30, 2015, LFNY’s regulatory net capital was $112,976, which exceeded the minimum requirement by $110,110. LFNY’s aggregate indebtedness to net capital ratio was 0.38:1 as of June 30, 2015.</w:t>
      </w:r>
    </w:p>
    <w:p>
      <w:pPr>
        <w:spacing w:after="0" w:line="108" w:lineRule="exact"/>
        <w:rPr>
          <w:sz w:val="20"/>
          <w:szCs w:val="20"/>
          <w:color w:val="auto"/>
        </w:rPr>
      </w:pPr>
    </w:p>
    <w:p>
      <w:pPr>
        <w:ind w:right="540" w:firstLine="457"/>
        <w:spacing w:after="0" w:line="280" w:lineRule="auto"/>
        <w:rPr>
          <w:sz w:val="20"/>
          <w:szCs w:val="20"/>
          <w:color w:val="auto"/>
        </w:rPr>
      </w:pPr>
      <w:r>
        <w:rPr>
          <w:rFonts w:ascii="Arial" w:cs="Arial" w:eastAsia="Arial" w:hAnsi="Arial"/>
          <w:sz w:val="16"/>
          <w:szCs w:val="16"/>
          <w:color w:val="auto"/>
        </w:rPr>
        <w:t>Certain U.K. subsidiaries of the Company, including LCL, Lazard Fund Managers Limited and Lazard Asset Management Limited (collectively, the “U.K. Subsidiaries”) are regulated by the Financial Conduct Authority. At June 30, 2015, the aggregate regulatory net capital of the U.K. Subsidiaries was $115,445, which exceeded the minimum requirement by $97,014.</w:t>
      </w:r>
    </w:p>
    <w:p>
      <w:pPr>
        <w:spacing w:after="0" w:line="115" w:lineRule="exact"/>
        <w:rPr>
          <w:sz w:val="20"/>
          <w:szCs w:val="20"/>
          <w:color w:val="auto"/>
        </w:rPr>
      </w:pPr>
    </w:p>
    <w:p>
      <w:pPr>
        <w:ind w:firstLine="457"/>
        <w:spacing w:after="0" w:line="285" w:lineRule="auto"/>
        <w:rPr>
          <w:sz w:val="20"/>
          <w:szCs w:val="20"/>
          <w:color w:val="auto"/>
        </w:rPr>
      </w:pPr>
      <w:r>
        <w:rPr>
          <w:rFonts w:ascii="Arial" w:cs="Arial" w:eastAsia="Arial" w:hAnsi="Arial"/>
          <w:sz w:val="15"/>
          <w:szCs w:val="15"/>
          <w:color w:val="auto"/>
        </w:rPr>
        <w:t>CFLF, under which asset management and commercial banking activities are carried out in France, is subject to regulation by the ACPR for its banking activities conducted through its subsidiary, LFB. The investment services activities of the Paris group, exercised through LFB and other subsidiaries of CFLF, primarily LFG (asset management), also are subject to regulation and supervision by the Autorité des Marchés Financiers. At June 30, 2015, the consolidated regulatory net capital of CFLF was $133,985, which exceeded the minimum requirement set for regulatory capital levels by $95,785. In addition, pursuant to the consolidated supervision rules in the European Union, LFB, in particular, as a French credit institution, is required to be supervised by a regulatory body, either in the U.S. or in the European Union. During the third quarter of 2013, the Company and the ACPR agreed on terms for the consolidated supervision of LFB and certain other non-Financial Advisory European subsidiaries of the Company (referred to herein, on a combined basis, as the “combined European regulated group”) under such rules. Under this new supervision, the combined European regulated group is required to comply with minimum requirements for regulatory net capital to be reported on a quarterly basis and satisfy periodic financial and other reporting obligations. At March 31, 2015, the regulatory net capital of the combined European regulated group was $201,766, which exceeded the minimum requirement set for regulatory capital levels by $126,478.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 (which is similar to the information that the Company had already been providing informally). This new supervision under, and provision of information to, the ACPR became effective December 31, 2013.</w:t>
      </w:r>
    </w:p>
    <w:p>
      <w:pPr>
        <w:spacing w:after="0" w:line="121" w:lineRule="exact"/>
        <w:rPr>
          <w:sz w:val="20"/>
          <w:szCs w:val="20"/>
          <w:color w:val="auto"/>
        </w:rPr>
      </w:pPr>
    </w:p>
    <w:p>
      <w:pPr>
        <w:jc w:val="both"/>
        <w:ind w:right="100" w:firstLine="457"/>
        <w:spacing w:after="0" w:line="280" w:lineRule="auto"/>
        <w:rPr>
          <w:sz w:val="20"/>
          <w:szCs w:val="20"/>
          <w:color w:val="auto"/>
        </w:rPr>
      </w:pPr>
      <w:r>
        <w:rPr>
          <w:rFonts w:ascii="Arial" w:cs="Arial" w:eastAsia="Arial" w:hAnsi="Arial"/>
          <w:sz w:val="16"/>
          <w:szCs w:val="16"/>
          <w:color w:val="auto"/>
        </w:rPr>
        <w:t>Certain other U.S. and non-U.S. subsidiaries are subject to various capital adequacy requirements promulgated by various regulatory and exchange authorities in the countries in which they operate. At June 30, 2015, for those subsidiaries with regulatory capital requirements, their aggregate net capital was $116,436, which exceeded the minimum required capital by $89,831.</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June 30, 2015, each of these subsidiaries individually was in compliance with its regulatory capital requirements.</w:t>
      </w:r>
    </w:p>
    <w:p>
      <w:pPr>
        <w:spacing w:after="0" w:line="170" w:lineRule="exact"/>
        <w:rPr>
          <w:sz w:val="20"/>
          <w:szCs w:val="20"/>
          <w:color w:val="auto"/>
        </w:rPr>
      </w:pPr>
    </w:p>
    <w:p>
      <w:pPr>
        <w:ind w:right="40" w:firstLine="457"/>
        <w:spacing w:after="0" w:line="296" w:lineRule="auto"/>
        <w:rPr>
          <w:sz w:val="20"/>
          <w:szCs w:val="20"/>
          <w:color w:val="auto"/>
        </w:rPr>
      </w:pPr>
      <w:r>
        <w:rPr>
          <w:rFonts w:ascii="Arial" w:cs="Arial" w:eastAsia="Arial" w:hAnsi="Arial"/>
          <w:sz w:val="16"/>
          <w:szCs w:val="16"/>
          <w:color w:val="auto"/>
        </w:rPr>
        <w:t>Any new or expanded rules and regulations that may be adopted in countries in which we operate (including regulations that have not yet been proposed) could affect us in other ways.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00"/>
          </w:cols>
          <w:pgMar w:left="240" w:top="440" w:right="25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LAZARD LTD</w:t>
      </w:r>
    </w:p>
    <w:p>
      <w:pPr>
        <w:spacing w:after="0" w:line="94"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auto"/>
        </w:rPr>
        <w:t>NOTES TO CONDENSED CONSOLIDATED FINANCIAL STATEMENTS—(Continued)</w:t>
      </w: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(UNAUDITED)</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(dollars in thousands, except for per share data, unless otherwise noted)</w:t>
      </w:r>
    </w:p>
    <w:p>
      <w:pPr>
        <w:spacing w:after="0" w:line="152" w:lineRule="exact"/>
        <w:rPr>
          <w:sz w:val="20"/>
          <w:szCs w:val="20"/>
          <w:color w:val="auto"/>
        </w:rPr>
      </w:pPr>
    </w:p>
    <w:p>
      <w:pPr>
        <w:ind w:left="460" w:hanging="459"/>
        <w:spacing w:after="0"/>
        <w:tabs>
          <w:tab w:leader="none" w:pos="460" w:val="left"/>
        </w:tabs>
        <w:numPr>
          <w:ilvl w:val="0"/>
          <w:numId w:val="3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SEGMENT INFORMATION</w:t>
      </w:r>
    </w:p>
    <w:p>
      <w:pPr>
        <w:spacing w:after="0" w:line="94" w:lineRule="exact"/>
        <w:rPr>
          <w:sz w:val="20"/>
          <w:szCs w:val="20"/>
          <w:color w:val="auto"/>
        </w:rPr>
      </w:pPr>
    </w:p>
    <w:p>
      <w:pPr>
        <w:ind w:right="120" w:firstLine="457"/>
        <w:spacing w:after="0" w:line="272" w:lineRule="auto"/>
        <w:rPr>
          <w:sz w:val="20"/>
          <w:szCs w:val="20"/>
          <w:color w:val="auto"/>
        </w:rPr>
      </w:pPr>
      <w:r>
        <w:rPr>
          <w:rFonts w:ascii="Arial" w:cs="Arial" w:eastAsia="Arial" w:hAnsi="Arial"/>
          <w:sz w:val="16"/>
          <w:szCs w:val="16"/>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its Financial Advisory and Asset Management business segments, as described in Note 1 of Notes to Condensed Consolidated Financial Statements. In addition, as described in Note 1 of Notes to Condensed Consolidated Financial Statements, the Company records selected other activities in its Corporate segment.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Company’s segment information for the three month and six month periods ended June 30, 2015 and 2014 is prepared using the following methodology:</w:t>
      </w:r>
    </w:p>
    <w:p>
      <w:pPr>
        <w:spacing w:after="0" w:line="106" w:lineRule="exact"/>
        <w:rPr>
          <w:sz w:val="20"/>
          <w:szCs w:val="20"/>
          <w:color w:val="auto"/>
        </w:rPr>
      </w:pPr>
    </w:p>
    <w:p>
      <w:pPr>
        <w:ind w:left="920" w:hanging="349"/>
        <w:spacing w:after="0"/>
        <w:tabs>
          <w:tab w:leader="none" w:pos="9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Revenue and expenses directly associated with each segment are included in determining operating income.</w:t>
      </w:r>
    </w:p>
    <w:p>
      <w:pPr>
        <w:spacing w:after="0" w:line="94" w:lineRule="exact"/>
        <w:rPr>
          <w:rFonts w:ascii="Arial" w:cs="Arial" w:eastAsia="Arial" w:hAnsi="Arial"/>
          <w:sz w:val="16"/>
          <w:szCs w:val="16"/>
          <w:color w:val="auto"/>
        </w:rPr>
      </w:pPr>
    </w:p>
    <w:p>
      <w:pPr>
        <w:ind w:left="920" w:hanging="349"/>
        <w:spacing w:after="0" w:line="296" w:lineRule="auto"/>
        <w:tabs>
          <w:tab w:leader="none" w:pos="9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Expenses not directly associated with specific segments are allocated based on the most relevant measures applicable, including headcount, square footage and other factors.</w:t>
      </w:r>
    </w:p>
    <w:p>
      <w:pPr>
        <w:spacing w:after="0" w:line="26" w:lineRule="exact"/>
        <w:rPr>
          <w:rFonts w:ascii="Arial" w:cs="Arial" w:eastAsia="Arial" w:hAnsi="Arial"/>
          <w:sz w:val="16"/>
          <w:szCs w:val="16"/>
          <w:color w:val="auto"/>
        </w:rPr>
      </w:pPr>
    </w:p>
    <w:p>
      <w:pPr>
        <w:ind w:left="920" w:right="80" w:hanging="349"/>
        <w:spacing w:after="0" w:line="296" w:lineRule="auto"/>
        <w:tabs>
          <w:tab w:leader="none" w:pos="9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03" w:lineRule="exact"/>
        <w:rPr>
          <w:sz w:val="20"/>
          <w:szCs w:val="20"/>
          <w:color w:val="auto"/>
        </w:rPr>
      </w:pPr>
    </w:p>
    <w:p>
      <w:pPr>
        <w:ind w:right="60" w:firstLine="457"/>
        <w:spacing w:after="0" w:line="296" w:lineRule="auto"/>
        <w:rPr>
          <w:sz w:val="20"/>
          <w:szCs w:val="20"/>
          <w:color w:val="auto"/>
        </w:rPr>
      </w:pPr>
      <w:r>
        <w:rPr>
          <w:rFonts w:ascii="Arial" w:cs="Arial" w:eastAsia="Arial" w:hAnsi="Arial"/>
          <w:sz w:val="16"/>
          <w:szCs w:val="16"/>
          <w:color w:val="auto"/>
        </w:rPr>
        <w:t>The Company allocates investment gains and losses, interest income and interest expense among the various segments based on the segment in which the underlying asset or liability is reported.</w:t>
      </w:r>
    </w:p>
    <w:p>
      <w:pPr>
        <w:spacing w:after="0" w:line="103" w:lineRule="exact"/>
        <w:rPr>
          <w:sz w:val="20"/>
          <w:szCs w:val="20"/>
          <w:color w:val="auto"/>
        </w:rPr>
      </w:pPr>
    </w:p>
    <w:p>
      <w:pPr>
        <w:jc w:val="both"/>
        <w:ind w:right="200" w:firstLine="457"/>
        <w:spacing w:after="0" w:line="325" w:lineRule="auto"/>
        <w:rPr>
          <w:sz w:val="20"/>
          <w:szCs w:val="20"/>
          <w:color w:val="auto"/>
        </w:rPr>
      </w:pPr>
      <w:r>
        <w:rPr>
          <w:rFonts w:ascii="Arial" w:cs="Arial" w:eastAsia="Arial" w:hAnsi="Arial"/>
          <w:sz w:val="14"/>
          <w:szCs w:val="14"/>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human resources, legal, facilities management and senior management activities.</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380"/>
          </w:cols>
          <w:pgMar w:left="240" w:top="440" w:right="27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LAZARD LTD</w:t>
      </w:r>
    </w:p>
    <w:p>
      <w:pPr>
        <w:spacing w:after="0" w:line="94"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auto"/>
        </w:rPr>
        <w:t>NOTES TO CONDENSED CONSOLIDATED FINANCIAL STATEMENTS—(Continued)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except for per share data, unless otherwise noted)</w:t>
      </w:r>
    </w:p>
    <w:p>
      <w:pPr>
        <w:spacing w:after="0" w:line="152" w:lineRule="exact"/>
        <w:rPr>
          <w:sz w:val="20"/>
          <w:szCs w:val="20"/>
          <w:color w:val="auto"/>
        </w:rPr>
      </w:pPr>
    </w:p>
    <w:p>
      <w:pPr>
        <w:ind w:right="740" w:firstLine="457"/>
        <w:spacing w:after="0" w:line="296" w:lineRule="auto"/>
        <w:rPr>
          <w:sz w:val="20"/>
          <w:szCs w:val="20"/>
          <w:color w:val="auto"/>
        </w:rPr>
      </w:pPr>
      <w:r>
        <w:rPr>
          <w:rFonts w:ascii="Arial" w:cs="Arial" w:eastAsia="Arial" w:hAnsi="Arial"/>
          <w:sz w:val="16"/>
          <w:szCs w:val="16"/>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6"/>
          </w:tcPr>
          <w:p>
            <w:pPr>
              <w:jc w:val="right"/>
              <w:ind w:right="500"/>
              <w:spacing w:after="0"/>
              <w:rPr>
                <w:sz w:val="20"/>
                <w:szCs w:val="20"/>
                <w:color w:val="auto"/>
              </w:rPr>
            </w:pPr>
            <w:r>
              <w:rPr>
                <w:rFonts w:ascii="Arial" w:cs="Arial" w:eastAsia="Arial" w:hAnsi="Arial"/>
                <w:sz w:val="13"/>
                <w:szCs w:val="13"/>
                <w:b w:val="1"/>
                <w:bCs w:val="1"/>
                <w:color w:val="auto"/>
              </w:rPr>
              <w:t>Three Months Ended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gridSpan w:val="7"/>
          </w:tcPr>
          <w:p>
            <w:pPr>
              <w:jc w:val="center"/>
              <w:ind w:right="200"/>
              <w:spacing w:after="0"/>
              <w:rPr>
                <w:sz w:val="20"/>
                <w:szCs w:val="20"/>
                <w:color w:val="auto"/>
              </w:rPr>
            </w:pPr>
            <w:r>
              <w:rPr>
                <w:rFonts w:ascii="Arial" w:cs="Arial" w:eastAsia="Arial" w:hAnsi="Arial"/>
                <w:sz w:val="13"/>
                <w:szCs w:val="13"/>
                <w:b w:val="1"/>
                <w:bCs w:val="1"/>
                <w:color w:val="auto"/>
                <w:w w:val="88"/>
              </w:rPr>
              <w:t>Six Months Ended</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4"/>
          </w:tcPr>
          <w:p>
            <w:pPr>
              <w:jc w:val="right"/>
              <w:ind w:right="18"/>
              <w:spacing w:after="0"/>
              <w:rPr>
                <w:sz w:val="20"/>
                <w:szCs w:val="20"/>
                <w:color w:val="auto"/>
              </w:rPr>
            </w:pPr>
            <w:r>
              <w:rPr>
                <w:rFonts w:ascii="Arial" w:cs="Arial" w:eastAsia="Arial" w:hAnsi="Arial"/>
                <w:sz w:val="13"/>
                <w:szCs w:val="13"/>
                <w:b w:val="1"/>
                <w:bCs w:val="1"/>
                <w:color w:val="auto"/>
              </w:rPr>
              <w:t>June 30,</w:t>
            </w:r>
          </w:p>
        </w:tc>
        <w:tc>
          <w:tcPr>
            <w:tcW w:w="5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4"/>
          </w:tcPr>
          <w:p>
            <w:pPr>
              <w:jc w:val="center"/>
              <w:ind w:right="10"/>
              <w:spacing w:after="0"/>
              <w:rPr>
                <w:sz w:val="20"/>
                <w:szCs w:val="20"/>
                <w:color w:val="auto"/>
              </w:rPr>
            </w:pPr>
            <w:r>
              <w:rPr>
                <w:rFonts w:ascii="Arial" w:cs="Arial" w:eastAsia="Arial" w:hAnsi="Arial"/>
                <w:sz w:val="13"/>
                <w:szCs w:val="13"/>
                <w:b w:val="1"/>
                <w:bCs w:val="1"/>
                <w:color w:val="auto"/>
                <w:w w:val="84"/>
              </w:rPr>
              <w:t>June 30,</w:t>
            </w:r>
          </w:p>
        </w:tc>
        <w:tc>
          <w:tcPr>
            <w:tcW w:w="7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20" w:type="dxa"/>
            <w:vAlign w:val="bottom"/>
            <w:tcBorders>
              <w:bottom w:val="single" w:sz="8" w:color="CCEEFF"/>
            </w:tcBorders>
          </w:tcPr>
          <w:p>
            <w:pPr>
              <w:spacing w:after="0"/>
              <w:rPr>
                <w:sz w:val="11"/>
                <w:szCs w:val="11"/>
                <w:color w:val="auto"/>
              </w:rPr>
            </w:pPr>
          </w:p>
        </w:tc>
        <w:tc>
          <w:tcPr>
            <w:tcW w:w="1580" w:type="dxa"/>
            <w:vAlign w:val="bottom"/>
            <w:tcBorders>
              <w:bottom w:val="single" w:sz="8" w:color="CCEEFF"/>
            </w:tcBorders>
          </w:tcPr>
          <w:p>
            <w:pPr>
              <w:spacing w:after="0"/>
              <w:rPr>
                <w:sz w:val="11"/>
                <w:szCs w:val="11"/>
                <w:color w:val="auto"/>
              </w:rPr>
            </w:pPr>
          </w:p>
        </w:tc>
        <w:tc>
          <w:tcPr>
            <w:tcW w:w="3580" w:type="dxa"/>
            <w:vAlign w:val="bottom"/>
            <w:tcBorders>
              <w:bottom w:val="single" w:sz="8" w:color="CCEEFF"/>
            </w:tcBorders>
          </w:tcPr>
          <w:p>
            <w:pPr>
              <w:spacing w:after="0"/>
              <w:rPr>
                <w:sz w:val="11"/>
                <w:szCs w:val="11"/>
                <w:color w:val="auto"/>
              </w:rPr>
            </w:pPr>
          </w:p>
        </w:tc>
        <w:tc>
          <w:tcPr>
            <w:tcW w:w="8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82"/>
              <w:spacing w:after="0" w:line="132" w:lineRule="exact"/>
              <w:rPr>
                <w:sz w:val="20"/>
                <w:szCs w:val="20"/>
                <w:color w:val="auto"/>
              </w:rPr>
            </w:pPr>
            <w:r>
              <w:rPr>
                <w:rFonts w:ascii="Arial" w:cs="Arial" w:eastAsia="Arial" w:hAnsi="Arial"/>
                <w:sz w:val="13"/>
                <w:szCs w:val="13"/>
                <w:b w:val="1"/>
                <w:bCs w:val="1"/>
                <w:color w:val="auto"/>
              </w:rPr>
              <w:t>2015</w:t>
            </w:r>
          </w:p>
        </w:tc>
        <w:tc>
          <w:tcPr>
            <w:tcW w:w="2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19"/>
              <w:spacing w:after="0" w:line="132" w:lineRule="exact"/>
              <w:rPr>
                <w:sz w:val="20"/>
                <w:szCs w:val="20"/>
                <w:color w:val="auto"/>
              </w:rPr>
            </w:pPr>
            <w:r>
              <w:rPr>
                <w:rFonts w:ascii="Arial" w:cs="Arial" w:eastAsia="Arial" w:hAnsi="Arial"/>
                <w:sz w:val="13"/>
                <w:szCs w:val="13"/>
                <w:b w:val="1"/>
                <w:bCs w:val="1"/>
                <w:color w:val="auto"/>
              </w:rPr>
              <w:t>2014</w:t>
            </w:r>
          </w:p>
        </w:tc>
        <w:tc>
          <w:tcPr>
            <w:tcW w:w="18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22"/>
              <w:spacing w:after="0" w:line="132" w:lineRule="exact"/>
              <w:rPr>
                <w:sz w:val="20"/>
                <w:szCs w:val="20"/>
                <w:color w:val="auto"/>
              </w:rPr>
            </w:pPr>
            <w:r>
              <w:rPr>
                <w:rFonts w:ascii="Arial" w:cs="Arial" w:eastAsia="Arial" w:hAnsi="Arial"/>
                <w:sz w:val="13"/>
                <w:szCs w:val="13"/>
                <w:b w:val="1"/>
                <w:bCs w:val="1"/>
                <w:color w:val="auto"/>
              </w:rPr>
              <w:t>2015</w:t>
            </w: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20"/>
              <w:spacing w:after="0" w:line="132" w:lineRule="exact"/>
              <w:rPr>
                <w:sz w:val="20"/>
                <w:szCs w:val="20"/>
                <w:color w:val="auto"/>
              </w:rPr>
            </w:pPr>
            <w:r>
              <w:rPr>
                <w:rFonts w:ascii="Arial" w:cs="Arial" w:eastAsia="Arial" w:hAnsi="Arial"/>
                <w:sz w:val="13"/>
                <w:szCs w:val="13"/>
                <w:b w:val="1"/>
                <w:bCs w:val="1"/>
                <w:color w:val="auto"/>
              </w:rPr>
              <w:t>2014</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Financial Advisory</w:t>
            </w:r>
          </w:p>
        </w:tc>
        <w:tc>
          <w:tcPr>
            <w:tcW w:w="3580" w:type="dxa"/>
            <w:vAlign w:val="bottom"/>
            <w:shd w:val="clear" w:color="auto" w:fill="CCEEFF"/>
          </w:tcPr>
          <w:p>
            <w:pPr>
              <w:ind w:left="1040"/>
              <w:spacing w:after="0"/>
              <w:rPr>
                <w:sz w:val="20"/>
                <w:szCs w:val="20"/>
                <w:color w:val="auto"/>
              </w:rPr>
            </w:pPr>
            <w:r>
              <w:rPr>
                <w:rFonts w:ascii="Arial" w:cs="Arial" w:eastAsia="Arial" w:hAnsi="Arial"/>
                <w:sz w:val="16"/>
                <w:szCs w:val="16"/>
                <w:color w:val="auto"/>
              </w:rPr>
              <w:t>Net Revenue</w:t>
            </w: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316,384</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280,769</w:t>
            </w:r>
          </w:p>
        </w:tc>
        <w:tc>
          <w:tcPr>
            <w:tcW w:w="1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617,903</w:t>
            </w: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556,265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580" w:type="dxa"/>
            <w:vAlign w:val="bottom"/>
          </w:tcPr>
          <w:p>
            <w:pPr>
              <w:ind w:left="1040"/>
              <w:spacing w:after="0"/>
              <w:rPr>
                <w:sz w:val="20"/>
                <w:szCs w:val="20"/>
                <w:color w:val="auto"/>
              </w:rPr>
            </w:pPr>
            <w:r>
              <w:rPr>
                <w:rFonts w:ascii="Arial" w:cs="Arial" w:eastAsia="Arial" w:hAnsi="Arial"/>
                <w:sz w:val="16"/>
                <w:szCs w:val="16"/>
                <w:color w:val="auto"/>
              </w:rPr>
              <w:t>Operating Expenses</w:t>
            </w:r>
          </w:p>
        </w:tc>
        <w:tc>
          <w:tcPr>
            <w:tcW w:w="8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253,221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253,804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496,156</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499,219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580" w:type="dxa"/>
            <w:vAlign w:val="bottom"/>
            <w:shd w:val="clear" w:color="auto" w:fill="CCEEFF"/>
          </w:tcPr>
          <w:p>
            <w:pPr>
              <w:ind w:left="1040"/>
              <w:spacing w:after="0"/>
              <w:rPr>
                <w:sz w:val="20"/>
                <w:szCs w:val="20"/>
                <w:color w:val="auto"/>
              </w:rPr>
            </w:pPr>
            <w:r>
              <w:rPr>
                <w:rFonts w:ascii="Arial" w:cs="Arial" w:eastAsia="Arial" w:hAnsi="Arial"/>
                <w:sz w:val="16"/>
                <w:szCs w:val="16"/>
                <w:color w:val="auto"/>
              </w:rPr>
              <w:t>Operating Income</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63,163</w:t>
            </w:r>
          </w:p>
        </w:tc>
        <w:tc>
          <w:tcPr>
            <w:tcW w:w="2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26,965</w:t>
            </w:r>
          </w:p>
        </w:tc>
        <w:tc>
          <w:tcPr>
            <w:tcW w:w="1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121,747</w:t>
            </w:r>
          </w:p>
        </w:tc>
        <w:tc>
          <w:tcPr>
            <w:tcW w:w="3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2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Asset Management</w:t>
            </w:r>
          </w:p>
        </w:tc>
        <w:tc>
          <w:tcPr>
            <w:tcW w:w="3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2720" w:type="dxa"/>
            <w:vAlign w:val="bottom"/>
            <w:gridSpan w:val="3"/>
            <w:vMerge w:val="continue"/>
          </w:tcPr>
          <w:p>
            <w:pPr>
              <w:spacing w:after="0"/>
              <w:rPr>
                <w:sz w:val="24"/>
                <w:szCs w:val="24"/>
                <w:color w:val="auto"/>
              </w:rPr>
            </w:pPr>
          </w:p>
        </w:tc>
        <w:tc>
          <w:tcPr>
            <w:tcW w:w="3580" w:type="dxa"/>
            <w:vAlign w:val="bottom"/>
          </w:tcPr>
          <w:p>
            <w:pPr>
              <w:ind w:left="1040"/>
              <w:spacing w:after="0"/>
              <w:rPr>
                <w:sz w:val="20"/>
                <w:szCs w:val="20"/>
                <w:color w:val="auto"/>
              </w:rPr>
            </w:pPr>
            <w:r>
              <w:rPr>
                <w:rFonts w:ascii="Arial" w:cs="Arial" w:eastAsia="Arial" w:hAnsi="Arial"/>
                <w:sz w:val="16"/>
                <w:szCs w:val="16"/>
                <w:color w:val="auto"/>
              </w:rPr>
              <w:t>Net Revenue</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305,838</w:t>
            </w:r>
          </w:p>
        </w:tc>
        <w:tc>
          <w:tcPr>
            <w:tcW w:w="20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3"/>
              </w:rPr>
              <w:t>288,164</w:t>
            </w:r>
          </w:p>
        </w:tc>
        <w:tc>
          <w:tcPr>
            <w:tcW w:w="18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585,645</w:t>
            </w:r>
          </w:p>
        </w:tc>
        <w:tc>
          <w:tcPr>
            <w:tcW w:w="30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556,728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580" w:type="dxa"/>
            <w:vAlign w:val="bottom"/>
            <w:shd w:val="clear" w:color="auto" w:fill="CCEEFF"/>
          </w:tcPr>
          <w:p>
            <w:pPr>
              <w:ind w:left="1040"/>
              <w:spacing w:after="0"/>
              <w:rPr>
                <w:sz w:val="20"/>
                <w:szCs w:val="20"/>
                <w:color w:val="auto"/>
              </w:rPr>
            </w:pPr>
            <w:r>
              <w:rPr>
                <w:rFonts w:ascii="Arial" w:cs="Arial" w:eastAsia="Arial" w:hAnsi="Arial"/>
                <w:sz w:val="16"/>
                <w:szCs w:val="16"/>
                <w:color w:val="auto"/>
              </w:rPr>
              <w:t>Operating Expenses</w:t>
            </w:r>
          </w:p>
        </w:tc>
        <w:tc>
          <w:tcPr>
            <w:tcW w:w="8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193,791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185,237</w:t>
            </w:r>
          </w:p>
        </w:tc>
        <w:tc>
          <w:tcPr>
            <w:tcW w:w="1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375,583</w:t>
            </w: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360,998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580" w:type="dxa"/>
            <w:vAlign w:val="bottom"/>
          </w:tcPr>
          <w:p>
            <w:pPr>
              <w:ind w:left="1040"/>
              <w:spacing w:after="0"/>
              <w:rPr>
                <w:sz w:val="20"/>
                <w:szCs w:val="20"/>
                <w:color w:val="auto"/>
              </w:rPr>
            </w:pPr>
            <w:r>
              <w:rPr>
                <w:rFonts w:ascii="Arial" w:cs="Arial" w:eastAsia="Arial" w:hAnsi="Arial"/>
                <w:sz w:val="16"/>
                <w:szCs w:val="16"/>
                <w:color w:val="auto"/>
              </w:rPr>
              <w:t>Operating Income</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112,047</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3"/>
              </w:rPr>
              <w:t>102,927</w:t>
            </w:r>
          </w:p>
        </w:tc>
        <w:tc>
          <w:tcPr>
            <w:tcW w:w="18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210,062</w:t>
            </w:r>
          </w:p>
        </w:tc>
        <w:tc>
          <w:tcPr>
            <w:tcW w:w="30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195,730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1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5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Corporate</w:t>
            </w:r>
          </w:p>
        </w:tc>
        <w:tc>
          <w:tcPr>
            <w:tcW w:w="3580" w:type="dxa"/>
            <w:vAlign w:val="bottom"/>
            <w:shd w:val="clear" w:color="auto" w:fill="CCEEFF"/>
          </w:tcPr>
          <w:p>
            <w:pPr>
              <w:ind w:left="1040"/>
              <w:spacing w:after="0"/>
              <w:rPr>
                <w:sz w:val="20"/>
                <w:szCs w:val="20"/>
                <w:color w:val="auto"/>
              </w:rPr>
            </w:pPr>
            <w:r>
              <w:rPr>
                <w:rFonts w:ascii="Arial" w:cs="Arial" w:eastAsia="Arial" w:hAnsi="Arial"/>
                <w:sz w:val="16"/>
                <w:szCs w:val="16"/>
                <w:color w:val="auto"/>
              </w:rPr>
              <w:t>Net Revenue</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(13,130)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(2,037)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(16,707)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(12,697)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580" w:type="dxa"/>
            <w:vAlign w:val="bottom"/>
          </w:tcPr>
          <w:p>
            <w:pPr>
              <w:ind w:left="1040"/>
              <w:spacing w:after="0"/>
              <w:rPr>
                <w:sz w:val="20"/>
                <w:szCs w:val="20"/>
                <w:color w:val="auto"/>
              </w:rPr>
            </w:pPr>
            <w:r>
              <w:rPr>
                <w:rFonts w:ascii="Arial" w:cs="Arial" w:eastAsia="Arial" w:hAnsi="Arial"/>
                <w:sz w:val="16"/>
                <w:szCs w:val="16"/>
                <w:color w:val="auto"/>
              </w:rPr>
              <w:t>Operating Expenses (a)</w:t>
            </w:r>
          </w:p>
        </w:tc>
        <w:tc>
          <w:tcPr>
            <w:tcW w:w="8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963,456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1,041,815</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580" w:type="dxa"/>
            <w:vAlign w:val="bottom"/>
            <w:shd w:val="clear" w:color="auto" w:fill="CCEEFF"/>
          </w:tcPr>
          <w:p>
            <w:pPr>
              <w:ind w:left="1040"/>
              <w:spacing w:after="0"/>
              <w:rPr>
                <w:sz w:val="20"/>
                <w:szCs w:val="20"/>
                <w:color w:val="auto"/>
              </w:rPr>
            </w:pPr>
            <w:r>
              <w:rPr>
                <w:rFonts w:ascii="Arial" w:cs="Arial" w:eastAsia="Arial" w:hAnsi="Arial"/>
                <w:sz w:val="16"/>
                <w:szCs w:val="16"/>
                <w:color w:val="auto"/>
              </w:rPr>
              <w:t>Operating Loss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(976,586)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(30,912)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(1,058,522)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(46,616)</w:t>
            </w:r>
          </w:p>
        </w:tc>
        <w:tc>
          <w:tcPr>
            <w:tcW w:w="0" w:type="dxa"/>
            <w:vAlign w:val="bottom"/>
          </w:tcPr>
          <w:p>
            <w:pPr>
              <w:spacing w:after="0"/>
              <w:rPr>
                <w:sz w:val="1"/>
                <w:szCs w:val="1"/>
                <w:color w:val="auto"/>
              </w:rPr>
            </w:pPr>
          </w:p>
        </w:tc>
      </w:tr>
      <w:tr>
        <w:trPr>
          <w:trHeight w:val="20"/>
        </w:trPr>
        <w:tc>
          <w:tcPr>
            <w:tcW w:w="272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Total</w:t>
            </w:r>
          </w:p>
        </w:tc>
        <w:tc>
          <w:tcPr>
            <w:tcW w:w="3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2720" w:type="dxa"/>
            <w:vAlign w:val="bottom"/>
            <w:gridSpan w:val="3"/>
            <w:vMerge w:val="continue"/>
          </w:tcPr>
          <w:p>
            <w:pPr>
              <w:spacing w:after="0"/>
              <w:rPr>
                <w:sz w:val="24"/>
                <w:szCs w:val="24"/>
                <w:color w:val="auto"/>
              </w:rPr>
            </w:pPr>
          </w:p>
        </w:tc>
        <w:tc>
          <w:tcPr>
            <w:tcW w:w="3580" w:type="dxa"/>
            <w:vAlign w:val="bottom"/>
          </w:tcPr>
          <w:p>
            <w:pPr>
              <w:ind w:left="1040"/>
              <w:spacing w:after="0"/>
              <w:rPr>
                <w:sz w:val="20"/>
                <w:szCs w:val="20"/>
                <w:color w:val="auto"/>
              </w:rPr>
            </w:pPr>
            <w:r>
              <w:rPr>
                <w:rFonts w:ascii="Arial" w:cs="Arial" w:eastAsia="Arial" w:hAnsi="Arial"/>
                <w:sz w:val="16"/>
                <w:szCs w:val="16"/>
                <w:color w:val="auto"/>
              </w:rPr>
              <w:t>Net Revenue</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609,092</w:t>
            </w:r>
          </w:p>
        </w:tc>
        <w:tc>
          <w:tcPr>
            <w:tcW w:w="20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3"/>
              </w:rPr>
              <w:t>566,896</w:t>
            </w:r>
          </w:p>
        </w:tc>
        <w:tc>
          <w:tcPr>
            <w:tcW w:w="18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1,186,841</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1,100,296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580" w:type="dxa"/>
            <w:vAlign w:val="bottom"/>
            <w:shd w:val="clear" w:color="auto" w:fill="CCEEFF"/>
          </w:tcPr>
          <w:p>
            <w:pPr>
              <w:ind w:left="1040"/>
              <w:spacing w:after="0"/>
              <w:rPr>
                <w:sz w:val="20"/>
                <w:szCs w:val="20"/>
                <w:color w:val="auto"/>
              </w:rPr>
            </w:pPr>
            <w:r>
              <w:rPr>
                <w:rFonts w:ascii="Arial" w:cs="Arial" w:eastAsia="Arial" w:hAnsi="Arial"/>
                <w:sz w:val="16"/>
                <w:szCs w:val="16"/>
                <w:color w:val="auto"/>
              </w:rPr>
              <w:t>Operating Expenses</w:t>
            </w:r>
          </w:p>
        </w:tc>
        <w:tc>
          <w:tcPr>
            <w:tcW w:w="8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1,410,468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467,916</w:t>
            </w:r>
          </w:p>
        </w:tc>
        <w:tc>
          <w:tcPr>
            <w:tcW w:w="1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1,913,554</w:t>
            </w: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894,136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580" w:type="dxa"/>
            <w:vAlign w:val="bottom"/>
          </w:tcPr>
          <w:p>
            <w:pPr>
              <w:ind w:left="1040"/>
              <w:spacing w:after="0"/>
              <w:rPr>
                <w:sz w:val="20"/>
                <w:szCs w:val="20"/>
                <w:color w:val="auto"/>
              </w:rPr>
            </w:pPr>
            <w:r>
              <w:rPr>
                <w:rFonts w:ascii="Arial" w:cs="Arial" w:eastAsia="Arial" w:hAnsi="Arial"/>
                <w:sz w:val="16"/>
                <w:szCs w:val="16"/>
                <w:color w:val="auto"/>
              </w:rPr>
              <w:t>Operating Income (Loss)</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(801,376)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98,980</w:t>
            </w:r>
          </w:p>
        </w:tc>
        <w:tc>
          <w:tcPr>
            <w:tcW w:w="18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3"/>
          </w:tcPr>
          <w:p>
            <w:pPr>
              <w:jc w:val="right"/>
              <w:ind w:right="240"/>
              <w:spacing w:after="0"/>
              <w:rPr>
                <w:sz w:val="20"/>
                <w:szCs w:val="20"/>
                <w:color w:val="auto"/>
              </w:rPr>
            </w:pPr>
            <w:r>
              <w:rPr>
                <w:rFonts w:ascii="Arial" w:cs="Arial" w:eastAsia="Arial" w:hAnsi="Arial"/>
                <w:sz w:val="16"/>
                <w:szCs w:val="16"/>
                <w:color w:val="auto"/>
              </w:rPr>
              <w:t>(726,713)</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206,160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As Of</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3"/>
          </w:tcPr>
          <w:p>
            <w:pPr>
              <w:jc w:val="right"/>
              <w:ind w:right="580"/>
              <w:spacing w:after="0" w:line="119" w:lineRule="exact"/>
              <w:rPr>
                <w:sz w:val="20"/>
                <w:szCs w:val="20"/>
                <w:color w:val="auto"/>
              </w:rPr>
            </w:pPr>
            <w:r>
              <w:rPr>
                <w:rFonts w:ascii="Arial" w:cs="Arial" w:eastAsia="Arial" w:hAnsi="Arial"/>
                <w:sz w:val="13"/>
                <w:szCs w:val="13"/>
                <w:b w:val="1"/>
                <w:bCs w:val="1"/>
                <w:color w:val="auto"/>
                <w:w w:val="92"/>
              </w:rPr>
              <w:t>June 30,</w:t>
            </w:r>
          </w:p>
        </w:tc>
        <w:tc>
          <w:tcPr>
            <w:tcW w:w="40" w:type="dxa"/>
            <w:vAlign w:val="bottom"/>
          </w:tcPr>
          <w:p>
            <w:pPr>
              <w:spacing w:after="0"/>
              <w:rPr>
                <w:sz w:val="10"/>
                <w:szCs w:val="10"/>
                <w:color w:val="auto"/>
              </w:rPr>
            </w:pPr>
          </w:p>
        </w:tc>
        <w:tc>
          <w:tcPr>
            <w:tcW w:w="8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89"/>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120" w:type="dxa"/>
            <w:vAlign w:val="bottom"/>
            <w:tcBorders>
              <w:bottom w:val="single" w:sz="8" w:color="CCEEFF"/>
            </w:tcBorders>
          </w:tcPr>
          <w:p>
            <w:pPr>
              <w:spacing w:after="0"/>
              <w:rPr>
                <w:sz w:val="13"/>
                <w:szCs w:val="13"/>
                <w:color w:val="auto"/>
              </w:rPr>
            </w:pPr>
          </w:p>
        </w:tc>
        <w:tc>
          <w:tcPr>
            <w:tcW w:w="1580" w:type="dxa"/>
            <w:vAlign w:val="bottom"/>
            <w:tcBorders>
              <w:bottom w:val="single" w:sz="8" w:color="CCEEFF"/>
            </w:tcBorders>
          </w:tcPr>
          <w:p>
            <w:pPr>
              <w:spacing w:after="0"/>
              <w:rPr>
                <w:sz w:val="13"/>
                <w:szCs w:val="13"/>
                <w:color w:val="auto"/>
              </w:rPr>
            </w:pPr>
          </w:p>
        </w:tc>
        <w:tc>
          <w:tcPr>
            <w:tcW w:w="358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02"/>
              <w:spacing w:after="0"/>
              <w:rPr>
                <w:sz w:val="20"/>
                <w:szCs w:val="20"/>
                <w:color w:val="auto"/>
              </w:rPr>
            </w:pPr>
            <w:r>
              <w:rPr>
                <w:rFonts w:ascii="Arial" w:cs="Arial" w:eastAsia="Arial" w:hAnsi="Arial"/>
                <w:sz w:val="13"/>
                <w:szCs w:val="13"/>
                <w:b w:val="1"/>
                <w:bCs w:val="1"/>
                <w:color w:val="auto"/>
              </w:rPr>
              <w:t>2015</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0"/>
              <w:spacing w:after="0"/>
              <w:rPr>
                <w:sz w:val="20"/>
                <w:szCs w:val="20"/>
                <w:color w:val="auto"/>
              </w:rPr>
            </w:pPr>
            <w:r>
              <w:rPr>
                <w:rFonts w:ascii="Arial" w:cs="Arial" w:eastAsia="Arial" w:hAnsi="Arial"/>
                <w:sz w:val="13"/>
                <w:szCs w:val="13"/>
                <w:b w:val="1"/>
                <w:bCs w:val="1"/>
                <w:color w:val="auto"/>
              </w:rPr>
              <w:t>2014</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00" w:type="dxa"/>
            <w:vAlign w:val="bottom"/>
            <w:gridSpan w:val="2"/>
            <w:shd w:val="clear" w:color="auto" w:fill="CCEEFF"/>
          </w:tcPr>
          <w:p>
            <w:pPr>
              <w:spacing w:after="0" w:line="182" w:lineRule="exact"/>
              <w:rPr>
                <w:sz w:val="20"/>
                <w:szCs w:val="20"/>
                <w:color w:val="auto"/>
              </w:rPr>
            </w:pPr>
            <w:r>
              <w:rPr>
                <w:rFonts w:ascii="Arial" w:cs="Arial" w:eastAsia="Arial" w:hAnsi="Arial"/>
                <w:sz w:val="16"/>
                <w:szCs w:val="16"/>
                <w:b w:val="1"/>
                <w:bCs w:val="1"/>
                <w:color w:val="auto"/>
              </w:rPr>
              <w:t>Total Assets</w:t>
            </w:r>
          </w:p>
        </w:tc>
        <w:tc>
          <w:tcPr>
            <w:tcW w:w="35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2"/>
          </w:tcPr>
          <w:p>
            <w:pPr>
              <w:ind w:left="380"/>
              <w:spacing w:after="0"/>
              <w:rPr>
                <w:sz w:val="20"/>
                <w:szCs w:val="20"/>
                <w:color w:val="auto"/>
              </w:rPr>
            </w:pPr>
            <w:r>
              <w:rPr>
                <w:rFonts w:ascii="Arial" w:cs="Arial" w:eastAsia="Arial" w:hAnsi="Arial"/>
                <w:sz w:val="16"/>
                <w:szCs w:val="16"/>
                <w:color w:val="auto"/>
              </w:rPr>
              <w:t>Financial Advisory</w:t>
            </w:r>
          </w:p>
        </w:tc>
        <w:tc>
          <w:tcPr>
            <w:tcW w:w="3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773,432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785,557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Asset Management</w:t>
            </w:r>
          </w:p>
        </w:tc>
        <w:tc>
          <w:tcPr>
            <w:tcW w:w="35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486,851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588,403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2"/>
          </w:tcPr>
          <w:p>
            <w:pPr>
              <w:ind w:left="380"/>
              <w:spacing w:after="0"/>
              <w:rPr>
                <w:sz w:val="20"/>
                <w:szCs w:val="20"/>
                <w:color w:val="auto"/>
              </w:rPr>
            </w:pPr>
            <w:r>
              <w:rPr>
                <w:rFonts w:ascii="Arial" w:cs="Arial" w:eastAsia="Arial" w:hAnsi="Arial"/>
                <w:sz w:val="16"/>
                <w:szCs w:val="16"/>
                <w:color w:val="auto"/>
              </w:rPr>
              <w:t>Corporate (b)</w:t>
            </w:r>
          </w:p>
        </w:tc>
        <w:tc>
          <w:tcPr>
            <w:tcW w:w="3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2"/>
              </w:rPr>
              <w:t>2,891,658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w w:val="95"/>
              </w:rPr>
              <w:t>1,958,276</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5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4,151,941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5"/>
              </w:rPr>
              <w:t>3,332,236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20" w:type="dxa"/>
            <w:vAlign w:val="bottom"/>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580" w:type="dxa"/>
            <w:vAlign w:val="bottom"/>
          </w:tcPr>
          <w:p>
            <w:pPr>
              <w:spacing w:after="0"/>
              <w:rPr>
                <w:sz w:val="6"/>
                <w:szCs w:val="6"/>
                <w:color w:val="auto"/>
              </w:rPr>
            </w:pPr>
          </w:p>
        </w:tc>
        <w:tc>
          <w:tcPr>
            <w:tcW w:w="35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460" w:right="140" w:hanging="459"/>
        <w:spacing w:after="0" w:line="266"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Operating expenses include $961,948 and $968,483 in the three month and six month periods ended June 30, 2015, respectively, recorded for the provision pursuant to the tax receivable agreement. See Note 14 of Notes to Condensed Consolidated Financial Statements for information regarding the tax receivable agreement obligation.</w:t>
      </w:r>
    </w:p>
    <w:p>
      <w:pPr>
        <w:spacing w:after="0" w:line="1" w:lineRule="exact"/>
        <w:rPr>
          <w:rFonts w:ascii="Arial" w:cs="Arial" w:eastAsia="Arial" w:hAnsi="Arial"/>
          <w:sz w:val="16"/>
          <w:szCs w:val="16"/>
          <w:color w:val="auto"/>
        </w:rPr>
      </w:pPr>
    </w:p>
    <w:p>
      <w:pPr>
        <w:ind w:left="460" w:right="340" w:hanging="459"/>
        <w:spacing w:after="0" w:line="288"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Corporate segment assets include amounts recorded for deferred tax assets of $1,255,440 and $59,041 at June 30, 2015 and December 31, 2014, respectively. See Note 14 of Notes to Condensed Consolidated Financial Statements for information regarding deferred tax assets.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440" w:right="23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98" w:lineRule="exact"/>
        <w:rPr>
          <w:sz w:val="20"/>
          <w:szCs w:val="20"/>
          <w:color w:val="auto"/>
        </w:rPr>
      </w:pPr>
    </w:p>
    <w:p>
      <w:pPr>
        <w:ind w:firstLine="457"/>
        <w:spacing w:after="0" w:line="274" w:lineRule="auto"/>
        <w:rPr>
          <w:sz w:val="20"/>
          <w:szCs w:val="20"/>
          <w:color w:val="auto"/>
        </w:rPr>
      </w:pPr>
      <w:r>
        <w:rPr>
          <w:rFonts w:ascii="Arial" w:cs="Arial" w:eastAsia="Arial" w:hAnsi="Arial"/>
          <w:sz w:val="16"/>
          <w:szCs w:val="16"/>
          <w:i w:val="1"/>
          <w:iCs w:val="1"/>
          <w:color w:val="auto"/>
        </w:rPr>
        <w:t>The following discussion should be read in conjunction with Lazard Ltd’s condensed consolidated financial statements and the related notes included elsewhere in this Quarterly Report on Form 10-Q (the “Form 10-Q”), as well as Management’s Discussion and Analysis of Financial Condition and Results of Operations (“MD&amp;A”) included in our Annual Report on Form 10-K for the year ended December 31, 2014 (the “Form 10-K”). All references to “2015”, “2014”, “second quarter”, “first half” or “the period” refer to, as the context requires, the three month and six month periods ended June 30, 2015 and June 30, 2014.</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 and Certain Factors that May Affect Our Business</w:t>
      </w:r>
    </w:p>
    <w:p>
      <w:pPr>
        <w:spacing w:after="0" w:line="98" w:lineRule="exact"/>
        <w:rPr>
          <w:sz w:val="20"/>
          <w:szCs w:val="20"/>
          <w:color w:val="auto"/>
        </w:rPr>
      </w:pPr>
    </w:p>
    <w:p>
      <w:pPr>
        <w:ind w:firstLine="457"/>
        <w:spacing w:after="0" w:line="268" w:lineRule="auto"/>
        <w:rPr>
          <w:sz w:val="20"/>
          <w:szCs w:val="20"/>
          <w:color w:val="auto"/>
        </w:rPr>
      </w:pPr>
      <w:r>
        <w:rPr>
          <w:rFonts w:ascii="Arial" w:cs="Arial" w:eastAsia="Arial" w:hAnsi="Arial"/>
          <w:sz w:val="16"/>
          <w:szCs w:val="16"/>
          <w:color w:val="auto"/>
        </w:rPr>
        <w:t>Management has included in Parts I and II of this Form 10-Q, including in its MD&amp;A, statements that are forward-looking statements. In some cases, you can identify these statements by forward-looking words such as “may,” “might,” “will,” “should,” “could,” “would,”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52" w:lineRule="exact"/>
        <w:rPr>
          <w:sz w:val="20"/>
          <w:szCs w:val="20"/>
          <w:color w:val="auto"/>
        </w:rPr>
      </w:pPr>
    </w:p>
    <w:p>
      <w:pPr>
        <w:ind w:left="920" w:hanging="349"/>
        <w:spacing w:after="0"/>
        <w:tabs>
          <w:tab w:leader="none" w:pos="9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decline in general economic conditions or global or regional financial markets;</w:t>
      </w:r>
    </w:p>
    <w:p>
      <w:pPr>
        <w:spacing w:after="0" w:line="94" w:lineRule="exact"/>
        <w:rPr>
          <w:rFonts w:ascii="Arial" w:cs="Arial" w:eastAsia="Arial" w:hAnsi="Arial"/>
          <w:sz w:val="16"/>
          <w:szCs w:val="16"/>
          <w:color w:val="auto"/>
        </w:rPr>
      </w:pPr>
    </w:p>
    <w:p>
      <w:pPr>
        <w:ind w:left="920" w:right="40" w:hanging="349"/>
        <w:spacing w:after="0" w:line="296" w:lineRule="auto"/>
        <w:tabs>
          <w:tab w:leader="none" w:pos="9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decline in our revenues, for example due to a decline in overall mergers and acquisitions (“M&amp;A”) activity, our share of the M&amp;A market or our assets under management (“AUM”);</w:t>
      </w:r>
    </w:p>
    <w:p>
      <w:pPr>
        <w:spacing w:after="0" w:line="26" w:lineRule="exact"/>
        <w:rPr>
          <w:rFonts w:ascii="Arial" w:cs="Arial" w:eastAsia="Arial" w:hAnsi="Arial"/>
          <w:sz w:val="16"/>
          <w:szCs w:val="16"/>
          <w:color w:val="auto"/>
        </w:rPr>
      </w:pPr>
    </w:p>
    <w:p>
      <w:pPr>
        <w:ind w:left="920" w:hanging="349"/>
        <w:spacing w:after="0"/>
        <w:tabs>
          <w:tab w:leader="none" w:pos="9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losses caused by financial or other problems experienced by third parties;</w:t>
      </w:r>
    </w:p>
    <w:p>
      <w:pPr>
        <w:spacing w:after="0" w:line="94" w:lineRule="exact"/>
        <w:rPr>
          <w:rFonts w:ascii="Arial" w:cs="Arial" w:eastAsia="Arial" w:hAnsi="Arial"/>
          <w:sz w:val="16"/>
          <w:szCs w:val="16"/>
          <w:color w:val="auto"/>
        </w:rPr>
      </w:pPr>
    </w:p>
    <w:p>
      <w:pPr>
        <w:ind w:left="920" w:hanging="349"/>
        <w:spacing w:after="0"/>
        <w:tabs>
          <w:tab w:leader="none" w:pos="9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losses due to unidentified or unanticipated risks;</w:t>
      </w:r>
    </w:p>
    <w:p>
      <w:pPr>
        <w:spacing w:after="0" w:line="94" w:lineRule="exact"/>
        <w:rPr>
          <w:rFonts w:ascii="Arial" w:cs="Arial" w:eastAsia="Arial" w:hAnsi="Arial"/>
          <w:sz w:val="16"/>
          <w:szCs w:val="16"/>
          <w:color w:val="auto"/>
        </w:rPr>
      </w:pPr>
    </w:p>
    <w:p>
      <w:pPr>
        <w:ind w:left="920" w:hanging="349"/>
        <w:spacing w:after="0"/>
        <w:tabs>
          <w:tab w:leader="none" w:pos="9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a lack of liquidity, </w:t>
      </w:r>
      <w:r>
        <w:rPr>
          <w:rFonts w:ascii="Arial" w:cs="Arial" w:eastAsia="Arial" w:hAnsi="Arial"/>
          <w:sz w:val="16"/>
          <w:szCs w:val="16"/>
          <w:i w:val="1"/>
          <w:iCs w:val="1"/>
          <w:color w:val="auto"/>
        </w:rPr>
        <w:t>i.e.</w:t>
      </w:r>
      <w:r>
        <w:rPr>
          <w:rFonts w:ascii="Arial" w:cs="Arial" w:eastAsia="Arial" w:hAnsi="Arial"/>
          <w:sz w:val="16"/>
          <w:szCs w:val="16"/>
          <w:color w:val="auto"/>
        </w:rPr>
        <w:t>, ready access to funds, for use in our businesses; and</w:t>
      </w:r>
    </w:p>
    <w:p>
      <w:pPr>
        <w:spacing w:after="0" w:line="94" w:lineRule="exact"/>
        <w:rPr>
          <w:rFonts w:ascii="Arial" w:cs="Arial" w:eastAsia="Arial" w:hAnsi="Arial"/>
          <w:sz w:val="16"/>
          <w:szCs w:val="16"/>
          <w:color w:val="auto"/>
        </w:rPr>
      </w:pPr>
    </w:p>
    <w:p>
      <w:pPr>
        <w:ind w:left="920" w:hanging="349"/>
        <w:spacing w:after="0"/>
        <w:tabs>
          <w:tab w:leader="none" w:pos="9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competitive pressure on our businesses and on our ability to retain and attract employees at current compensation levels.</w:t>
      </w:r>
    </w:p>
    <w:p>
      <w:pPr>
        <w:spacing w:after="0" w:line="170" w:lineRule="exact"/>
        <w:rPr>
          <w:sz w:val="20"/>
          <w:szCs w:val="20"/>
          <w:color w:val="auto"/>
        </w:rPr>
      </w:pPr>
    </w:p>
    <w:p>
      <w:pPr>
        <w:ind w:right="160" w:firstLine="457"/>
        <w:spacing w:after="0" w:line="298" w:lineRule="auto"/>
        <w:rPr>
          <w:sz w:val="20"/>
          <w:szCs w:val="20"/>
          <w:color w:val="auto"/>
        </w:rPr>
      </w:pPr>
      <w:r>
        <w:rPr>
          <w:rFonts w:ascii="Arial" w:cs="Arial" w:eastAsia="Arial" w:hAnsi="Arial"/>
          <w:sz w:val="15"/>
          <w:szCs w:val="15"/>
          <w:color w:val="auto"/>
        </w:rPr>
        <w:t>These risks and uncertainties are not exhaustive. Other sections of the Form 10-K and this Form 10-Q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105" w:lineRule="exact"/>
        <w:rPr>
          <w:sz w:val="20"/>
          <w:szCs w:val="20"/>
          <w:color w:val="auto"/>
        </w:rPr>
      </w:pPr>
    </w:p>
    <w:p>
      <w:pPr>
        <w:ind w:right="80" w:firstLine="457"/>
        <w:spacing w:after="0" w:line="274" w:lineRule="auto"/>
        <w:rPr>
          <w:sz w:val="20"/>
          <w:szCs w:val="20"/>
          <w:color w:val="auto"/>
        </w:rPr>
      </w:pPr>
      <w:r>
        <w:rPr>
          <w:rFonts w:ascii="Arial" w:cs="Arial" w:eastAsia="Arial" w:hAnsi="Arial"/>
          <w:sz w:val="16"/>
          <w:szCs w:val="16"/>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Forward-looking statements include, but are not limited to, statements about:</w:t>
      </w:r>
    </w:p>
    <w:p>
      <w:pPr>
        <w:spacing w:after="0" w:line="94" w:lineRule="exact"/>
        <w:rPr>
          <w:sz w:val="20"/>
          <w:szCs w:val="20"/>
          <w:color w:val="auto"/>
        </w:rPr>
      </w:pPr>
    </w:p>
    <w:p>
      <w:pPr>
        <w:ind w:left="920" w:hanging="349"/>
        <w:spacing w:after="0"/>
        <w:tabs>
          <w:tab w:leader="none" w:pos="9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financial goals, including the ratio of awarded compensation and benefits expense to operating revenue;</w:t>
      </w:r>
    </w:p>
    <w:p>
      <w:pPr>
        <w:spacing w:after="0" w:line="94" w:lineRule="exact"/>
        <w:rPr>
          <w:rFonts w:ascii="Arial" w:cs="Arial" w:eastAsia="Arial" w:hAnsi="Arial"/>
          <w:sz w:val="16"/>
          <w:szCs w:val="16"/>
          <w:color w:val="auto"/>
        </w:rPr>
      </w:pPr>
    </w:p>
    <w:p>
      <w:pPr>
        <w:ind w:left="920" w:hanging="349"/>
        <w:spacing w:after="0"/>
        <w:tabs>
          <w:tab w:leader="none" w:pos="9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ability to deploy surplus cash through dividends, share repurchases and debt repurchases;</w:t>
      </w:r>
    </w:p>
    <w:p>
      <w:pPr>
        <w:spacing w:after="0" w:line="94" w:lineRule="exact"/>
        <w:rPr>
          <w:rFonts w:ascii="Arial" w:cs="Arial" w:eastAsia="Arial" w:hAnsi="Arial"/>
          <w:sz w:val="16"/>
          <w:szCs w:val="16"/>
          <w:color w:val="auto"/>
        </w:rPr>
      </w:pPr>
    </w:p>
    <w:p>
      <w:pPr>
        <w:ind w:left="920" w:hanging="349"/>
        <w:spacing w:after="0"/>
        <w:tabs>
          <w:tab w:leader="none" w:pos="9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ability to offset stockholder dilution through share repurchases;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440" w:right="23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left="920" w:hanging="349"/>
        <w:spacing w:after="0"/>
        <w:tabs>
          <w:tab w:leader="none" w:pos="9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possible or assumed future results of operations and operating cash flows;</w:t>
      </w:r>
    </w:p>
    <w:p>
      <w:pPr>
        <w:spacing w:after="0" w:line="94" w:lineRule="exact"/>
        <w:rPr>
          <w:rFonts w:ascii="Arial" w:cs="Arial" w:eastAsia="Arial" w:hAnsi="Arial"/>
          <w:sz w:val="16"/>
          <w:szCs w:val="16"/>
          <w:color w:val="auto"/>
        </w:rPr>
      </w:pPr>
    </w:p>
    <w:p>
      <w:pPr>
        <w:ind w:left="920" w:hanging="349"/>
        <w:spacing w:after="0"/>
        <w:tabs>
          <w:tab w:leader="none" w:pos="9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strategies and investment policies;</w:t>
      </w:r>
    </w:p>
    <w:p>
      <w:pPr>
        <w:spacing w:after="0" w:line="94" w:lineRule="exact"/>
        <w:rPr>
          <w:rFonts w:ascii="Arial" w:cs="Arial" w:eastAsia="Arial" w:hAnsi="Arial"/>
          <w:sz w:val="16"/>
          <w:szCs w:val="16"/>
          <w:color w:val="auto"/>
        </w:rPr>
      </w:pPr>
    </w:p>
    <w:p>
      <w:pPr>
        <w:ind w:left="920" w:hanging="349"/>
        <w:spacing w:after="0"/>
        <w:tabs>
          <w:tab w:leader="none" w:pos="9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financing plans and the availability of short-term borrowing;</w:t>
      </w:r>
    </w:p>
    <w:p>
      <w:pPr>
        <w:spacing w:after="0" w:line="94" w:lineRule="exact"/>
        <w:rPr>
          <w:rFonts w:ascii="Arial" w:cs="Arial" w:eastAsia="Arial" w:hAnsi="Arial"/>
          <w:sz w:val="16"/>
          <w:szCs w:val="16"/>
          <w:color w:val="auto"/>
        </w:rPr>
      </w:pPr>
    </w:p>
    <w:p>
      <w:pPr>
        <w:ind w:left="920" w:hanging="349"/>
        <w:spacing w:after="0"/>
        <w:tabs>
          <w:tab w:leader="none" w:pos="9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competitive position;</w:t>
      </w:r>
    </w:p>
    <w:p>
      <w:pPr>
        <w:spacing w:after="0" w:line="94" w:lineRule="exact"/>
        <w:rPr>
          <w:rFonts w:ascii="Arial" w:cs="Arial" w:eastAsia="Arial" w:hAnsi="Arial"/>
          <w:sz w:val="16"/>
          <w:szCs w:val="16"/>
          <w:color w:val="auto"/>
        </w:rPr>
      </w:pPr>
    </w:p>
    <w:p>
      <w:pPr>
        <w:ind w:left="920" w:hanging="349"/>
        <w:spacing w:after="0"/>
        <w:tabs>
          <w:tab w:leader="none" w:pos="9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future acquisitions, including the consideration to be paid and the timing of consummation;</w:t>
      </w:r>
    </w:p>
    <w:p>
      <w:pPr>
        <w:spacing w:after="0" w:line="94" w:lineRule="exact"/>
        <w:rPr>
          <w:rFonts w:ascii="Arial" w:cs="Arial" w:eastAsia="Arial" w:hAnsi="Arial"/>
          <w:sz w:val="16"/>
          <w:szCs w:val="16"/>
          <w:color w:val="auto"/>
        </w:rPr>
      </w:pPr>
    </w:p>
    <w:p>
      <w:pPr>
        <w:ind w:left="920" w:hanging="349"/>
        <w:spacing w:after="0"/>
        <w:tabs>
          <w:tab w:leader="none" w:pos="9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potential growth opportunities available to our businesses;</w:t>
      </w:r>
    </w:p>
    <w:p>
      <w:pPr>
        <w:spacing w:after="0" w:line="94" w:lineRule="exact"/>
        <w:rPr>
          <w:rFonts w:ascii="Arial" w:cs="Arial" w:eastAsia="Arial" w:hAnsi="Arial"/>
          <w:sz w:val="16"/>
          <w:szCs w:val="16"/>
          <w:color w:val="auto"/>
        </w:rPr>
      </w:pPr>
    </w:p>
    <w:p>
      <w:pPr>
        <w:ind w:left="920" w:hanging="349"/>
        <w:spacing w:after="0"/>
        <w:tabs>
          <w:tab w:leader="none" w:pos="9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recruitment and retention of our managing directors and employees;</w:t>
      </w:r>
    </w:p>
    <w:p>
      <w:pPr>
        <w:spacing w:after="0" w:line="94" w:lineRule="exact"/>
        <w:rPr>
          <w:rFonts w:ascii="Arial" w:cs="Arial" w:eastAsia="Arial" w:hAnsi="Arial"/>
          <w:sz w:val="16"/>
          <w:szCs w:val="16"/>
          <w:color w:val="auto"/>
        </w:rPr>
      </w:pPr>
    </w:p>
    <w:p>
      <w:pPr>
        <w:ind w:left="920" w:hanging="349"/>
        <w:spacing w:after="0"/>
        <w:tabs>
          <w:tab w:leader="none" w:pos="9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potential levels of compensation expense and non-compensation expense;</w:t>
      </w:r>
    </w:p>
    <w:p>
      <w:pPr>
        <w:spacing w:after="0" w:line="94" w:lineRule="exact"/>
        <w:rPr>
          <w:rFonts w:ascii="Arial" w:cs="Arial" w:eastAsia="Arial" w:hAnsi="Arial"/>
          <w:sz w:val="16"/>
          <w:szCs w:val="16"/>
          <w:color w:val="auto"/>
        </w:rPr>
      </w:pPr>
    </w:p>
    <w:p>
      <w:pPr>
        <w:ind w:left="920" w:hanging="349"/>
        <w:spacing w:after="0"/>
        <w:tabs>
          <w:tab w:leader="none" w:pos="9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potential operating performance, achievements, productivity improvements, efficiency and cost reduction efforts;</w:t>
      </w:r>
    </w:p>
    <w:p>
      <w:pPr>
        <w:spacing w:after="0" w:line="94" w:lineRule="exact"/>
        <w:rPr>
          <w:rFonts w:ascii="Arial" w:cs="Arial" w:eastAsia="Arial" w:hAnsi="Arial"/>
          <w:sz w:val="16"/>
          <w:szCs w:val="16"/>
          <w:color w:val="auto"/>
        </w:rPr>
      </w:pPr>
    </w:p>
    <w:p>
      <w:pPr>
        <w:ind w:left="920" w:hanging="349"/>
        <w:spacing w:after="0"/>
        <w:tabs>
          <w:tab w:leader="none" w:pos="9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likelihood of success and impact of litigation;</w:t>
      </w:r>
    </w:p>
    <w:p>
      <w:pPr>
        <w:spacing w:after="0" w:line="94" w:lineRule="exact"/>
        <w:rPr>
          <w:rFonts w:ascii="Arial" w:cs="Arial" w:eastAsia="Arial" w:hAnsi="Arial"/>
          <w:sz w:val="16"/>
          <w:szCs w:val="16"/>
          <w:color w:val="auto"/>
        </w:rPr>
      </w:pPr>
    </w:p>
    <w:p>
      <w:pPr>
        <w:ind w:left="920" w:hanging="349"/>
        <w:spacing w:after="0"/>
        <w:tabs>
          <w:tab w:leader="none" w:pos="9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expected tax rates, including effective tax rates;</w:t>
      </w:r>
    </w:p>
    <w:p>
      <w:pPr>
        <w:spacing w:after="0" w:line="94" w:lineRule="exact"/>
        <w:rPr>
          <w:rFonts w:ascii="Arial" w:cs="Arial" w:eastAsia="Arial" w:hAnsi="Arial"/>
          <w:sz w:val="16"/>
          <w:szCs w:val="16"/>
          <w:color w:val="auto"/>
        </w:rPr>
      </w:pPr>
    </w:p>
    <w:p>
      <w:pPr>
        <w:ind w:left="920" w:hanging="349"/>
        <w:spacing w:after="0"/>
        <w:tabs>
          <w:tab w:leader="none" w:pos="9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changes in interest and tax rates;</w:t>
      </w:r>
    </w:p>
    <w:p>
      <w:pPr>
        <w:spacing w:after="0" w:line="94" w:lineRule="exact"/>
        <w:rPr>
          <w:rFonts w:ascii="Arial" w:cs="Arial" w:eastAsia="Arial" w:hAnsi="Arial"/>
          <w:sz w:val="16"/>
          <w:szCs w:val="16"/>
          <w:color w:val="auto"/>
        </w:rPr>
      </w:pPr>
    </w:p>
    <w:p>
      <w:pPr>
        <w:ind w:left="920" w:hanging="349"/>
        <w:spacing w:after="0"/>
        <w:tabs>
          <w:tab w:leader="none" w:pos="9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availability of certain tax benefits, including certain potential deductions;</w:t>
      </w:r>
    </w:p>
    <w:p>
      <w:pPr>
        <w:spacing w:after="0" w:line="94" w:lineRule="exact"/>
        <w:rPr>
          <w:rFonts w:ascii="Arial" w:cs="Arial" w:eastAsia="Arial" w:hAnsi="Arial"/>
          <w:sz w:val="16"/>
          <w:szCs w:val="16"/>
          <w:color w:val="auto"/>
        </w:rPr>
      </w:pPr>
    </w:p>
    <w:p>
      <w:pPr>
        <w:ind w:left="920" w:hanging="349"/>
        <w:spacing w:after="0"/>
        <w:tabs>
          <w:tab w:leader="none" w:pos="9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potential impact of certain events or circumstances on our financial statements;</w:t>
      </w:r>
    </w:p>
    <w:p>
      <w:pPr>
        <w:spacing w:after="0" w:line="94" w:lineRule="exact"/>
        <w:rPr>
          <w:rFonts w:ascii="Arial" w:cs="Arial" w:eastAsia="Arial" w:hAnsi="Arial"/>
          <w:sz w:val="16"/>
          <w:szCs w:val="16"/>
          <w:color w:val="auto"/>
        </w:rPr>
      </w:pPr>
    </w:p>
    <w:p>
      <w:pPr>
        <w:ind w:left="920" w:right="340" w:hanging="349"/>
        <w:spacing w:after="0" w:line="296" w:lineRule="auto"/>
        <w:tabs>
          <w:tab w:leader="none" w:pos="9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expectations with respect to the economy, the securities markets, the market for mergers, acquisitions and strategic advisory and restructuring activity, the market for asset management activity and other macroeconomic and industry trends;</w:t>
      </w:r>
    </w:p>
    <w:p>
      <w:pPr>
        <w:spacing w:after="0" w:line="26" w:lineRule="exact"/>
        <w:rPr>
          <w:rFonts w:ascii="Arial" w:cs="Arial" w:eastAsia="Arial" w:hAnsi="Arial"/>
          <w:sz w:val="16"/>
          <w:szCs w:val="16"/>
          <w:color w:val="auto"/>
        </w:rPr>
      </w:pPr>
    </w:p>
    <w:p>
      <w:pPr>
        <w:ind w:left="920" w:hanging="349"/>
        <w:spacing w:after="0"/>
        <w:tabs>
          <w:tab w:leader="none" w:pos="9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effects of competition on our business; and</w:t>
      </w:r>
    </w:p>
    <w:p>
      <w:pPr>
        <w:spacing w:after="0" w:line="94" w:lineRule="exact"/>
        <w:rPr>
          <w:rFonts w:ascii="Arial" w:cs="Arial" w:eastAsia="Arial" w:hAnsi="Arial"/>
          <w:sz w:val="16"/>
          <w:szCs w:val="16"/>
          <w:color w:val="auto"/>
        </w:rPr>
      </w:pPr>
    </w:p>
    <w:p>
      <w:pPr>
        <w:ind w:left="920" w:hanging="349"/>
        <w:spacing w:after="0"/>
        <w:tabs>
          <w:tab w:leader="none" w:pos="9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impact of future legislation and regulation on our business.</w:t>
      </w:r>
    </w:p>
    <w:p>
      <w:pPr>
        <w:spacing w:after="0" w:line="170" w:lineRule="exact"/>
        <w:rPr>
          <w:sz w:val="20"/>
          <w:szCs w:val="20"/>
          <w:color w:val="auto"/>
        </w:rPr>
      </w:pPr>
    </w:p>
    <w:p>
      <w:pPr>
        <w:ind w:firstLine="457"/>
        <w:spacing w:after="0" w:line="270" w:lineRule="auto"/>
        <w:rPr>
          <w:sz w:val="20"/>
          <w:szCs w:val="20"/>
          <w:color w:val="auto"/>
        </w:rPr>
      </w:pPr>
      <w:r>
        <w:rPr>
          <w:rFonts w:ascii="Arial" w:cs="Arial" w:eastAsia="Arial" w:hAnsi="Arial"/>
          <w:sz w:val="16"/>
          <w:szCs w:val="16"/>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AUM in various mutual funds, hedge funds and other investment products managed by Lazard Asset Management LLC (together with its subsidiaries, “LAM”) and Lazard Frères Gestion SAS (“LFG”). Investors can link to Lazard Ltd, Lazard Group and their operating company websites through </w:t>
      </w:r>
      <w:r>
        <w:rPr>
          <w:rFonts w:ascii="Arial" w:cs="Arial" w:eastAsia="Arial" w:hAnsi="Arial"/>
          <w:sz w:val="16"/>
          <w:szCs w:val="16"/>
          <w:i w:val="1"/>
          <w:iCs w:val="1"/>
          <w:color w:val="auto"/>
        </w:rPr>
        <w:t>http://www.lazard.com</w:t>
      </w:r>
      <w:r>
        <w:rPr>
          <w:rFonts w:ascii="Arial" w:cs="Arial" w:eastAsia="Arial" w:hAnsi="Arial"/>
          <w:sz w:val="16"/>
          <w:szCs w:val="16"/>
          <w:color w:val="auto"/>
        </w:rPr>
        <w:t>. Our websites and the information contained therein or connected thereto shall not be deemed to be incorporated into this Form 10-Q.</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Summary</w:t>
      </w:r>
    </w:p>
    <w:p>
      <w:pPr>
        <w:spacing w:after="0" w:line="98" w:lineRule="exact"/>
        <w:rPr>
          <w:sz w:val="20"/>
          <w:szCs w:val="20"/>
          <w:color w:val="auto"/>
        </w:rPr>
      </w:pPr>
    </w:p>
    <w:p>
      <w:pPr>
        <w:ind w:right="120" w:firstLine="457"/>
        <w:spacing w:after="0" w:line="274" w:lineRule="auto"/>
        <w:rPr>
          <w:sz w:val="20"/>
          <w:szCs w:val="20"/>
          <w:color w:val="auto"/>
        </w:rPr>
      </w:pPr>
      <w:r>
        <w:rPr>
          <w:rFonts w:ascii="Arial" w:cs="Arial" w:eastAsia="Arial" w:hAnsi="Arial"/>
          <w:sz w:val="16"/>
          <w:szCs w:val="16"/>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43 cities in key business and financial centers across 27 countries throughout North America, Europe, Asia, Australia, the Middle East, and Central and South America.</w:t>
      </w:r>
    </w:p>
    <w:p>
      <w:pPr>
        <w:spacing w:after="0" w:line="121" w:lineRule="exact"/>
        <w:rPr>
          <w:sz w:val="20"/>
          <w:szCs w:val="20"/>
          <w:color w:val="auto"/>
        </w:rPr>
      </w:pPr>
    </w:p>
    <w:p>
      <w:pPr>
        <w:jc w:val="both"/>
        <w:ind w:right="160" w:firstLine="457"/>
        <w:spacing w:after="0" w:line="280"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15" w:lineRule="exact"/>
        <w:rPr>
          <w:sz w:val="20"/>
          <w:szCs w:val="20"/>
          <w:color w:val="auto"/>
        </w:rPr>
      </w:pPr>
    </w:p>
    <w:p>
      <w:pPr>
        <w:ind w:right="240" w:firstLine="457"/>
        <w:spacing w:after="0" w:line="274" w:lineRule="auto"/>
        <w:rPr>
          <w:sz w:val="20"/>
          <w:szCs w:val="20"/>
          <w:color w:val="auto"/>
        </w:rPr>
      </w:pPr>
      <w:r>
        <w:rPr>
          <w:rFonts w:ascii="Arial" w:cs="Arial" w:eastAsia="Arial" w:hAnsi="Arial"/>
          <w:sz w:val="16"/>
          <w:szCs w:val="16"/>
          <w:color w:val="auto"/>
        </w:rPr>
        <w:t>We operate in cyclical businesses across multiple geographies, industries and asset classes. 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economic conditions. We believe that our business model as an independent advisor will continue to create opportunities for us to attract new clients and key personnel.</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360"/>
          </w:cols>
          <w:pgMar w:left="240" w:top="440" w:right="29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principal sources of revenue are derived from activities in the following business segments:</w:t>
      </w:r>
    </w:p>
    <w:p>
      <w:pPr>
        <w:spacing w:after="0" w:line="94" w:lineRule="exact"/>
        <w:rPr>
          <w:sz w:val="20"/>
          <w:szCs w:val="20"/>
          <w:color w:val="auto"/>
        </w:rPr>
      </w:pPr>
    </w:p>
    <w:p>
      <w:pPr>
        <w:ind w:left="920" w:right="140" w:hanging="349"/>
        <w:spacing w:after="0" w:line="331" w:lineRule="auto"/>
        <w:tabs>
          <w:tab w:leader="none" w:pos="9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Financial Advisory, which offers corporate, partnership, institutional, government, sovereign and individual clients across the globe a wide array of financial advisory services regarding M&amp;A and other strategic matters, restructurings, capital structure, capital raising and various other financial matters, and</w:t>
      </w:r>
    </w:p>
    <w:p>
      <w:pPr>
        <w:spacing w:after="0" w:line="5" w:lineRule="exact"/>
        <w:rPr>
          <w:rFonts w:ascii="Arial" w:cs="Arial" w:eastAsia="Arial" w:hAnsi="Arial"/>
          <w:sz w:val="15"/>
          <w:szCs w:val="15"/>
          <w:color w:val="auto"/>
        </w:rPr>
      </w:pPr>
    </w:p>
    <w:p>
      <w:pPr>
        <w:ind w:left="920" w:right="300" w:hanging="349"/>
        <w:spacing w:after="0" w:line="280" w:lineRule="auto"/>
        <w:tabs>
          <w:tab w:leader="none" w:pos="9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15" w:lineRule="exact"/>
        <w:rPr>
          <w:sz w:val="20"/>
          <w:szCs w:val="20"/>
          <w:color w:val="auto"/>
        </w:rPr>
      </w:pPr>
    </w:p>
    <w:p>
      <w:pPr>
        <w:ind w:right="140" w:firstLine="457"/>
        <w:spacing w:after="0" w:line="296" w:lineRule="auto"/>
        <w:rPr>
          <w:sz w:val="20"/>
          <w:szCs w:val="20"/>
          <w:color w:val="auto"/>
        </w:rPr>
      </w:pPr>
      <w:r>
        <w:rPr>
          <w:rFonts w:ascii="Arial" w:cs="Arial" w:eastAsia="Arial" w:hAnsi="Arial"/>
          <w:sz w:val="16"/>
          <w:szCs w:val="16"/>
          <w:color w:val="auto"/>
        </w:rPr>
        <w:t>In addition, we record selected other activities in our Corporate segment, including management of cash, investments, deferred tax assets, outstanding indebtedness and assets associated with Lazard Group’s Paris-based subsidiary, Lazard Frères Banque SA (“LFB”).</w:t>
      </w:r>
    </w:p>
    <w:p>
      <w:pPr>
        <w:spacing w:after="0" w:line="103" w:lineRule="exact"/>
        <w:rPr>
          <w:sz w:val="20"/>
          <w:szCs w:val="20"/>
          <w:color w:val="auto"/>
        </w:rPr>
      </w:pPr>
    </w:p>
    <w:p>
      <w:pPr>
        <w:ind w:right="40" w:firstLine="457"/>
        <w:spacing w:after="0" w:line="280" w:lineRule="auto"/>
        <w:rPr>
          <w:sz w:val="20"/>
          <w:szCs w:val="20"/>
          <w:color w:val="auto"/>
        </w:rPr>
      </w:pPr>
      <w:r>
        <w:rPr>
          <w:rFonts w:ascii="Arial" w:cs="Arial" w:eastAsia="Arial" w:hAnsi="Arial"/>
          <w:sz w:val="16"/>
          <w:szCs w:val="16"/>
          <w:color w:val="auto"/>
        </w:rPr>
        <w:t>LFB is a registered bank regulated by the Autorité de Contrôle Prudentiel et de Résolution (“ACPR”). It is engaged primarily in commercial and private banking services for clients and funds managed by LFG and other clients, investment banking activities, including participation in underwritten offerings of securities in France, and asset-liability management.</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consolidated net revenue was derived from the following segments:</w:t>
      </w:r>
    </w:p>
    <w:p>
      <w:pPr>
        <w:spacing w:after="0" w:line="194"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4880" w:type="dxa"/>
            <w:vAlign w:val="bottom"/>
          </w:tcPr>
          <w:p>
            <w:pPr>
              <w:spacing w:after="0"/>
              <w:rPr>
                <w:sz w:val="13"/>
                <w:szCs w:val="13"/>
                <w:color w:val="auto"/>
              </w:rPr>
            </w:pPr>
          </w:p>
        </w:tc>
        <w:tc>
          <w:tcPr>
            <w:tcW w:w="2680" w:type="dxa"/>
            <w:vAlign w:val="bottom"/>
            <w:gridSpan w:val="5"/>
          </w:tcPr>
          <w:p>
            <w:pPr>
              <w:jc w:val="right"/>
              <w:ind w:right="1200"/>
              <w:spacing w:after="0"/>
              <w:rPr>
                <w:sz w:val="20"/>
                <w:szCs w:val="20"/>
                <w:color w:val="auto"/>
              </w:rPr>
            </w:pPr>
            <w:r>
              <w:rPr>
                <w:rFonts w:ascii="Arial" w:cs="Arial" w:eastAsia="Arial" w:hAnsi="Arial"/>
                <w:sz w:val="13"/>
                <w:szCs w:val="13"/>
                <w:b w:val="1"/>
                <w:bCs w:val="1"/>
                <w:color w:val="auto"/>
              </w:rPr>
              <w:t>Three Months Ended</w:t>
            </w:r>
          </w:p>
        </w:tc>
        <w:tc>
          <w:tcPr>
            <w:tcW w:w="1440" w:type="dxa"/>
            <w:vAlign w:val="bottom"/>
            <w:gridSpan w:val="3"/>
          </w:tcPr>
          <w:p>
            <w:pPr>
              <w:jc w:val="center"/>
              <w:ind w:left="324"/>
              <w:spacing w:after="0"/>
              <w:rPr>
                <w:sz w:val="20"/>
                <w:szCs w:val="20"/>
                <w:color w:val="auto"/>
              </w:rPr>
            </w:pPr>
            <w:r>
              <w:rPr>
                <w:rFonts w:ascii="Arial" w:cs="Arial" w:eastAsia="Arial" w:hAnsi="Arial"/>
                <w:sz w:val="13"/>
                <w:szCs w:val="13"/>
                <w:b w:val="1"/>
                <w:bCs w:val="1"/>
                <w:color w:val="auto"/>
                <w:w w:val="88"/>
              </w:rPr>
              <w:t>Six Months Ended</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gridSpan w:val="3"/>
          </w:tcPr>
          <w:p>
            <w:pPr>
              <w:jc w:val="right"/>
              <w:ind w:right="1540"/>
              <w:spacing w:after="0"/>
              <w:rPr>
                <w:sz w:val="20"/>
                <w:szCs w:val="20"/>
                <w:color w:val="auto"/>
              </w:rPr>
            </w:pPr>
            <w:r>
              <w:rPr>
                <w:rFonts w:ascii="Arial" w:cs="Arial" w:eastAsia="Arial" w:hAnsi="Arial"/>
                <w:sz w:val="13"/>
                <w:szCs w:val="13"/>
                <w:b w:val="1"/>
                <w:bCs w:val="1"/>
                <w:color w:val="auto"/>
                <w:w w:val="88"/>
              </w:rPr>
              <w:t>June 30,</w:t>
            </w:r>
          </w:p>
        </w:tc>
        <w:tc>
          <w:tcPr>
            <w:tcW w:w="500" w:type="dxa"/>
            <w:vAlign w:val="bottom"/>
          </w:tcPr>
          <w:p>
            <w:pPr>
              <w:spacing w:after="0"/>
              <w:rPr>
                <w:sz w:val="13"/>
                <w:szCs w:val="13"/>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June 30,</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880" w:type="dxa"/>
            <w:vAlign w:val="bottom"/>
            <w:tcBorders>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64"/>
              <w:spacing w:after="0" w:line="132" w:lineRule="exact"/>
              <w:rPr>
                <w:sz w:val="20"/>
                <w:szCs w:val="20"/>
                <w:color w:val="auto"/>
              </w:rPr>
            </w:pPr>
            <w:r>
              <w:rPr>
                <w:rFonts w:ascii="Arial" w:cs="Arial" w:eastAsia="Arial" w:hAnsi="Arial"/>
                <w:sz w:val="13"/>
                <w:szCs w:val="13"/>
                <w:b w:val="1"/>
                <w:bCs w:val="1"/>
                <w:color w:val="auto"/>
              </w:rPr>
              <w:t>2015</w:t>
            </w:r>
          </w:p>
        </w:tc>
        <w:tc>
          <w:tcPr>
            <w:tcW w:w="160" w:type="dxa"/>
            <w:vAlign w:val="bottom"/>
            <w:tcBorders>
              <w:top w:val="single" w:sz="8" w:color="auto"/>
              <w:bottom w:val="single" w:sz="8" w:color="CCEEFF"/>
            </w:tcBorders>
          </w:tcPr>
          <w:p>
            <w:pPr>
              <w:spacing w:after="0"/>
              <w:rPr>
                <w:sz w:val="11"/>
                <w:szCs w:val="11"/>
                <w:color w:val="auto"/>
              </w:rPr>
            </w:pPr>
          </w:p>
        </w:tc>
        <w:tc>
          <w:tcPr>
            <w:tcW w:w="680" w:type="dxa"/>
            <w:vAlign w:val="bottom"/>
            <w:tcBorders>
              <w:top w:val="single" w:sz="8" w:color="auto"/>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44"/>
              <w:spacing w:after="0" w:line="132" w:lineRule="exact"/>
              <w:rPr>
                <w:sz w:val="20"/>
                <w:szCs w:val="20"/>
                <w:color w:val="auto"/>
              </w:rPr>
            </w:pPr>
            <w:r>
              <w:rPr>
                <w:rFonts w:ascii="Arial" w:cs="Arial" w:eastAsia="Arial" w:hAnsi="Arial"/>
                <w:sz w:val="13"/>
                <w:szCs w:val="13"/>
                <w:b w:val="1"/>
                <w:bCs w:val="1"/>
                <w:color w:val="auto"/>
              </w:rPr>
              <w:t>2014</w:t>
            </w:r>
          </w:p>
        </w:tc>
        <w:tc>
          <w:tcPr>
            <w:tcW w:w="840" w:type="dxa"/>
            <w:vAlign w:val="bottom"/>
            <w:tcBorders>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44"/>
              <w:spacing w:after="0" w:line="132" w:lineRule="exact"/>
              <w:rPr>
                <w:sz w:val="20"/>
                <w:szCs w:val="20"/>
                <w:color w:val="auto"/>
              </w:rPr>
            </w:pPr>
            <w:r>
              <w:rPr>
                <w:rFonts w:ascii="Arial" w:cs="Arial" w:eastAsia="Arial" w:hAnsi="Arial"/>
                <w:sz w:val="13"/>
                <w:szCs w:val="13"/>
                <w:b w:val="1"/>
                <w:bCs w:val="1"/>
                <w:color w:val="auto"/>
              </w:rPr>
              <w:t>2015</w:t>
            </w:r>
          </w:p>
        </w:tc>
        <w:tc>
          <w:tcPr>
            <w:tcW w:w="84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42"/>
              <w:spacing w:after="0" w:line="132" w:lineRule="exact"/>
              <w:rPr>
                <w:sz w:val="20"/>
                <w:szCs w:val="20"/>
                <w:color w:val="auto"/>
              </w:rPr>
            </w:pPr>
            <w:r>
              <w:rPr>
                <w:rFonts w:ascii="Arial" w:cs="Arial" w:eastAsia="Arial" w:hAnsi="Arial"/>
                <w:sz w:val="13"/>
                <w:szCs w:val="13"/>
                <w:b w:val="1"/>
                <w:bCs w:val="1"/>
                <w:color w:val="auto"/>
                <w:w w:val="89"/>
              </w:rPr>
              <w:t>2014</w:t>
            </w:r>
          </w:p>
        </w:tc>
        <w:tc>
          <w:tcPr>
            <w:tcW w:w="2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Financial Advisory</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52%</w:t>
            </w:r>
          </w:p>
        </w:tc>
        <w:tc>
          <w:tcPr>
            <w:tcW w:w="6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6"/>
                <w:szCs w:val="16"/>
                <w:color w:val="auto"/>
              </w:rPr>
              <w:t>49%</w:t>
            </w:r>
          </w:p>
        </w:tc>
        <w:tc>
          <w:tcPr>
            <w:tcW w:w="1340" w:type="dxa"/>
            <w:vAlign w:val="bottom"/>
            <w:gridSpan w:val="2"/>
            <w:shd w:val="clear" w:color="auto" w:fill="CCEEFF"/>
          </w:tcPr>
          <w:p>
            <w:pPr>
              <w:jc w:val="right"/>
              <w:ind w:right="637"/>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2"/>
        </w:trPr>
        <w:tc>
          <w:tcPr>
            <w:tcW w:w="4880" w:type="dxa"/>
            <w:vAlign w:val="bottom"/>
          </w:tcPr>
          <w:p>
            <w:pPr>
              <w:spacing w:after="0"/>
              <w:rPr>
                <w:sz w:val="20"/>
                <w:szCs w:val="20"/>
                <w:color w:val="auto"/>
              </w:rPr>
            </w:pPr>
            <w:r>
              <w:rPr>
                <w:rFonts w:ascii="Arial" w:cs="Arial" w:eastAsia="Arial" w:hAnsi="Arial"/>
                <w:sz w:val="16"/>
                <w:szCs w:val="16"/>
                <w:color w:val="auto"/>
              </w:rPr>
              <w:t>Asset Management</w:t>
            </w:r>
          </w:p>
        </w:tc>
        <w:tc>
          <w:tcPr>
            <w:tcW w:w="500" w:type="dxa"/>
            <w:vAlign w:val="bottom"/>
          </w:tcPr>
          <w:p>
            <w:pPr>
              <w:jc w:val="right"/>
              <w:spacing w:after="0"/>
              <w:rPr>
                <w:sz w:val="20"/>
                <w:szCs w:val="20"/>
                <w:color w:val="auto"/>
              </w:rPr>
            </w:pPr>
            <w:r>
              <w:rPr>
                <w:rFonts w:ascii="Arial" w:cs="Arial" w:eastAsia="Arial" w:hAnsi="Arial"/>
                <w:sz w:val="16"/>
                <w:szCs w:val="16"/>
                <w:color w:val="auto"/>
              </w:rPr>
              <w:t>50</w:t>
            </w:r>
          </w:p>
        </w:tc>
        <w:tc>
          <w:tcPr>
            <w:tcW w:w="16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51</w:t>
            </w:r>
          </w:p>
        </w:tc>
        <w:tc>
          <w:tcPr>
            <w:tcW w:w="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49</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Corporate</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w:t>
            </w:r>
          </w:p>
        </w:tc>
        <w:tc>
          <w:tcPr>
            <w:tcW w:w="6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84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717"/>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6"/>
                <w:szCs w:val="16"/>
                <w:color w:val="auto"/>
              </w:rPr>
              <w:t>Total</w:t>
            </w: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880" w:type="dxa"/>
            <w:vAlign w:val="bottom"/>
            <w:vMerge w:val="continue"/>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100%</w:t>
            </w:r>
          </w:p>
        </w:tc>
        <w:tc>
          <w:tcPr>
            <w:tcW w:w="2020" w:type="dxa"/>
            <w:vAlign w:val="bottom"/>
            <w:gridSpan w:val="3"/>
          </w:tcPr>
          <w:p>
            <w:pPr>
              <w:jc w:val="right"/>
              <w:ind w:right="700"/>
              <w:spacing w:after="0"/>
              <w:rPr>
                <w:sz w:val="20"/>
                <w:szCs w:val="20"/>
                <w:color w:val="auto"/>
              </w:rPr>
            </w:pPr>
            <w:r>
              <w:rPr>
                <w:rFonts w:ascii="Arial" w:cs="Arial" w:eastAsia="Arial" w:hAnsi="Arial"/>
                <w:sz w:val="16"/>
                <w:szCs w:val="16"/>
                <w:color w:val="auto"/>
              </w:rPr>
              <w:t>100%</w:t>
            </w:r>
          </w:p>
        </w:tc>
        <w:tc>
          <w:tcPr>
            <w:tcW w:w="1340" w:type="dxa"/>
            <w:vAlign w:val="bottom"/>
            <w:gridSpan w:val="2"/>
          </w:tcPr>
          <w:p>
            <w:pPr>
              <w:jc w:val="right"/>
              <w:ind w:right="637"/>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firstLine="457"/>
        <w:spacing w:after="0" w:line="270" w:lineRule="auto"/>
        <w:rPr>
          <w:sz w:val="20"/>
          <w:szCs w:val="20"/>
          <w:color w:val="auto"/>
        </w:rPr>
      </w:pPr>
      <w:r>
        <w:rPr>
          <w:rFonts w:ascii="Arial" w:cs="Arial" w:eastAsia="Arial" w:hAnsi="Arial"/>
          <w:sz w:val="16"/>
          <w:szCs w:val="16"/>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historically, investments through (i) the Edgewater Funds (“Edgewater”), our Chicago-based private equity firm (see Note 10 of Notes to Condensed Consolidated Financial Statements), (ii) Lazard Australia Corporate Opportunities Fund 2 (“COF2”), an Australian fund targeting Australasian mid-market investments, (iii) a mezzanine fund, which invests in mezzanine debt of a diversified selection of small-to mid-cap European companies and (iv) a fund targeting significant noncontrolling-stake investments in established private companies. We also make investments to seed our Asset Management strategies.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Environment and Outlook</w:t>
      </w:r>
    </w:p>
    <w:p>
      <w:pPr>
        <w:spacing w:after="0" w:line="98" w:lineRule="exact"/>
        <w:rPr>
          <w:sz w:val="20"/>
          <w:szCs w:val="20"/>
          <w:color w:val="auto"/>
        </w:rPr>
      </w:pPr>
    </w:p>
    <w:p>
      <w:pPr>
        <w:ind w:right="180" w:firstLine="457"/>
        <w:spacing w:after="0" w:line="272"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primarily dependent on the successful completion of merger, acquisition, restructuring, capital raising or similar transactions, and our Asset Management revenues are primarily driven by the levels of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21" w:lineRule="exact"/>
        <w:rPr>
          <w:sz w:val="20"/>
          <w:szCs w:val="20"/>
          <w:color w:val="auto"/>
        </w:rPr>
      </w:pPr>
    </w:p>
    <w:p>
      <w:pPr>
        <w:ind w:right="340" w:firstLine="457"/>
        <w:spacing w:after="0" w:line="372" w:lineRule="auto"/>
        <w:rPr>
          <w:sz w:val="20"/>
          <w:szCs w:val="20"/>
          <w:color w:val="auto"/>
        </w:rPr>
      </w:pPr>
      <w:r>
        <w:rPr>
          <w:rFonts w:ascii="Arial" w:cs="Arial" w:eastAsia="Arial" w:hAnsi="Arial"/>
          <w:sz w:val="14"/>
          <w:szCs w:val="14"/>
          <w:color w:val="auto"/>
        </w:rPr>
        <w:t>Despite market volatility in the early part of the first half of 2015, equity market indices for developed markets at June 30, 2015 generally increased or remained stable as compared to such indices at December 31, 2014. Emerging markets indices at June 30, 2015 have generally increased as compared to December 31, 2014.</w:t>
      </w:r>
    </w:p>
    <w:p>
      <w:pPr>
        <w:spacing w:after="0" w:line="4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360"/>
          </w:cols>
          <w:pgMar w:left="240" w:top="440" w:right="29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80"/>
        <w:spacing w:after="0" w:line="294" w:lineRule="auto"/>
        <w:rPr>
          <w:sz w:val="20"/>
          <w:szCs w:val="20"/>
          <w:color w:val="auto"/>
        </w:rPr>
      </w:pPr>
      <w:r>
        <w:rPr>
          <w:rFonts w:ascii="Arial" w:cs="Arial" w:eastAsia="Arial" w:hAnsi="Arial"/>
          <w:sz w:val="15"/>
          <w:szCs w:val="15"/>
          <w:color w:val="auto"/>
        </w:rPr>
        <w:t>In the global M&amp;A markets during the first half of 2015, the value of all completed M&amp;A transactions increased as compared to the same period in the prior year, as did the subset of such transactions involving values greater than $500 million. During the same time, the value of all announced M&amp;A transactions, including the subset of such transactions involving values greater than $500 million, also increased, reflecting an active global M&amp;A environment. While the value of completed and announced transactions increased as compared to the prior period, the number of announced transactions (excluding the subset of announced transactions involving values greater than $500 million) decreased. During the first half of 2015, global restructuring activity remained low, consistent with the last several years.</w:t>
      </w:r>
    </w:p>
    <w:p>
      <w:pPr>
        <w:spacing w:after="0" w:line="108" w:lineRule="exact"/>
        <w:rPr>
          <w:sz w:val="20"/>
          <w:szCs w:val="20"/>
          <w:color w:val="auto"/>
        </w:rPr>
      </w:pPr>
    </w:p>
    <w:p>
      <w:pPr>
        <w:ind w:right="100" w:firstLine="457"/>
        <w:spacing w:after="0" w:line="280" w:lineRule="auto"/>
        <w:rPr>
          <w:sz w:val="20"/>
          <w:szCs w:val="20"/>
          <w:color w:val="auto"/>
        </w:rPr>
      </w:pPr>
      <w:r>
        <w:rPr>
          <w:rFonts w:ascii="Arial" w:cs="Arial" w:eastAsia="Arial" w:hAnsi="Arial"/>
          <w:sz w:val="16"/>
          <w:szCs w:val="16"/>
          <w:color w:val="auto"/>
        </w:rPr>
        <w:t>In the first half of 2015, corporate cash balances remain high and interest rates remain low. The U.S. macroeconomic environment has improved, but Europe and many of the developing markets remain unsettled, particularly with respect to foreign exchange markets. Although market and foreign currency volatility may continue, the longer-term trends appear to remain favorable for both of our businesses.</w:t>
      </w:r>
    </w:p>
    <w:p>
      <w:pPr>
        <w:spacing w:after="0" w:line="115" w:lineRule="exact"/>
        <w:rPr>
          <w:sz w:val="20"/>
          <w:szCs w:val="20"/>
          <w:color w:val="auto"/>
        </w:rPr>
      </w:pPr>
    </w:p>
    <w:p>
      <w:pPr>
        <w:ind w:right="280" w:firstLine="457"/>
        <w:spacing w:after="0" w:line="280" w:lineRule="auto"/>
        <w:rPr>
          <w:sz w:val="20"/>
          <w:szCs w:val="20"/>
          <w:color w:val="auto"/>
        </w:rPr>
      </w:pPr>
      <w:r>
        <w:rPr>
          <w:rFonts w:ascii="Arial" w:cs="Arial" w:eastAsia="Arial" w:hAnsi="Arial"/>
          <w:sz w:val="16"/>
          <w:szCs w:val="16"/>
          <w:color w:val="auto"/>
        </w:rPr>
        <w:t>We intend to leverage our existing infrastructure to capitalize on any global macroeconomic recovery, positive momentum in the M&amp;A cycle, and strength in the global equity markets. We believe that we can generate revenue growth by remaining adequately staffed to capitalize on any macroeconomic recovery and deploying our intellectual capital to generate new revenue streams.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outlook with respect to our Financial Advisory and Asset Management businesses is described below.</w:t>
      </w:r>
    </w:p>
    <w:p>
      <w:pPr>
        <w:spacing w:after="0" w:line="94" w:lineRule="exact"/>
        <w:rPr>
          <w:sz w:val="20"/>
          <w:szCs w:val="20"/>
          <w:color w:val="auto"/>
        </w:rPr>
      </w:pPr>
    </w:p>
    <w:p>
      <w:pPr>
        <w:ind w:left="920" w:right="20" w:hanging="349"/>
        <w:spacing w:after="0" w:line="272" w:lineRule="auto"/>
        <w:tabs>
          <w:tab w:leader="none" w:pos="920"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Financial Advisory </w:t>
      </w:r>
      <w:r>
        <w:rPr>
          <w:rFonts w:ascii="Arial" w:cs="Arial" w:eastAsia="Arial" w:hAnsi="Arial"/>
          <w:sz w:val="16"/>
          <w:szCs w:val="16"/>
          <w:color w:val="auto"/>
        </w:rPr>
        <w:t>– The fundamentals for continued growth of a strategic M&amp;A cycle appear to remain in place. Demand continues for expert, independent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strategic advice that can be levered across geographies and our range of advisory capabilities. The global scale and breadth of our Financial Advisory business allows us to advise on large, complex cross-border transactions across a variety of industries. In addition, we believe our businesses throughout the emerging markets, Japan and Australia position us for growth in these markets, while enhancing our relationships with, and the services that we can provide to, clients in developed economies.</w:t>
      </w:r>
    </w:p>
    <w:p>
      <w:pPr>
        <w:spacing w:after="0" w:line="45" w:lineRule="exact"/>
        <w:rPr>
          <w:rFonts w:ascii="Arial" w:cs="Arial" w:eastAsia="Arial" w:hAnsi="Arial"/>
          <w:sz w:val="16"/>
          <w:szCs w:val="16"/>
          <w:color w:val="auto"/>
        </w:rPr>
      </w:pPr>
    </w:p>
    <w:p>
      <w:pPr>
        <w:ind w:left="920" w:hanging="349"/>
        <w:spacing w:after="0" w:line="287" w:lineRule="auto"/>
        <w:tabs>
          <w:tab w:leader="none" w:pos="920" w:val="left"/>
        </w:tabs>
        <w:numPr>
          <w:ilvl w:val="0"/>
          <w:numId w:val="3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Asset Management </w:t>
      </w:r>
      <w:r>
        <w:rPr>
          <w:rFonts w:ascii="Arial" w:cs="Arial" w:eastAsia="Arial" w:hAnsi="Arial"/>
          <w:sz w:val="15"/>
          <w:szCs w:val="15"/>
          <w:color w:val="auto"/>
        </w:rPr>
        <w:t>– Generally, we have seen increased investor demand across regions and investment platforms. In the short to intermediate term, we expect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most of our growth will come from defined benefit and defined contribution plans in the developed economies because of their sheer scope and size. Over the longer term, we expect an increasing share of our AUM to come from the developing economies in Asia, Latin America and the Middle East, as their retirement systems evolve and individual wealth is increasingly deployed in the financial markets. Our global footprint is already well established in the developed economies and we expect our business in the developing economies will continue to expand. Given our globally diversified platform and our ability to provide investment solutions for a global mix of clients, we believe we are positioned to benefit from growth that may occur in the asset management industry. In recent years, we have expanded the global footprint of our Asset Management business by opening offices in Singapore, Dubai and Dublin. We are continually developing and seeding new investment strategies that extend our existing platforms. Recent examples of growth initiatives include the following investment strategies: Emerging Markets Debt, Emerging Markets Small Cap Equity, Middle East North African Equities, Asian Equities, U.S. Long/Short Equity and International Concentrated Equity.</w:t>
      </w:r>
    </w:p>
    <w:p>
      <w:pPr>
        <w:spacing w:after="0" w:line="114" w:lineRule="exact"/>
        <w:rPr>
          <w:sz w:val="20"/>
          <w:szCs w:val="20"/>
          <w:color w:val="auto"/>
        </w:rPr>
      </w:pPr>
    </w:p>
    <w:p>
      <w:pPr>
        <w:ind w:right="80" w:firstLine="457"/>
        <w:spacing w:after="0" w:line="272" w:lineRule="auto"/>
        <w:rPr>
          <w:sz w:val="20"/>
          <w:szCs w:val="20"/>
          <w:color w:val="auto"/>
        </w:rPr>
      </w:pPr>
      <w:r>
        <w:rPr>
          <w:rFonts w:ascii="Arial" w:cs="Arial" w:eastAsia="Arial" w:hAnsi="Arial"/>
          <w:sz w:val="16"/>
          <w:szCs w:val="16"/>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Item 1A, “Risk Factors” in our Form 10-K. Furthermore, net income and revenue in any period may not be indicative of full-year results or the results of any other period and may vary significantly from year to year and quarter to quarter.</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00"/>
          </w:cols>
          <w:pgMar w:left="240" w:top="440" w:right="25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280" w:firstLine="457"/>
        <w:spacing w:after="0" w:line="296" w:lineRule="auto"/>
        <w:rPr>
          <w:sz w:val="20"/>
          <w:szCs w:val="20"/>
          <w:color w:val="auto"/>
        </w:rPr>
      </w:pPr>
      <w:r>
        <w:rPr>
          <w:rFonts w:ascii="Arial" w:cs="Arial" w:eastAsia="Arial" w:hAnsi="Arial"/>
          <w:sz w:val="16"/>
          <w:szCs w:val="16"/>
          <w:color w:val="auto"/>
        </w:rPr>
        <w:t>Overall, we continue to focus on the development of our business, including the generation of stable revenue growth, earnings growth and shareholder returns, the prudent management of our costs and expenses, the efficient use of our assets and the return of capital to our shareholders.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data with respect to our Financial Advisory and Asset Management businesses is included below.</w:t>
      </w:r>
    </w:p>
    <w:p>
      <w:pPr>
        <w:spacing w:after="0" w:line="246"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Financial Advisory</w:t>
      </w:r>
    </w:p>
    <w:p>
      <w:pPr>
        <w:spacing w:after="0" w:line="94" w:lineRule="exact"/>
        <w:rPr>
          <w:sz w:val="20"/>
          <w:szCs w:val="20"/>
          <w:color w:val="auto"/>
        </w:rPr>
      </w:pPr>
    </w:p>
    <w:p>
      <w:pPr>
        <w:ind w:right="60" w:firstLine="457"/>
        <w:spacing w:after="0" w:line="298" w:lineRule="auto"/>
        <w:rPr>
          <w:sz w:val="20"/>
          <w:szCs w:val="20"/>
          <w:color w:val="auto"/>
        </w:rPr>
      </w:pPr>
      <w:r>
        <w:rPr>
          <w:rFonts w:ascii="Arial" w:cs="Arial" w:eastAsia="Arial" w:hAnsi="Arial"/>
          <w:sz w:val="15"/>
          <w:szCs w:val="15"/>
          <w:color w:val="auto"/>
        </w:rPr>
        <w:t>As reflected in the following table, which sets forth global M&amp;A industry statistics, the value of all completed transactions, including completed transactions with values greater than $500 million, increased in the first half of 2015 as compared to the first half of 2014, while the number of all completed transactions decreased over the same period. With respect to announced M&amp;A transactions, the value of all announced transactions, including announced transactions with values greater than $500 million, increased in the first half of 2015 as compared to the first half of 2014, while the number of all announced transactions decreased over the same period.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0" w:type="dxa"/>
            <w:vAlign w:val="bottom"/>
            <w:gridSpan w:val="2"/>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20" w:type="dxa"/>
            <w:vAlign w:val="bottom"/>
            <w:gridSpan w:val="2"/>
          </w:tcPr>
          <w:p>
            <w:pPr>
              <w:jc w:val="right"/>
              <w:ind w:right="42"/>
              <w:spacing w:after="0"/>
              <w:rPr>
                <w:sz w:val="20"/>
                <w:szCs w:val="20"/>
                <w:color w:val="auto"/>
              </w:rPr>
            </w:pPr>
            <w:r>
              <w:rPr>
                <w:rFonts w:ascii="Arial" w:cs="Arial" w:eastAsia="Arial" w:hAnsi="Arial"/>
                <w:sz w:val="13"/>
                <w:szCs w:val="13"/>
                <w:b w:val="1"/>
                <w:bCs w:val="1"/>
                <w:color w:val="auto"/>
              </w:rPr>
              <w:t>Six Months Ended</w:t>
            </w: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52"/>
        </w:trPr>
        <w:tc>
          <w:tcPr>
            <w:tcW w:w="3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June 30,</w:t>
            </w:r>
          </w:p>
        </w:tc>
        <w:tc>
          <w:tcPr>
            <w:tcW w:w="760" w:type="dxa"/>
            <w:vAlign w:val="bottom"/>
            <w:tcBorders>
              <w:bottom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3"/>
                <w:szCs w:val="13"/>
                <w:b w:val="1"/>
                <w:bCs w:val="1"/>
                <w:color w:val="auto"/>
                <w:w w:val="88"/>
              </w:rPr>
              <w:t>June 30,</w:t>
            </w:r>
          </w:p>
        </w:tc>
        <w:tc>
          <w:tcPr>
            <w:tcW w:w="8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r>
      <w:tr>
        <w:trPr>
          <w:trHeight w:val="119"/>
        </w:trPr>
        <w:tc>
          <w:tcPr>
            <w:tcW w:w="36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60" w:type="dxa"/>
            <w:vAlign w:val="bottom"/>
          </w:tcPr>
          <w:p>
            <w:pPr>
              <w:jc w:val="right"/>
              <w:ind w:right="202"/>
              <w:spacing w:after="0" w:line="119" w:lineRule="exact"/>
              <w:rPr>
                <w:sz w:val="20"/>
                <w:szCs w:val="20"/>
                <w:color w:val="auto"/>
              </w:rPr>
            </w:pPr>
            <w:r>
              <w:rPr>
                <w:rFonts w:ascii="Arial" w:cs="Arial" w:eastAsia="Arial" w:hAnsi="Arial"/>
                <w:sz w:val="13"/>
                <w:szCs w:val="13"/>
                <w:b w:val="1"/>
                <w:bCs w:val="1"/>
                <w:color w:val="auto"/>
              </w:rPr>
              <w:t>%</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jc w:val="right"/>
              <w:ind w:right="202"/>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r>
      <w:tr>
        <w:trPr>
          <w:trHeight w:val="152"/>
        </w:trPr>
        <w:tc>
          <w:tcPr>
            <w:tcW w:w="3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200"/>
              <w:spacing w:after="0"/>
              <w:rPr>
                <w:sz w:val="20"/>
                <w:szCs w:val="20"/>
                <w:color w:val="auto"/>
              </w:rPr>
            </w:pPr>
            <w:r>
              <w:rPr>
                <w:rFonts w:ascii="Arial" w:cs="Arial" w:eastAsia="Arial" w:hAnsi="Arial"/>
                <w:sz w:val="13"/>
                <w:szCs w:val="13"/>
                <w:b w:val="1"/>
                <w:bCs w:val="1"/>
                <w:color w:val="auto"/>
                <w:w w:val="89"/>
              </w:rPr>
              <w:t>2015</w:t>
            </w:r>
          </w:p>
        </w:tc>
        <w:tc>
          <w:tcPr>
            <w:tcW w:w="460" w:type="dxa"/>
            <w:vAlign w:val="bottom"/>
          </w:tcPr>
          <w:p>
            <w:pPr>
              <w:spacing w:after="0"/>
              <w:rPr>
                <w:sz w:val="13"/>
                <w:szCs w:val="13"/>
                <w:color w:val="auto"/>
              </w:rPr>
            </w:pPr>
          </w:p>
        </w:tc>
        <w:tc>
          <w:tcPr>
            <w:tcW w:w="940" w:type="dxa"/>
            <w:vAlign w:val="bottom"/>
          </w:tcPr>
          <w:p>
            <w:pPr>
              <w:ind w:left="60"/>
              <w:spacing w:after="0"/>
              <w:rPr>
                <w:sz w:val="20"/>
                <w:szCs w:val="20"/>
                <w:color w:val="auto"/>
              </w:rPr>
            </w:pPr>
            <w:r>
              <w:rPr>
                <w:rFonts w:ascii="Arial" w:cs="Arial" w:eastAsia="Arial" w:hAnsi="Arial"/>
                <w:sz w:val="13"/>
                <w:szCs w:val="13"/>
                <w:b w:val="1"/>
                <w:bCs w:val="1"/>
                <w:color w:val="auto"/>
              </w:rPr>
              <w:t>2014</w:t>
            </w:r>
          </w:p>
        </w:tc>
        <w:tc>
          <w:tcPr>
            <w:tcW w:w="1460" w:type="dxa"/>
            <w:vAlign w:val="bottom"/>
            <w:gridSpan w:val="2"/>
          </w:tcPr>
          <w:p>
            <w:pPr>
              <w:jc w:val="center"/>
              <w:ind w:right="577"/>
              <w:spacing w:after="0"/>
              <w:rPr>
                <w:sz w:val="20"/>
                <w:szCs w:val="20"/>
                <w:color w:val="auto"/>
              </w:rPr>
            </w:pPr>
            <w:r>
              <w:rPr>
                <w:rFonts w:ascii="Arial" w:cs="Arial" w:eastAsia="Arial" w:hAnsi="Arial"/>
                <w:sz w:val="13"/>
                <w:szCs w:val="13"/>
                <w:b w:val="1"/>
                <w:bCs w:val="1"/>
                <w:color w:val="auto"/>
                <w:w w:val="96"/>
              </w:rPr>
              <w:t>Incr / (Decr)</w:t>
            </w:r>
          </w:p>
        </w:tc>
        <w:tc>
          <w:tcPr>
            <w:tcW w:w="80" w:type="dxa"/>
            <w:vAlign w:val="bottom"/>
          </w:tcPr>
          <w:p>
            <w:pPr>
              <w:spacing w:after="0"/>
              <w:rPr>
                <w:sz w:val="13"/>
                <w:szCs w:val="13"/>
                <w:color w:val="auto"/>
              </w:rPr>
            </w:pPr>
          </w:p>
        </w:tc>
        <w:tc>
          <w:tcPr>
            <w:tcW w:w="660" w:type="dxa"/>
            <w:vAlign w:val="bottom"/>
          </w:tcPr>
          <w:p>
            <w:pPr>
              <w:jc w:val="right"/>
              <w:ind w:right="260"/>
              <w:spacing w:after="0"/>
              <w:rPr>
                <w:sz w:val="20"/>
                <w:szCs w:val="20"/>
                <w:color w:val="auto"/>
              </w:rPr>
            </w:pPr>
            <w:r>
              <w:rPr>
                <w:rFonts w:ascii="Arial" w:cs="Arial" w:eastAsia="Arial" w:hAnsi="Arial"/>
                <w:sz w:val="13"/>
                <w:szCs w:val="13"/>
                <w:b w:val="1"/>
                <w:bCs w:val="1"/>
                <w:color w:val="auto"/>
              </w:rPr>
              <w:t>2015</w:t>
            </w:r>
          </w:p>
        </w:tc>
        <w:tc>
          <w:tcPr>
            <w:tcW w:w="440" w:type="dxa"/>
            <w:vAlign w:val="bottom"/>
          </w:tcPr>
          <w:p>
            <w:pPr>
              <w:spacing w:after="0"/>
              <w:rPr>
                <w:sz w:val="13"/>
                <w:szCs w:val="13"/>
                <w:color w:val="auto"/>
              </w:rPr>
            </w:pPr>
          </w:p>
        </w:tc>
        <w:tc>
          <w:tcPr>
            <w:tcW w:w="880" w:type="dxa"/>
            <w:vAlign w:val="bottom"/>
          </w:tcPr>
          <w:p>
            <w:pPr>
              <w:jc w:val="right"/>
              <w:ind w:right="502"/>
              <w:spacing w:after="0"/>
              <w:rPr>
                <w:sz w:val="20"/>
                <w:szCs w:val="20"/>
                <w:color w:val="auto"/>
              </w:rPr>
            </w:pPr>
            <w:r>
              <w:rPr>
                <w:rFonts w:ascii="Arial" w:cs="Arial" w:eastAsia="Arial" w:hAnsi="Arial"/>
                <w:sz w:val="13"/>
                <w:szCs w:val="13"/>
                <w:b w:val="1"/>
                <w:bCs w:val="1"/>
                <w:color w:val="auto"/>
                <w:w w:val="96"/>
              </w:rPr>
              <w:t>2014</w:t>
            </w:r>
          </w:p>
        </w:tc>
        <w:tc>
          <w:tcPr>
            <w:tcW w:w="10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Incr / (Decr)</w:t>
            </w:r>
          </w:p>
        </w:tc>
      </w:tr>
      <w:tr>
        <w:trPr>
          <w:trHeight w:val="144"/>
        </w:trPr>
        <w:tc>
          <w:tcPr>
            <w:tcW w:w="3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spacing w:after="0" w:line="144" w:lineRule="exact"/>
              <w:rPr>
                <w:sz w:val="20"/>
                <w:szCs w:val="20"/>
                <w:color w:val="auto"/>
              </w:rPr>
            </w:pPr>
            <w:r>
              <w:rPr>
                <w:rFonts w:ascii="Arial" w:cs="Arial" w:eastAsia="Arial" w:hAnsi="Arial"/>
                <w:sz w:val="13"/>
                <w:szCs w:val="13"/>
                <w:b w:val="1"/>
                <w:bCs w:val="1"/>
                <w:color w:val="auto"/>
                <w:w w:val="89"/>
              </w:rPr>
              <w:t>($ in billions)</w:t>
            </w:r>
          </w:p>
        </w:tc>
        <w:tc>
          <w:tcPr>
            <w:tcW w:w="6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r>
      <w:tr>
        <w:trPr>
          <w:trHeight w:val="202"/>
        </w:trPr>
        <w:tc>
          <w:tcPr>
            <w:tcW w:w="3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Completed M&amp;A Transactions:</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2"/>
        </w:trPr>
        <w:tc>
          <w:tcPr>
            <w:tcW w:w="3680" w:type="dxa"/>
            <w:vAlign w:val="bottom"/>
          </w:tcPr>
          <w:p>
            <w:pPr>
              <w:ind w:left="400"/>
              <w:spacing w:after="0"/>
              <w:rPr>
                <w:sz w:val="20"/>
                <w:szCs w:val="20"/>
                <w:color w:val="auto"/>
              </w:rPr>
            </w:pPr>
            <w:r>
              <w:rPr>
                <w:rFonts w:ascii="Arial" w:cs="Arial" w:eastAsia="Arial" w:hAnsi="Arial"/>
                <w:sz w:val="16"/>
                <w:szCs w:val="16"/>
                <w:color w:val="auto"/>
              </w:rPr>
              <w:t>All deals:</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2"/>
        </w:trPr>
        <w:tc>
          <w:tcPr>
            <w:tcW w:w="3680" w:type="dxa"/>
            <w:vAlign w:val="bottom"/>
            <w:shd w:val="clear" w:color="auto" w:fill="CCEEFF"/>
          </w:tcPr>
          <w:p>
            <w:pPr>
              <w:ind w:left="820"/>
              <w:spacing w:after="0"/>
              <w:rPr>
                <w:sz w:val="20"/>
                <w:szCs w:val="20"/>
                <w:color w:val="auto"/>
              </w:rPr>
            </w:pPr>
            <w:r>
              <w:rPr>
                <w:rFonts w:ascii="Arial" w:cs="Arial" w:eastAsia="Arial" w:hAnsi="Arial"/>
                <w:sz w:val="16"/>
                <w:szCs w:val="16"/>
                <w:color w:val="auto"/>
              </w:rPr>
              <w:t>Value</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903</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rPr>
              <w:t>613</w:t>
            </w:r>
          </w:p>
        </w:tc>
        <w:tc>
          <w:tcPr>
            <w:tcW w:w="1460" w:type="dxa"/>
            <w:vAlign w:val="bottom"/>
            <w:gridSpan w:val="2"/>
            <w:shd w:val="clear" w:color="auto" w:fill="CCEEFF"/>
          </w:tcPr>
          <w:p>
            <w:pPr>
              <w:jc w:val="right"/>
              <w:ind w:right="497"/>
              <w:spacing w:after="0"/>
              <w:rPr>
                <w:sz w:val="20"/>
                <w:szCs w:val="20"/>
                <w:color w:val="auto"/>
              </w:rPr>
            </w:pPr>
            <w:r>
              <w:rPr>
                <w:rFonts w:ascii="Arial" w:cs="Arial" w:eastAsia="Arial" w:hAnsi="Arial"/>
                <w:sz w:val="16"/>
                <w:szCs w:val="16"/>
                <w:color w:val="auto"/>
              </w:rPr>
              <w:t>47%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1,756</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rPr>
              <w:t>1,354</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w:t>
            </w:r>
          </w:p>
        </w:tc>
      </w:tr>
      <w:tr>
        <w:trPr>
          <w:trHeight w:val="202"/>
        </w:trPr>
        <w:tc>
          <w:tcPr>
            <w:tcW w:w="3680" w:type="dxa"/>
            <w:vAlign w:val="bottom"/>
          </w:tcPr>
          <w:p>
            <w:pPr>
              <w:ind w:left="820"/>
              <w:spacing w:after="0"/>
              <w:rPr>
                <w:sz w:val="20"/>
                <w:szCs w:val="20"/>
                <w:color w:val="auto"/>
              </w:rPr>
            </w:pPr>
            <w:r>
              <w:rPr>
                <w:rFonts w:ascii="Arial" w:cs="Arial" w:eastAsia="Arial" w:hAnsi="Arial"/>
                <w:sz w:val="16"/>
                <w:szCs w:val="16"/>
                <w:color w:val="auto"/>
              </w:rPr>
              <w:t>Number</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ind w:right="100"/>
              <w:spacing w:after="0"/>
              <w:rPr>
                <w:sz w:val="20"/>
                <w:szCs w:val="20"/>
                <w:color w:val="auto"/>
              </w:rPr>
            </w:pPr>
            <w:r>
              <w:rPr>
                <w:rFonts w:ascii="Arial" w:cs="Arial" w:eastAsia="Arial" w:hAnsi="Arial"/>
                <w:sz w:val="16"/>
                <w:szCs w:val="16"/>
                <w:color w:val="auto"/>
                <w:w w:val="89"/>
              </w:rPr>
              <w:t>7,925</w:t>
            </w:r>
          </w:p>
        </w:tc>
        <w:tc>
          <w:tcPr>
            <w:tcW w:w="460" w:type="dxa"/>
            <w:vAlign w:val="bottom"/>
          </w:tcPr>
          <w:p>
            <w:pPr>
              <w:spacing w:after="0"/>
              <w:rPr>
                <w:sz w:val="17"/>
                <w:szCs w:val="17"/>
                <w:color w:val="auto"/>
              </w:rPr>
            </w:pPr>
          </w:p>
        </w:tc>
        <w:tc>
          <w:tcPr>
            <w:tcW w:w="940" w:type="dxa"/>
            <w:vAlign w:val="bottom"/>
          </w:tcPr>
          <w:p>
            <w:pPr>
              <w:jc w:val="right"/>
              <w:ind w:right="402"/>
              <w:spacing w:after="0"/>
              <w:rPr>
                <w:sz w:val="20"/>
                <w:szCs w:val="20"/>
                <w:color w:val="auto"/>
              </w:rPr>
            </w:pPr>
            <w:r>
              <w:rPr>
                <w:rFonts w:ascii="Arial" w:cs="Arial" w:eastAsia="Arial" w:hAnsi="Arial"/>
                <w:sz w:val="16"/>
                <w:szCs w:val="16"/>
                <w:color w:val="auto"/>
                <w:w w:val="89"/>
              </w:rPr>
              <w:t>10,083</w:t>
            </w:r>
          </w:p>
        </w:tc>
        <w:tc>
          <w:tcPr>
            <w:tcW w:w="1460" w:type="dxa"/>
            <w:vAlign w:val="bottom"/>
            <w:gridSpan w:val="2"/>
          </w:tcPr>
          <w:p>
            <w:pPr>
              <w:jc w:val="right"/>
              <w:ind w:right="437"/>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7"/>
                <w:szCs w:val="17"/>
                <w:color w:val="auto"/>
              </w:rPr>
            </w:pPr>
          </w:p>
        </w:tc>
        <w:tc>
          <w:tcPr>
            <w:tcW w:w="660" w:type="dxa"/>
            <w:vAlign w:val="bottom"/>
          </w:tcPr>
          <w:p>
            <w:pPr>
              <w:jc w:val="right"/>
              <w:ind w:right="120"/>
              <w:spacing w:after="0"/>
              <w:rPr>
                <w:sz w:val="20"/>
                <w:szCs w:val="20"/>
                <w:color w:val="auto"/>
              </w:rPr>
            </w:pPr>
            <w:r>
              <w:rPr>
                <w:rFonts w:ascii="Arial" w:cs="Arial" w:eastAsia="Arial" w:hAnsi="Arial"/>
                <w:sz w:val="16"/>
                <w:szCs w:val="16"/>
                <w:color w:val="auto"/>
                <w:w w:val="89"/>
              </w:rPr>
              <w:t>17,254</w:t>
            </w:r>
          </w:p>
        </w:tc>
        <w:tc>
          <w:tcPr>
            <w:tcW w:w="440" w:type="dxa"/>
            <w:vAlign w:val="bottom"/>
          </w:tcPr>
          <w:p>
            <w:pPr>
              <w:spacing w:after="0"/>
              <w:rPr>
                <w:sz w:val="17"/>
                <w:szCs w:val="17"/>
                <w:color w:val="auto"/>
              </w:rPr>
            </w:pPr>
          </w:p>
        </w:tc>
        <w:tc>
          <w:tcPr>
            <w:tcW w:w="880" w:type="dxa"/>
            <w:vAlign w:val="bottom"/>
          </w:tcPr>
          <w:p>
            <w:pPr>
              <w:jc w:val="right"/>
              <w:ind w:right="342"/>
              <w:spacing w:after="0"/>
              <w:rPr>
                <w:sz w:val="20"/>
                <w:szCs w:val="20"/>
                <w:color w:val="auto"/>
              </w:rPr>
            </w:pPr>
            <w:r>
              <w:rPr>
                <w:rFonts w:ascii="Arial" w:cs="Arial" w:eastAsia="Arial" w:hAnsi="Arial"/>
                <w:sz w:val="16"/>
                <w:szCs w:val="16"/>
                <w:color w:val="auto"/>
                <w:w w:val="89"/>
              </w:rPr>
              <w:t>19,754</w:t>
            </w: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(13)%</w:t>
            </w:r>
          </w:p>
        </w:tc>
      </w:tr>
      <w:tr>
        <w:trPr>
          <w:trHeight w:val="202"/>
        </w:trPr>
        <w:tc>
          <w:tcPr>
            <w:tcW w:w="36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Deals Greater than $500 million:</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2"/>
        </w:trPr>
        <w:tc>
          <w:tcPr>
            <w:tcW w:w="3680" w:type="dxa"/>
            <w:vAlign w:val="bottom"/>
          </w:tcPr>
          <w:p>
            <w:pPr>
              <w:ind w:left="820"/>
              <w:spacing w:after="0"/>
              <w:rPr>
                <w:sz w:val="20"/>
                <w:szCs w:val="20"/>
                <w:color w:val="auto"/>
              </w:rPr>
            </w:pPr>
            <w:r>
              <w:rPr>
                <w:rFonts w:ascii="Arial" w:cs="Arial" w:eastAsia="Arial" w:hAnsi="Arial"/>
                <w:sz w:val="16"/>
                <w:szCs w:val="16"/>
                <w:color w:val="auto"/>
              </w:rPr>
              <w:t>Value</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00"/>
              <w:spacing w:after="0"/>
              <w:rPr>
                <w:sz w:val="20"/>
                <w:szCs w:val="20"/>
                <w:color w:val="auto"/>
              </w:rPr>
            </w:pPr>
            <w:r>
              <w:rPr>
                <w:rFonts w:ascii="Arial" w:cs="Arial" w:eastAsia="Arial" w:hAnsi="Arial"/>
                <w:sz w:val="16"/>
                <w:szCs w:val="16"/>
                <w:color w:val="auto"/>
              </w:rPr>
              <w:t>715</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2"/>
              <w:spacing w:after="0"/>
              <w:rPr>
                <w:sz w:val="20"/>
                <w:szCs w:val="20"/>
                <w:color w:val="auto"/>
              </w:rPr>
            </w:pPr>
            <w:r>
              <w:rPr>
                <w:rFonts w:ascii="Arial" w:cs="Arial" w:eastAsia="Arial" w:hAnsi="Arial"/>
                <w:sz w:val="16"/>
                <w:szCs w:val="16"/>
                <w:color w:val="auto"/>
              </w:rPr>
              <w:t>401</w:t>
            </w:r>
          </w:p>
        </w:tc>
        <w:tc>
          <w:tcPr>
            <w:tcW w:w="1460" w:type="dxa"/>
            <w:vAlign w:val="bottom"/>
            <w:gridSpan w:val="2"/>
          </w:tcPr>
          <w:p>
            <w:pPr>
              <w:jc w:val="right"/>
              <w:ind w:right="497"/>
              <w:spacing w:after="0"/>
              <w:rPr>
                <w:sz w:val="20"/>
                <w:szCs w:val="20"/>
                <w:color w:val="auto"/>
              </w:rPr>
            </w:pPr>
            <w:r>
              <w:rPr>
                <w:rFonts w:ascii="Arial" w:cs="Arial" w:eastAsia="Arial" w:hAnsi="Arial"/>
                <w:sz w:val="16"/>
                <w:szCs w:val="16"/>
                <w:color w:val="auto"/>
              </w:rPr>
              <w:t>78%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120"/>
              <w:spacing w:after="0"/>
              <w:rPr>
                <w:sz w:val="20"/>
                <w:szCs w:val="20"/>
                <w:color w:val="auto"/>
              </w:rPr>
            </w:pPr>
            <w:r>
              <w:rPr>
                <w:rFonts w:ascii="Arial" w:cs="Arial" w:eastAsia="Arial" w:hAnsi="Arial"/>
                <w:sz w:val="16"/>
                <w:szCs w:val="16"/>
                <w:color w:val="auto"/>
              </w:rPr>
              <w:t>1,380</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42"/>
              <w:spacing w:after="0"/>
              <w:rPr>
                <w:sz w:val="20"/>
                <w:szCs w:val="20"/>
                <w:color w:val="auto"/>
              </w:rPr>
            </w:pPr>
            <w:r>
              <w:rPr>
                <w:rFonts w:ascii="Arial" w:cs="Arial" w:eastAsia="Arial" w:hAnsi="Arial"/>
                <w:sz w:val="16"/>
                <w:szCs w:val="16"/>
                <w:color w:val="auto"/>
              </w:rPr>
              <w:t>959</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44%</w:t>
            </w:r>
          </w:p>
        </w:tc>
      </w:tr>
      <w:tr>
        <w:trPr>
          <w:trHeight w:val="202"/>
        </w:trPr>
        <w:tc>
          <w:tcPr>
            <w:tcW w:w="3680" w:type="dxa"/>
            <w:vAlign w:val="bottom"/>
            <w:shd w:val="clear" w:color="auto" w:fill="CCEEFF"/>
          </w:tcPr>
          <w:p>
            <w:pPr>
              <w:ind w:left="820"/>
              <w:spacing w:after="0"/>
              <w:rPr>
                <w:sz w:val="20"/>
                <w:szCs w:val="20"/>
                <w:color w:val="auto"/>
              </w:rPr>
            </w:pPr>
            <w:r>
              <w:rPr>
                <w:rFonts w:ascii="Arial" w:cs="Arial" w:eastAsia="Arial" w:hAnsi="Arial"/>
                <w:sz w:val="16"/>
                <w:szCs w:val="16"/>
                <w:color w:val="auto"/>
              </w:rPr>
              <w:t>Number</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263</w:t>
            </w: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rPr>
              <w:t>229</w:t>
            </w:r>
          </w:p>
        </w:tc>
        <w:tc>
          <w:tcPr>
            <w:tcW w:w="1460" w:type="dxa"/>
            <w:vAlign w:val="bottom"/>
            <w:gridSpan w:val="2"/>
            <w:shd w:val="clear" w:color="auto" w:fill="CCEEFF"/>
          </w:tcPr>
          <w:p>
            <w:pPr>
              <w:jc w:val="right"/>
              <w:ind w:right="497"/>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526</w:t>
            </w: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rPr>
              <w:t>491</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w:t>
            </w:r>
          </w:p>
        </w:tc>
      </w:tr>
      <w:tr>
        <w:trPr>
          <w:trHeight w:val="202"/>
        </w:trPr>
        <w:tc>
          <w:tcPr>
            <w:tcW w:w="3680" w:type="dxa"/>
            <w:vAlign w:val="bottom"/>
          </w:tcPr>
          <w:p>
            <w:pPr>
              <w:spacing w:after="0"/>
              <w:rPr>
                <w:sz w:val="20"/>
                <w:szCs w:val="20"/>
                <w:color w:val="auto"/>
              </w:rPr>
            </w:pPr>
            <w:r>
              <w:rPr>
                <w:rFonts w:ascii="Arial" w:cs="Arial" w:eastAsia="Arial" w:hAnsi="Arial"/>
                <w:sz w:val="16"/>
                <w:szCs w:val="16"/>
                <w:b w:val="1"/>
                <w:bCs w:val="1"/>
                <w:color w:val="auto"/>
              </w:rPr>
              <w:t>Announced M&amp;A Transactions:</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2"/>
        </w:trPr>
        <w:tc>
          <w:tcPr>
            <w:tcW w:w="36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All deals:</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2"/>
        </w:trPr>
        <w:tc>
          <w:tcPr>
            <w:tcW w:w="3680" w:type="dxa"/>
            <w:vAlign w:val="bottom"/>
          </w:tcPr>
          <w:p>
            <w:pPr>
              <w:ind w:left="820"/>
              <w:spacing w:after="0"/>
              <w:rPr>
                <w:sz w:val="20"/>
                <w:szCs w:val="20"/>
                <w:color w:val="auto"/>
              </w:rPr>
            </w:pPr>
            <w:r>
              <w:rPr>
                <w:rFonts w:ascii="Arial" w:cs="Arial" w:eastAsia="Arial" w:hAnsi="Arial"/>
                <w:sz w:val="16"/>
                <w:szCs w:val="16"/>
                <w:color w:val="auto"/>
              </w:rPr>
              <w:t>Value</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00"/>
              <w:spacing w:after="0"/>
              <w:rPr>
                <w:sz w:val="20"/>
                <w:szCs w:val="20"/>
                <w:color w:val="auto"/>
              </w:rPr>
            </w:pPr>
            <w:r>
              <w:rPr>
                <w:rFonts w:ascii="Arial" w:cs="Arial" w:eastAsia="Arial" w:hAnsi="Arial"/>
                <w:sz w:val="16"/>
                <w:szCs w:val="16"/>
                <w:color w:val="auto"/>
                <w:w w:val="89"/>
              </w:rPr>
              <w:t>1,375</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2"/>
              <w:spacing w:after="0"/>
              <w:rPr>
                <w:sz w:val="20"/>
                <w:szCs w:val="20"/>
                <w:color w:val="auto"/>
              </w:rPr>
            </w:pPr>
            <w:r>
              <w:rPr>
                <w:rFonts w:ascii="Arial" w:cs="Arial" w:eastAsia="Arial" w:hAnsi="Arial"/>
                <w:sz w:val="16"/>
                <w:szCs w:val="16"/>
                <w:color w:val="auto"/>
              </w:rPr>
              <w:t>1,010</w:t>
            </w:r>
          </w:p>
        </w:tc>
        <w:tc>
          <w:tcPr>
            <w:tcW w:w="1460" w:type="dxa"/>
            <w:vAlign w:val="bottom"/>
            <w:gridSpan w:val="2"/>
          </w:tcPr>
          <w:p>
            <w:pPr>
              <w:jc w:val="right"/>
              <w:ind w:right="497"/>
              <w:spacing w:after="0"/>
              <w:rPr>
                <w:sz w:val="20"/>
                <w:szCs w:val="20"/>
                <w:color w:val="auto"/>
              </w:rPr>
            </w:pPr>
            <w:r>
              <w:rPr>
                <w:rFonts w:ascii="Arial" w:cs="Arial" w:eastAsia="Arial" w:hAnsi="Arial"/>
                <w:sz w:val="16"/>
                <w:szCs w:val="16"/>
                <w:color w:val="auto"/>
              </w:rPr>
              <w:t>36%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120"/>
              <w:spacing w:after="0"/>
              <w:rPr>
                <w:sz w:val="20"/>
                <w:szCs w:val="20"/>
                <w:color w:val="auto"/>
              </w:rPr>
            </w:pPr>
            <w:r>
              <w:rPr>
                <w:rFonts w:ascii="Arial" w:cs="Arial" w:eastAsia="Arial" w:hAnsi="Arial"/>
                <w:sz w:val="16"/>
                <w:szCs w:val="16"/>
                <w:color w:val="auto"/>
              </w:rPr>
              <w:t>2,277</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42"/>
              <w:spacing w:after="0"/>
              <w:rPr>
                <w:sz w:val="20"/>
                <w:szCs w:val="20"/>
                <w:color w:val="auto"/>
              </w:rPr>
            </w:pPr>
            <w:r>
              <w:rPr>
                <w:rFonts w:ascii="Arial" w:cs="Arial" w:eastAsia="Arial" w:hAnsi="Arial"/>
                <w:sz w:val="16"/>
                <w:szCs w:val="16"/>
                <w:color w:val="auto"/>
              </w:rPr>
              <w:t>1,671</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36%</w:t>
            </w:r>
          </w:p>
        </w:tc>
      </w:tr>
      <w:tr>
        <w:trPr>
          <w:trHeight w:val="202"/>
        </w:trPr>
        <w:tc>
          <w:tcPr>
            <w:tcW w:w="3680" w:type="dxa"/>
            <w:vAlign w:val="bottom"/>
            <w:shd w:val="clear" w:color="auto" w:fill="CCEEFF"/>
          </w:tcPr>
          <w:p>
            <w:pPr>
              <w:ind w:left="820"/>
              <w:spacing w:after="0"/>
              <w:rPr>
                <w:sz w:val="20"/>
                <w:szCs w:val="20"/>
                <w:color w:val="auto"/>
              </w:rPr>
            </w:pPr>
            <w:r>
              <w:rPr>
                <w:rFonts w:ascii="Arial" w:cs="Arial" w:eastAsia="Arial" w:hAnsi="Arial"/>
                <w:sz w:val="16"/>
                <w:szCs w:val="16"/>
                <w:color w:val="auto"/>
              </w:rPr>
              <w:t>Number</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8,819</w:t>
            </w: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w w:val="89"/>
              </w:rPr>
              <w:t>10,474</w:t>
            </w:r>
          </w:p>
        </w:tc>
        <w:tc>
          <w:tcPr>
            <w:tcW w:w="1460" w:type="dxa"/>
            <w:vAlign w:val="bottom"/>
            <w:gridSpan w:val="2"/>
            <w:shd w:val="clear" w:color="auto" w:fill="CCEEFF"/>
          </w:tcPr>
          <w:p>
            <w:pPr>
              <w:jc w:val="right"/>
              <w:ind w:right="437"/>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18,650</w:t>
            </w: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w w:val="89"/>
              </w:rPr>
              <w:t>20,301</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w:t>
            </w:r>
          </w:p>
        </w:tc>
      </w:tr>
      <w:tr>
        <w:trPr>
          <w:trHeight w:val="202"/>
        </w:trPr>
        <w:tc>
          <w:tcPr>
            <w:tcW w:w="3680" w:type="dxa"/>
            <w:vAlign w:val="bottom"/>
          </w:tcPr>
          <w:p>
            <w:pPr>
              <w:ind w:left="400"/>
              <w:spacing w:after="0"/>
              <w:rPr>
                <w:sz w:val="20"/>
                <w:szCs w:val="20"/>
                <w:color w:val="auto"/>
              </w:rPr>
            </w:pPr>
            <w:r>
              <w:rPr>
                <w:rFonts w:ascii="Arial" w:cs="Arial" w:eastAsia="Arial" w:hAnsi="Arial"/>
                <w:sz w:val="16"/>
                <w:szCs w:val="16"/>
                <w:color w:val="auto"/>
              </w:rPr>
              <w:t>Deals Greater than $500 million:</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2"/>
        </w:trPr>
        <w:tc>
          <w:tcPr>
            <w:tcW w:w="3680" w:type="dxa"/>
            <w:vAlign w:val="bottom"/>
            <w:shd w:val="clear" w:color="auto" w:fill="CCEEFF"/>
          </w:tcPr>
          <w:p>
            <w:pPr>
              <w:ind w:left="820"/>
              <w:spacing w:after="0"/>
              <w:rPr>
                <w:sz w:val="20"/>
                <w:szCs w:val="20"/>
                <w:color w:val="auto"/>
              </w:rPr>
            </w:pPr>
            <w:r>
              <w:rPr>
                <w:rFonts w:ascii="Arial" w:cs="Arial" w:eastAsia="Arial" w:hAnsi="Arial"/>
                <w:sz w:val="16"/>
                <w:szCs w:val="16"/>
                <w:color w:val="auto"/>
              </w:rPr>
              <w:t>Value</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1,133</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rPr>
              <w:t>772</w:t>
            </w:r>
          </w:p>
        </w:tc>
        <w:tc>
          <w:tcPr>
            <w:tcW w:w="1460" w:type="dxa"/>
            <w:vAlign w:val="bottom"/>
            <w:gridSpan w:val="2"/>
            <w:shd w:val="clear" w:color="auto" w:fill="CCEEFF"/>
          </w:tcPr>
          <w:p>
            <w:pPr>
              <w:jc w:val="right"/>
              <w:ind w:right="497"/>
              <w:spacing w:after="0"/>
              <w:rPr>
                <w:sz w:val="20"/>
                <w:szCs w:val="20"/>
                <w:color w:val="auto"/>
              </w:rPr>
            </w:pPr>
            <w:r>
              <w:rPr>
                <w:rFonts w:ascii="Arial" w:cs="Arial" w:eastAsia="Arial" w:hAnsi="Arial"/>
                <w:sz w:val="16"/>
                <w:szCs w:val="16"/>
                <w:color w:val="auto"/>
              </w:rPr>
              <w:t>47%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1,828</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rPr>
              <w:t>1,246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47%</w:t>
            </w:r>
          </w:p>
        </w:tc>
      </w:tr>
      <w:tr>
        <w:trPr>
          <w:trHeight w:val="209"/>
        </w:trPr>
        <w:tc>
          <w:tcPr>
            <w:tcW w:w="3680" w:type="dxa"/>
            <w:vAlign w:val="bottom"/>
          </w:tcPr>
          <w:p>
            <w:pPr>
              <w:ind w:left="820"/>
              <w:spacing w:after="0"/>
              <w:rPr>
                <w:sz w:val="20"/>
                <w:szCs w:val="20"/>
                <w:color w:val="auto"/>
              </w:rPr>
            </w:pPr>
            <w:r>
              <w:rPr>
                <w:rFonts w:ascii="Arial" w:cs="Arial" w:eastAsia="Arial" w:hAnsi="Arial"/>
                <w:sz w:val="16"/>
                <w:szCs w:val="16"/>
                <w:color w:val="auto"/>
              </w:rPr>
              <w:t>Number</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ind w:right="100"/>
              <w:spacing w:after="0"/>
              <w:rPr>
                <w:sz w:val="20"/>
                <w:szCs w:val="20"/>
                <w:color w:val="auto"/>
              </w:rPr>
            </w:pPr>
            <w:r>
              <w:rPr>
                <w:rFonts w:ascii="Arial" w:cs="Arial" w:eastAsia="Arial" w:hAnsi="Arial"/>
                <w:sz w:val="16"/>
                <w:szCs w:val="16"/>
                <w:color w:val="auto"/>
              </w:rPr>
              <w:t>330</w:t>
            </w:r>
          </w:p>
        </w:tc>
        <w:tc>
          <w:tcPr>
            <w:tcW w:w="460" w:type="dxa"/>
            <w:vAlign w:val="bottom"/>
          </w:tcPr>
          <w:p>
            <w:pPr>
              <w:spacing w:after="0"/>
              <w:rPr>
                <w:sz w:val="18"/>
                <w:szCs w:val="18"/>
                <w:color w:val="auto"/>
              </w:rPr>
            </w:pPr>
          </w:p>
        </w:tc>
        <w:tc>
          <w:tcPr>
            <w:tcW w:w="940" w:type="dxa"/>
            <w:vAlign w:val="bottom"/>
          </w:tcPr>
          <w:p>
            <w:pPr>
              <w:jc w:val="right"/>
              <w:ind w:right="402"/>
              <w:spacing w:after="0"/>
              <w:rPr>
                <w:sz w:val="20"/>
                <w:szCs w:val="20"/>
                <w:color w:val="auto"/>
              </w:rPr>
            </w:pPr>
            <w:r>
              <w:rPr>
                <w:rFonts w:ascii="Arial" w:cs="Arial" w:eastAsia="Arial" w:hAnsi="Arial"/>
                <w:sz w:val="16"/>
                <w:szCs w:val="16"/>
                <w:color w:val="auto"/>
              </w:rPr>
              <w:t>308</w:t>
            </w:r>
          </w:p>
        </w:tc>
        <w:tc>
          <w:tcPr>
            <w:tcW w:w="1460" w:type="dxa"/>
            <w:vAlign w:val="bottom"/>
            <w:gridSpan w:val="2"/>
          </w:tcPr>
          <w:p>
            <w:pPr>
              <w:jc w:val="right"/>
              <w:ind w:right="497"/>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660" w:type="dxa"/>
            <w:vAlign w:val="bottom"/>
          </w:tcPr>
          <w:p>
            <w:pPr>
              <w:jc w:val="right"/>
              <w:ind w:right="120"/>
              <w:spacing w:after="0"/>
              <w:rPr>
                <w:sz w:val="20"/>
                <w:szCs w:val="20"/>
                <w:color w:val="auto"/>
              </w:rPr>
            </w:pPr>
            <w:r>
              <w:rPr>
                <w:rFonts w:ascii="Arial" w:cs="Arial" w:eastAsia="Arial" w:hAnsi="Arial"/>
                <w:sz w:val="16"/>
                <w:szCs w:val="16"/>
                <w:color w:val="auto"/>
              </w:rPr>
              <w:t>602</w:t>
            </w:r>
          </w:p>
        </w:tc>
        <w:tc>
          <w:tcPr>
            <w:tcW w:w="440" w:type="dxa"/>
            <w:vAlign w:val="bottom"/>
          </w:tcPr>
          <w:p>
            <w:pPr>
              <w:spacing w:after="0"/>
              <w:rPr>
                <w:sz w:val="18"/>
                <w:szCs w:val="18"/>
                <w:color w:val="auto"/>
              </w:rPr>
            </w:pPr>
          </w:p>
        </w:tc>
        <w:tc>
          <w:tcPr>
            <w:tcW w:w="880" w:type="dxa"/>
            <w:vAlign w:val="bottom"/>
          </w:tcPr>
          <w:p>
            <w:pPr>
              <w:jc w:val="right"/>
              <w:ind w:right="342"/>
              <w:spacing w:after="0"/>
              <w:rPr>
                <w:sz w:val="20"/>
                <w:szCs w:val="20"/>
                <w:color w:val="auto"/>
              </w:rPr>
            </w:pPr>
            <w:r>
              <w:rPr>
                <w:rFonts w:ascii="Arial" w:cs="Arial" w:eastAsia="Arial" w:hAnsi="Arial"/>
                <w:sz w:val="16"/>
                <w:szCs w:val="16"/>
                <w:color w:val="auto"/>
              </w:rPr>
              <w:t>551</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60325</wp:posOffset>
            </wp:positionV>
            <wp:extent cx="7232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Source:Dealogic as of July 6, 2015.</w:t>
      </w:r>
    </w:p>
    <w:p>
      <w:pPr>
        <w:spacing w:after="0" w:line="170" w:lineRule="exact"/>
        <w:rPr>
          <w:sz w:val="20"/>
          <w:szCs w:val="20"/>
          <w:color w:val="auto"/>
        </w:rPr>
      </w:pPr>
    </w:p>
    <w:p>
      <w:pPr>
        <w:ind w:right="140" w:firstLine="457"/>
        <w:spacing w:after="0" w:line="280" w:lineRule="auto"/>
        <w:rPr>
          <w:sz w:val="20"/>
          <w:szCs w:val="20"/>
          <w:color w:val="auto"/>
        </w:rPr>
      </w:pPr>
      <w:r>
        <w:rPr>
          <w:rFonts w:ascii="Arial" w:cs="Arial" w:eastAsia="Arial" w:hAnsi="Arial"/>
          <w:sz w:val="16"/>
          <w:szCs w:val="16"/>
          <w:color w:val="auto"/>
        </w:rPr>
        <w:t>Global restructuring activity during the first half of 2015, as measured by the number of corporate defaults, increased as compared to the first half of 2014, however, the aggregate value of debt defaults remained low, consistent with the last several years. The number of defaulting issuers increased to 38 in the 2015 period, according to Moody’s Investors Service, Inc., as compared to 25 in the 2014 period.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440" w:right="23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Asset Management</w:t>
      </w:r>
    </w:p>
    <w:p>
      <w:pPr>
        <w:spacing w:after="0" w:line="94" w:lineRule="exact"/>
        <w:rPr>
          <w:sz w:val="20"/>
          <w:szCs w:val="20"/>
          <w:color w:val="auto"/>
        </w:rPr>
      </w:pPr>
    </w:p>
    <w:p>
      <w:pPr>
        <w:ind w:right="40" w:firstLine="457"/>
        <w:spacing w:after="0" w:line="296" w:lineRule="auto"/>
        <w:rPr>
          <w:sz w:val="20"/>
          <w:szCs w:val="20"/>
          <w:color w:val="auto"/>
        </w:rPr>
      </w:pPr>
      <w:r>
        <w:rPr>
          <w:rFonts w:ascii="Arial" w:cs="Arial" w:eastAsia="Arial" w:hAnsi="Arial"/>
          <w:sz w:val="16"/>
          <w:szCs w:val="16"/>
          <w:color w:val="auto"/>
        </w:rPr>
        <w:t>The percentage change in major equity market indices at June 30, 2015, as compared to such indices at March 31, 2015, December 31, 2014, and at June 30, 2014, is shown in the table below.</w:t>
      </w:r>
    </w:p>
    <w:p>
      <w:pPr>
        <w:spacing w:after="0" w:line="126"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36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20" w:type="dxa"/>
            <w:vAlign w:val="bottom"/>
            <w:gridSpan w:val="3"/>
          </w:tcPr>
          <w:p>
            <w:pPr>
              <w:jc w:val="right"/>
              <w:ind w:right="440"/>
              <w:spacing w:after="0"/>
              <w:rPr>
                <w:sz w:val="20"/>
                <w:szCs w:val="20"/>
                <w:color w:val="auto"/>
              </w:rPr>
            </w:pPr>
            <w:r>
              <w:rPr>
                <w:rFonts w:ascii="Arial" w:cs="Arial" w:eastAsia="Arial" w:hAnsi="Arial"/>
                <w:sz w:val="13"/>
                <w:szCs w:val="13"/>
                <w:b w:val="1"/>
                <w:bCs w:val="1"/>
                <w:color w:val="auto"/>
              </w:rPr>
              <w:t>Percentage Changes</w:t>
            </w: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52"/>
        </w:trPr>
        <w:tc>
          <w:tcPr>
            <w:tcW w:w="36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3"/>
                <w:szCs w:val="13"/>
                <w:b w:val="1"/>
                <w:bCs w:val="1"/>
                <w:color w:val="auto"/>
              </w:rPr>
              <w:t>June 30, 2015 vs.</w:t>
            </w:r>
          </w:p>
        </w:tc>
        <w:tc>
          <w:tcPr>
            <w:tcW w:w="4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r>
      <w:tr>
        <w:trPr>
          <w:trHeight w:val="119"/>
        </w:trPr>
        <w:tc>
          <w:tcPr>
            <w:tcW w:w="36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00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w w:val="89"/>
              </w:rPr>
              <w:t>March 31,</w:t>
            </w:r>
          </w:p>
        </w:tc>
        <w:tc>
          <w:tcPr>
            <w:tcW w:w="1820" w:type="dxa"/>
            <w:vAlign w:val="bottom"/>
            <w:gridSpan w:val="3"/>
          </w:tcPr>
          <w:p>
            <w:pPr>
              <w:jc w:val="right"/>
              <w:ind w:right="540"/>
              <w:spacing w:after="0" w:line="119" w:lineRule="exact"/>
              <w:rPr>
                <w:sz w:val="20"/>
                <w:szCs w:val="20"/>
                <w:color w:val="auto"/>
              </w:rPr>
            </w:pPr>
            <w:r>
              <w:rPr>
                <w:rFonts w:ascii="Arial" w:cs="Arial" w:eastAsia="Arial" w:hAnsi="Arial"/>
                <w:sz w:val="13"/>
                <w:szCs w:val="13"/>
                <w:b w:val="1"/>
                <w:bCs w:val="1"/>
                <w:color w:val="auto"/>
              </w:rPr>
              <w:t>December 31,</w:t>
            </w:r>
          </w:p>
        </w:tc>
        <w:tc>
          <w:tcPr>
            <w:tcW w:w="860" w:type="dxa"/>
            <w:vAlign w:val="bottom"/>
            <w:gridSpan w:val="2"/>
          </w:tcPr>
          <w:p>
            <w:pPr>
              <w:jc w:val="center"/>
              <w:ind w:left="303"/>
              <w:spacing w:after="0" w:line="119" w:lineRule="exact"/>
              <w:rPr>
                <w:sz w:val="20"/>
                <w:szCs w:val="20"/>
                <w:color w:val="auto"/>
              </w:rPr>
            </w:pPr>
            <w:r>
              <w:rPr>
                <w:rFonts w:ascii="Arial" w:cs="Arial" w:eastAsia="Arial" w:hAnsi="Arial"/>
                <w:sz w:val="13"/>
                <w:szCs w:val="13"/>
                <w:b w:val="1"/>
                <w:bCs w:val="1"/>
                <w:color w:val="auto"/>
                <w:w w:val="84"/>
              </w:rPr>
              <w:t>June 30,</w:t>
            </w:r>
          </w:p>
        </w:tc>
        <w:tc>
          <w:tcPr>
            <w:tcW w:w="240" w:type="dxa"/>
            <w:vAlign w:val="bottom"/>
          </w:tcPr>
          <w:p>
            <w:pPr>
              <w:spacing w:after="0"/>
              <w:rPr>
                <w:sz w:val="10"/>
                <w:szCs w:val="10"/>
                <w:color w:val="auto"/>
              </w:rPr>
            </w:pPr>
          </w:p>
        </w:tc>
      </w:tr>
      <w:tr>
        <w:trPr>
          <w:trHeight w:val="152"/>
        </w:trPr>
        <w:tc>
          <w:tcPr>
            <w:tcW w:w="3640" w:type="dxa"/>
            <w:vAlign w:val="bottom"/>
            <w:tcBorders>
              <w:bottom w:val="single" w:sz="8" w:color="CCEEFF"/>
            </w:tcBorders>
          </w:tcPr>
          <w:p>
            <w:pPr>
              <w:spacing w:after="0"/>
              <w:rPr>
                <w:sz w:val="13"/>
                <w:szCs w:val="13"/>
                <w:color w:val="auto"/>
              </w:rPr>
            </w:pPr>
          </w:p>
        </w:tc>
        <w:tc>
          <w:tcPr>
            <w:tcW w:w="204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rPr>
              <w:t>2015</w:t>
            </w:r>
          </w:p>
        </w:tc>
        <w:tc>
          <w:tcPr>
            <w:tcW w:w="440" w:type="dxa"/>
            <w:vAlign w:val="bottom"/>
            <w:tcBorders>
              <w:bottom w:val="single" w:sz="8" w:color="CCEEFF"/>
            </w:tcBorders>
          </w:tcPr>
          <w:p>
            <w:pPr>
              <w:spacing w:after="0"/>
              <w:rPr>
                <w:sz w:val="13"/>
                <w:szCs w:val="13"/>
                <w:color w:val="auto"/>
              </w:rPr>
            </w:pPr>
          </w:p>
        </w:tc>
        <w:tc>
          <w:tcPr>
            <w:tcW w:w="54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ind w:right="167"/>
              <w:spacing w:after="0"/>
              <w:rPr>
                <w:sz w:val="20"/>
                <w:szCs w:val="20"/>
                <w:color w:val="auto"/>
              </w:rPr>
            </w:pPr>
            <w:r>
              <w:rPr>
                <w:rFonts w:ascii="Arial" w:cs="Arial" w:eastAsia="Arial" w:hAnsi="Arial"/>
                <w:sz w:val="13"/>
                <w:szCs w:val="13"/>
                <w:b w:val="1"/>
                <w:bCs w:val="1"/>
                <w:color w:val="auto"/>
              </w:rPr>
              <w:t>2014</w:t>
            </w:r>
          </w:p>
        </w:tc>
        <w:tc>
          <w:tcPr>
            <w:tcW w:w="54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ind w:right="47"/>
              <w:spacing w:after="0"/>
              <w:rPr>
                <w:sz w:val="20"/>
                <w:szCs w:val="20"/>
                <w:color w:val="auto"/>
              </w:rPr>
            </w:pPr>
            <w:r>
              <w:rPr>
                <w:rFonts w:ascii="Arial" w:cs="Arial" w:eastAsia="Arial" w:hAnsi="Arial"/>
                <w:sz w:val="13"/>
                <w:szCs w:val="13"/>
                <w:b w:val="1"/>
                <w:bCs w:val="1"/>
                <w:color w:val="auto"/>
              </w:rPr>
              <w:t>2014</w:t>
            </w:r>
          </w:p>
        </w:tc>
        <w:tc>
          <w:tcPr>
            <w:tcW w:w="240" w:type="dxa"/>
            <w:vAlign w:val="bottom"/>
            <w:tcBorders>
              <w:bottom w:val="single" w:sz="8" w:color="CCEEFF"/>
            </w:tcBorders>
          </w:tcPr>
          <w:p>
            <w:pPr>
              <w:spacing w:after="0"/>
              <w:rPr>
                <w:sz w:val="13"/>
                <w:szCs w:val="13"/>
                <w:color w:val="auto"/>
              </w:rPr>
            </w:pPr>
          </w:p>
        </w:tc>
      </w:tr>
      <w:tr>
        <w:trPr>
          <w:trHeight w:val="195"/>
        </w:trPr>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rPr>
              <w:t>Euro Stoxx</w:t>
            </w:r>
          </w:p>
        </w:tc>
        <w:tc>
          <w:tcPr>
            <w:tcW w:w="20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(7.4)%</w:t>
            </w:r>
          </w:p>
        </w:tc>
        <w:tc>
          <w:tcPr>
            <w:tcW w:w="5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8.8%</w:t>
            </w:r>
          </w:p>
        </w:tc>
        <w:tc>
          <w:tcPr>
            <w:tcW w:w="4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6.1%</w:t>
            </w:r>
          </w:p>
        </w:tc>
      </w:tr>
      <w:tr>
        <w:trPr>
          <w:trHeight w:val="202"/>
        </w:trPr>
        <w:tc>
          <w:tcPr>
            <w:tcW w:w="3640" w:type="dxa"/>
            <w:vAlign w:val="bottom"/>
          </w:tcPr>
          <w:p>
            <w:pPr>
              <w:spacing w:after="0"/>
              <w:rPr>
                <w:sz w:val="20"/>
                <w:szCs w:val="20"/>
                <w:color w:val="auto"/>
              </w:rPr>
            </w:pPr>
            <w:r>
              <w:rPr>
                <w:rFonts w:ascii="Arial" w:cs="Arial" w:eastAsia="Arial" w:hAnsi="Arial"/>
                <w:sz w:val="16"/>
                <w:szCs w:val="16"/>
                <w:color w:val="auto"/>
              </w:rPr>
              <w:t>MSCI Emerging Market</w:t>
            </w:r>
          </w:p>
        </w:tc>
        <w:tc>
          <w:tcPr>
            <w:tcW w:w="3040" w:type="dxa"/>
            <w:vAlign w:val="bottom"/>
            <w:gridSpan w:val="3"/>
          </w:tcPr>
          <w:p>
            <w:pPr>
              <w:jc w:val="right"/>
              <w:ind w:right="260"/>
              <w:spacing w:after="0"/>
              <w:rPr>
                <w:sz w:val="20"/>
                <w:szCs w:val="20"/>
                <w:color w:val="auto"/>
              </w:rPr>
            </w:pPr>
            <w:r>
              <w:rPr>
                <w:rFonts w:ascii="Arial" w:cs="Arial" w:eastAsia="Arial" w:hAnsi="Arial"/>
                <w:sz w:val="16"/>
                <w:szCs w:val="16"/>
                <w:color w:val="auto"/>
              </w:rPr>
              <w:t>(0.2)%</w:t>
            </w:r>
          </w:p>
        </w:tc>
        <w:tc>
          <w:tcPr>
            <w:tcW w:w="1820" w:type="dxa"/>
            <w:vAlign w:val="bottom"/>
            <w:gridSpan w:val="3"/>
          </w:tcPr>
          <w:p>
            <w:pPr>
              <w:jc w:val="right"/>
              <w:ind w:right="400"/>
              <w:spacing w:after="0"/>
              <w:rPr>
                <w:sz w:val="20"/>
                <w:szCs w:val="20"/>
                <w:color w:val="auto"/>
              </w:rPr>
            </w:pPr>
            <w:r>
              <w:rPr>
                <w:rFonts w:ascii="Arial" w:cs="Arial" w:eastAsia="Arial" w:hAnsi="Arial"/>
                <w:sz w:val="16"/>
                <w:szCs w:val="16"/>
                <w:color w:val="auto"/>
              </w:rPr>
              <w:t>1.7%</w:t>
            </w:r>
          </w:p>
        </w:tc>
        <w:tc>
          <w:tcPr>
            <w:tcW w:w="1100" w:type="dxa"/>
            <w:vAlign w:val="bottom"/>
            <w:gridSpan w:val="3"/>
          </w:tcPr>
          <w:p>
            <w:pPr>
              <w:jc w:val="right"/>
              <w:ind w:right="60"/>
              <w:spacing w:after="0"/>
              <w:rPr>
                <w:sz w:val="20"/>
                <w:szCs w:val="20"/>
                <w:color w:val="auto"/>
              </w:rPr>
            </w:pPr>
            <w:r>
              <w:rPr>
                <w:rFonts w:ascii="Arial" w:cs="Arial" w:eastAsia="Arial" w:hAnsi="Arial"/>
                <w:sz w:val="16"/>
                <w:szCs w:val="16"/>
                <w:color w:val="auto"/>
              </w:rPr>
              <w:t>(7.5)%</w:t>
            </w:r>
          </w:p>
        </w:tc>
      </w:tr>
      <w:tr>
        <w:trPr>
          <w:trHeight w:val="202"/>
        </w:trPr>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rPr>
              <w:t>MSCI World Index</w:t>
            </w:r>
          </w:p>
        </w:tc>
        <w:tc>
          <w:tcPr>
            <w:tcW w:w="304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(0.3)%</w:t>
            </w:r>
          </w:p>
        </w:tc>
        <w:tc>
          <w:tcPr>
            <w:tcW w:w="182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1.5%</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(0.5)%</w:t>
            </w:r>
          </w:p>
        </w:tc>
      </w:tr>
      <w:tr>
        <w:trPr>
          <w:trHeight w:val="209"/>
        </w:trPr>
        <w:tc>
          <w:tcPr>
            <w:tcW w:w="3640" w:type="dxa"/>
            <w:vAlign w:val="bottom"/>
          </w:tcPr>
          <w:p>
            <w:pPr>
              <w:spacing w:after="0"/>
              <w:rPr>
                <w:sz w:val="20"/>
                <w:szCs w:val="20"/>
                <w:color w:val="auto"/>
              </w:rPr>
            </w:pPr>
            <w:r>
              <w:rPr>
                <w:rFonts w:ascii="Arial" w:cs="Arial" w:eastAsia="Arial" w:hAnsi="Arial"/>
                <w:sz w:val="16"/>
                <w:szCs w:val="16"/>
                <w:color w:val="auto"/>
              </w:rPr>
              <w:t>S&amp;P 500</w:t>
            </w:r>
          </w:p>
        </w:tc>
        <w:tc>
          <w:tcPr>
            <w:tcW w:w="3040" w:type="dxa"/>
            <w:vAlign w:val="bottom"/>
            <w:gridSpan w:val="3"/>
          </w:tcPr>
          <w:p>
            <w:pPr>
              <w:jc w:val="right"/>
              <w:ind w:right="260"/>
              <w:spacing w:after="0"/>
              <w:rPr>
                <w:sz w:val="20"/>
                <w:szCs w:val="20"/>
                <w:color w:val="auto"/>
              </w:rPr>
            </w:pPr>
            <w:r>
              <w:rPr>
                <w:rFonts w:ascii="Arial" w:cs="Arial" w:eastAsia="Arial" w:hAnsi="Arial"/>
                <w:sz w:val="16"/>
                <w:szCs w:val="16"/>
                <w:color w:val="auto"/>
              </w:rPr>
              <w:t>(0.2)%</w:t>
            </w:r>
          </w:p>
        </w:tc>
        <w:tc>
          <w:tcPr>
            <w:tcW w:w="1820" w:type="dxa"/>
            <w:vAlign w:val="bottom"/>
            <w:gridSpan w:val="3"/>
          </w:tcPr>
          <w:p>
            <w:pPr>
              <w:jc w:val="right"/>
              <w:ind w:right="400"/>
              <w:spacing w:after="0"/>
              <w:rPr>
                <w:sz w:val="20"/>
                <w:szCs w:val="20"/>
                <w:color w:val="auto"/>
              </w:rPr>
            </w:pPr>
            <w:r>
              <w:rPr>
                <w:rFonts w:ascii="Arial" w:cs="Arial" w:eastAsia="Arial" w:hAnsi="Arial"/>
                <w:sz w:val="16"/>
                <w:szCs w:val="16"/>
                <w:color w:val="auto"/>
              </w:rPr>
              <w:t>0.2%</w:t>
            </w:r>
          </w:p>
        </w:tc>
        <w:tc>
          <w:tcPr>
            <w:tcW w:w="1100" w:type="dxa"/>
            <w:vAlign w:val="bottom"/>
            <w:gridSpan w:val="3"/>
          </w:tcPr>
          <w:p>
            <w:pPr>
              <w:jc w:val="right"/>
              <w:ind w:right="120"/>
              <w:spacing w:after="0"/>
              <w:rPr>
                <w:sz w:val="20"/>
                <w:szCs w:val="20"/>
                <w:color w:val="auto"/>
              </w:rPr>
            </w:pPr>
            <w:r>
              <w:rPr>
                <w:rFonts w:ascii="Arial" w:cs="Arial" w:eastAsia="Arial" w:hAnsi="Arial"/>
                <w:sz w:val="16"/>
                <w:szCs w:val="16"/>
                <w:color w:val="auto"/>
              </w:rPr>
              <w:t>5.3%</w:t>
            </w:r>
          </w:p>
        </w:tc>
      </w:tr>
    </w:tbl>
    <w:p>
      <w:pPr>
        <w:spacing w:after="0" w:line="137" w:lineRule="exact"/>
        <w:rPr>
          <w:sz w:val="20"/>
          <w:szCs w:val="20"/>
          <w:color w:val="auto"/>
        </w:rPr>
      </w:pPr>
    </w:p>
    <w:p>
      <w:pPr>
        <w:ind w:firstLine="457"/>
        <w:spacing w:after="0" w:line="294" w:lineRule="auto"/>
        <w:rPr>
          <w:sz w:val="20"/>
          <w:szCs w:val="20"/>
          <w:color w:val="auto"/>
        </w:rPr>
      </w:pPr>
      <w:r>
        <w:rPr>
          <w:rFonts w:ascii="Arial" w:cs="Arial" w:eastAsia="Arial" w:hAnsi="Arial"/>
          <w:sz w:val="15"/>
          <w:szCs w:val="15"/>
          <w:color w:val="auto"/>
        </w:rPr>
        <w:t>The fees that we receive for providing investment management and advisory services are primarily driven by the level of AUM and the nature of the AUM product mix. Accordingly, market movements, foreign currency exchange rate volatility and changes in our AUM product mix will impact the level of revenues we receive from our Asset Management business when comparing periodic results. A substantial portion of our AUM is invested in equities. Movements in AUM during the period generally reflect the changes in equity market indices. Our AUM at June 30, 2015 increased 3% versus AUM at December 31, 2014, primarily due to market appreciation and net inflows, partially offset by adverse foreign exchange movements. Average AUM in the first half of 2015 increased 5% as compared to average AUM in the 2014 period.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Statement Overview</w:t>
      </w:r>
    </w:p>
    <w:p>
      <w:pPr>
        <w:spacing w:after="0" w:line="98"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Net Revenue</w:t>
      </w:r>
    </w:p>
    <w:p>
      <w:pPr>
        <w:spacing w:after="0" w:line="94" w:lineRule="exact"/>
        <w:rPr>
          <w:sz w:val="20"/>
          <w:szCs w:val="20"/>
          <w:color w:val="auto"/>
        </w:rPr>
      </w:pPr>
    </w:p>
    <w:p>
      <w:pPr>
        <w:ind w:right="40" w:firstLine="457"/>
        <w:spacing w:after="0" w:line="288" w:lineRule="auto"/>
        <w:rPr>
          <w:sz w:val="20"/>
          <w:szCs w:val="20"/>
          <w:color w:val="auto"/>
        </w:rPr>
      </w:pPr>
      <w:r>
        <w:rPr>
          <w:rFonts w:ascii="Arial" w:cs="Arial" w:eastAsia="Arial" w:hAnsi="Arial"/>
          <w:sz w:val="15"/>
          <w:szCs w:val="15"/>
          <w:color w:val="auto"/>
        </w:rPr>
        <w:t>The majority of Lazard’s Financial Advisory net revenue historically has been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16" w:lineRule="exact"/>
        <w:rPr>
          <w:sz w:val="20"/>
          <w:szCs w:val="20"/>
          <w:color w:val="auto"/>
        </w:rPr>
      </w:pPr>
    </w:p>
    <w:p>
      <w:pPr>
        <w:ind w:right="40" w:firstLine="457"/>
        <w:spacing w:after="0" w:line="287" w:lineRule="auto"/>
        <w:rPr>
          <w:sz w:val="20"/>
          <w:szCs w:val="20"/>
          <w:color w:val="auto"/>
        </w:rPr>
      </w:pPr>
      <w:r>
        <w:rPr>
          <w:rFonts w:ascii="Arial" w:cs="Arial" w:eastAsia="Arial" w:hAnsi="Arial"/>
          <w:sz w:val="15"/>
          <w:szCs w:val="15"/>
          <w:color w:val="auto"/>
        </w:rPr>
        <w:t>Lazard’s Asset Management segment principally includes LAM,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360"/>
          </w:cols>
          <w:pgMar w:left="240" w:top="440" w:right="29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220"/>
        <w:spacing w:after="0" w:line="298" w:lineRule="auto"/>
        <w:rPr>
          <w:sz w:val="20"/>
          <w:szCs w:val="20"/>
          <w:color w:val="auto"/>
        </w:rPr>
      </w:pPr>
      <w:r>
        <w:rPr>
          <w:rFonts w:ascii="Arial" w:cs="Arial" w:eastAsia="Arial" w:hAnsi="Arial"/>
          <w:sz w:val="15"/>
          <w:szCs w:val="15"/>
          <w:color w:val="auto"/>
        </w:rPr>
        <w:t>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Fees vary with the type of assets managed and the vehicle in which they are managed, with higher fees earned on equity assets and alternative investment funds, such as hedge funds and private equity funds, and lower fees earned on fixed income and cash management products.</w:t>
      </w:r>
    </w:p>
    <w:p>
      <w:pPr>
        <w:spacing w:after="0" w:line="105" w:lineRule="exact"/>
        <w:rPr>
          <w:sz w:val="20"/>
          <w:szCs w:val="20"/>
          <w:color w:val="auto"/>
        </w:rPr>
      </w:pPr>
    </w:p>
    <w:p>
      <w:pPr>
        <w:ind w:right="80" w:firstLine="457"/>
        <w:spacing w:after="0" w:line="296" w:lineRule="auto"/>
        <w:rPr>
          <w:sz w:val="20"/>
          <w:szCs w:val="20"/>
          <w:color w:val="auto"/>
        </w:rPr>
      </w:pPr>
      <w:r>
        <w:rPr>
          <w:rFonts w:ascii="Arial" w:cs="Arial" w:eastAsia="Arial" w:hAnsi="Arial"/>
          <w:sz w:val="16"/>
          <w:szCs w:val="16"/>
          <w:color w:val="auto"/>
        </w:rPr>
        <w:t>The Company earns performance-based incentive fees on various investment products, including traditional products and alternative investment funds, such as hedge funds and private equity funds.</w:t>
      </w:r>
    </w:p>
    <w:p>
      <w:pPr>
        <w:spacing w:after="0" w:line="103" w:lineRule="exact"/>
        <w:rPr>
          <w:sz w:val="20"/>
          <w:szCs w:val="20"/>
          <w:color w:val="auto"/>
        </w:rPr>
      </w:pPr>
    </w:p>
    <w:p>
      <w:pPr>
        <w:ind w:right="20" w:firstLine="457"/>
        <w:spacing w:after="0" w:line="270"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or a redemption occurs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25" w:lineRule="exact"/>
        <w:rPr>
          <w:sz w:val="20"/>
          <w:szCs w:val="20"/>
          <w:color w:val="auto"/>
        </w:rPr>
      </w:pPr>
    </w:p>
    <w:p>
      <w:pPr>
        <w:ind w:right="140" w:firstLine="457"/>
        <w:spacing w:after="0" w:line="274" w:lineRule="auto"/>
        <w:rPr>
          <w:sz w:val="20"/>
          <w:szCs w:val="20"/>
          <w:color w:val="auto"/>
        </w:rPr>
      </w:pPr>
      <w:r>
        <w:rPr>
          <w:rFonts w:ascii="Arial" w:cs="Arial" w:eastAsia="Arial" w:hAnsi="Arial"/>
          <w:sz w:val="16"/>
          <w:szCs w:val="16"/>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21" w:lineRule="exact"/>
        <w:rPr>
          <w:sz w:val="20"/>
          <w:szCs w:val="20"/>
          <w:color w:val="auto"/>
        </w:rPr>
      </w:pPr>
    </w:p>
    <w:p>
      <w:pPr>
        <w:ind w:firstLine="457"/>
        <w:spacing w:after="0" w:line="272" w:lineRule="auto"/>
        <w:rPr>
          <w:sz w:val="20"/>
          <w:szCs w:val="20"/>
          <w:color w:val="auto"/>
        </w:rPr>
      </w:pPr>
      <w:r>
        <w:rPr>
          <w:rFonts w:ascii="Arial" w:cs="Arial" w:eastAsia="Arial" w:hAnsi="Arial"/>
          <w:sz w:val="16"/>
          <w:szCs w:val="16"/>
          <w:color w:val="auto"/>
        </w:rPr>
        <w:t>Corporate segment net revenue consists primarily of investment gains and losses on the Company’s “seed investments” related to our Asset Management business, principal investments in private equity funds and “equity method” investments, net of hedging activities, as well as gains and losses on investments held in connection with Lazard Fund Interests (“LFI”) and on the extinguishment of debt (to the extent applicable), interest income and interest expense. Corporate net revenue also can fluctuate due to changes in the fair value of investments classified as “trading”, as well as due to changes in interest and currency exchange rates and in the levels of cash, investments and indebtedness.</w:t>
      </w:r>
    </w:p>
    <w:p>
      <w:pPr>
        <w:spacing w:after="0" w:line="121" w:lineRule="exact"/>
        <w:rPr>
          <w:sz w:val="20"/>
          <w:szCs w:val="20"/>
          <w:color w:val="auto"/>
        </w:rPr>
      </w:pPr>
    </w:p>
    <w:p>
      <w:pPr>
        <w:jc w:val="both"/>
        <w:ind w:right="320" w:firstLine="457"/>
        <w:spacing w:after="0" w:line="280" w:lineRule="auto"/>
        <w:rPr>
          <w:sz w:val="20"/>
          <w:szCs w:val="20"/>
          <w:color w:val="auto"/>
        </w:rPr>
      </w:pPr>
      <w:r>
        <w:rPr>
          <w:rFonts w:ascii="Arial" w:cs="Arial" w:eastAsia="Arial" w:hAnsi="Arial"/>
          <w:sz w:val="16"/>
          <w:szCs w:val="16"/>
          <w:color w:val="auto"/>
        </w:rPr>
        <w:t>Although Corporate segment net revenue during the first half of 2015 represented (1)% of Lazard’s net revenue, total assets in the Corporate segment represented 70% of Lazard’s consolidated total assets as of June 30, 2015, which are attributable to cash and cash equivalents, investments in debt and equity securities, interests in alternative investment, debt, equity and private equity funds, deferred tax assets and assets associated with LFB.</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94" w:lineRule="exact"/>
        <w:rPr>
          <w:sz w:val="20"/>
          <w:szCs w:val="20"/>
          <w:color w:val="auto"/>
        </w:rPr>
      </w:pPr>
    </w:p>
    <w:p>
      <w:pPr>
        <w:ind w:right="20" w:firstLine="457"/>
        <w:spacing w:after="0" w:line="290" w:lineRule="auto"/>
        <w:rPr>
          <w:sz w:val="20"/>
          <w:szCs w:val="20"/>
          <w:color w:val="auto"/>
        </w:rPr>
      </w:pPr>
      <w:r>
        <w:rPr>
          <w:rFonts w:ascii="Arial" w:cs="Arial" w:eastAsia="Arial" w:hAnsi="Arial"/>
          <w:sz w:val="15"/>
          <w:szCs w:val="15"/>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2008 Incentive Compensation Plan (the “2008 Plan”) and the Lazard Ltd 2005 Equity Incentive Plan (the “2005 Plan”), which expired in the second quarter of 2015, and (b) LFI and other similar deferred compensation arrangements (see Note 12 of Notes to Condensed Consolidated Financial Statements), (iii) a provision for discretionary or guaranteed cash bonuses and profit pools and (iv) when applicable, severance payments. Compensation expense in any given period is dependent on many factors, including general economic and market conditions, our actual and forecasted operating and financial performance, staffing levels, estimated forfeiture rates, competitive pay conditions and the nature of revenues earned, as well as the mix between current and deferred compensation.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440" w:right="23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firstLine="457"/>
        <w:spacing w:after="0" w:line="306" w:lineRule="auto"/>
        <w:rPr>
          <w:sz w:val="20"/>
          <w:szCs w:val="20"/>
          <w:color w:val="auto"/>
        </w:rPr>
      </w:pPr>
      <w:r>
        <w:rPr>
          <w:rFonts w:ascii="Arial" w:cs="Arial" w:eastAsia="Arial" w:hAnsi="Arial"/>
          <w:sz w:val="15"/>
          <w:szCs w:val="15"/>
          <w:color w:val="auto"/>
        </w:rPr>
        <w:t>For interim periods, we use “adjusted compensation and benefits expense” and the ratio of “adjusted compensation and benefits expense” to “operating revenue,” both non-U.S. GAAP measures, for comparison of compensation and benefits expense between periods. For the reconciliations and calculations with respect to “adjusted compensation and benefits expense” and related ratios to “operating revenue,” see the table under “Consolidated Results of Operations” below.</w:t>
      </w:r>
    </w:p>
    <w:p>
      <w:pPr>
        <w:spacing w:after="0" w:line="99" w:lineRule="exact"/>
        <w:rPr>
          <w:sz w:val="20"/>
          <w:szCs w:val="20"/>
          <w:color w:val="auto"/>
        </w:rPr>
      </w:pPr>
    </w:p>
    <w:p>
      <w:pPr>
        <w:ind w:right="20" w:firstLine="457"/>
        <w:spacing w:after="0" w:line="274" w:lineRule="auto"/>
        <w:rPr>
          <w:sz w:val="20"/>
          <w:szCs w:val="20"/>
          <w:color w:val="auto"/>
        </w:rPr>
      </w:pPr>
      <w:r>
        <w:rPr>
          <w:rFonts w:ascii="Arial" w:cs="Arial" w:eastAsia="Arial" w:hAnsi="Arial"/>
          <w:sz w:val="16"/>
          <w:szCs w:val="16"/>
          <w:color w:val="auto"/>
        </w:rPr>
        <w:t>We believe that “awarded compensation and benefits expense” and the ratio of “awarded compensation and benefits expense” to “operating revenue,” both non-U.S. GAAP measures, are the most appropriate measures to assess the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also a non-U.S. GAAP measure, as modified by the following items:</w:t>
      </w:r>
    </w:p>
    <w:p>
      <w:pPr>
        <w:spacing w:after="0" w:line="46" w:lineRule="exact"/>
        <w:rPr>
          <w:sz w:val="20"/>
          <w:szCs w:val="20"/>
          <w:color w:val="auto"/>
        </w:rPr>
      </w:pPr>
    </w:p>
    <w:p>
      <w:pPr>
        <w:ind w:left="920" w:right="60" w:hanging="349"/>
        <w:spacing w:after="0" w:line="296" w:lineRule="auto"/>
        <w:tabs>
          <w:tab w:leader="none" w:pos="9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We deduct amortization expense recorded for accounting principles generally accepted in the United States of America (“U.S. GAAP”) purposes in each fiscal year associated with the vesting of deferred incentive compensation awards,</w:t>
      </w:r>
    </w:p>
    <w:p>
      <w:pPr>
        <w:spacing w:after="0" w:line="26" w:lineRule="exact"/>
        <w:rPr>
          <w:rFonts w:ascii="Arial" w:cs="Arial" w:eastAsia="Arial" w:hAnsi="Arial"/>
          <w:sz w:val="16"/>
          <w:szCs w:val="16"/>
          <w:color w:val="auto"/>
        </w:rPr>
      </w:pPr>
    </w:p>
    <w:p>
      <w:pPr>
        <w:jc w:val="both"/>
        <w:ind w:left="920" w:right="20" w:hanging="349"/>
        <w:spacing w:after="0" w:line="274" w:lineRule="auto"/>
        <w:tabs>
          <w:tab w:leader="none" w:pos="9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We add (i) the deferred incentive compensation awards granted applicable to the relevant year-end compensation process (</w:t>
      </w:r>
      <w:r>
        <w:rPr>
          <w:rFonts w:ascii="Arial" w:cs="Arial" w:eastAsia="Arial" w:hAnsi="Arial"/>
          <w:sz w:val="16"/>
          <w:szCs w:val="16"/>
          <w:i w:val="1"/>
          <w:iCs w:val="1"/>
          <w:color w:val="auto"/>
        </w:rPr>
        <w:t>e.g.</w:t>
      </w:r>
      <w:r>
        <w:rPr>
          <w:rFonts w:ascii="Arial" w:cs="Arial" w:eastAsia="Arial" w:hAnsi="Arial"/>
          <w:sz w:val="16"/>
          <w:szCs w:val="16"/>
          <w:color w:val="auto"/>
        </w:rPr>
        <w:t xml:space="preserve"> deferred incentive compensation awards granted in 2015, 2014 and 2013 related to the 2014, 2013 and 2012 year-end compensation processes, respectively) and (ii) investments in people (</w:t>
      </w:r>
      <w:r>
        <w:rPr>
          <w:rFonts w:ascii="Arial" w:cs="Arial" w:eastAsia="Arial" w:hAnsi="Arial"/>
          <w:sz w:val="16"/>
          <w:szCs w:val="16"/>
          <w:i w:val="1"/>
          <w:iCs w:val="1"/>
          <w:color w:val="auto"/>
        </w:rPr>
        <w:t>e.g.</w:t>
      </w:r>
      <w:r>
        <w:rPr>
          <w:rFonts w:ascii="Arial" w:cs="Arial" w:eastAsia="Arial" w:hAnsi="Arial"/>
          <w:sz w:val="16"/>
          <w:szCs w:val="16"/>
          <w:color w:val="auto"/>
        </w:rPr>
        <w:t xml:space="preserve"> “sign-on” bonuses) and other special deferred incentive compensation awards granted throughout the applicable year, with such amounts in (i) and (ii) reduced by an estimate of future forfeitures of such awards, and</w:t>
      </w:r>
    </w:p>
    <w:p>
      <w:pPr>
        <w:spacing w:after="0" w:line="45" w:lineRule="exact"/>
        <w:rPr>
          <w:rFonts w:ascii="Arial" w:cs="Arial" w:eastAsia="Arial" w:hAnsi="Arial"/>
          <w:sz w:val="16"/>
          <w:szCs w:val="16"/>
          <w:color w:val="auto"/>
        </w:rPr>
      </w:pPr>
    </w:p>
    <w:p>
      <w:pPr>
        <w:ind w:left="920" w:hanging="349"/>
        <w:spacing w:after="0"/>
        <w:tabs>
          <w:tab w:leader="none" w:pos="9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We adjust for year-end foreign exchange fluctuations.</w:t>
      </w:r>
    </w:p>
    <w:p>
      <w:pPr>
        <w:spacing w:after="0" w:line="170" w:lineRule="exact"/>
        <w:rPr>
          <w:sz w:val="20"/>
          <w:szCs w:val="20"/>
          <w:color w:val="auto"/>
        </w:rPr>
      </w:pPr>
    </w:p>
    <w:p>
      <w:pPr>
        <w:ind w:right="20" w:firstLine="457"/>
        <w:spacing w:after="0" w:line="268" w:lineRule="auto"/>
        <w:rPr>
          <w:sz w:val="20"/>
          <w:szCs w:val="20"/>
          <w:color w:val="auto"/>
        </w:rPr>
      </w:pPr>
      <w:r>
        <w:rPr>
          <w:rFonts w:ascii="Arial" w:cs="Arial" w:eastAsia="Arial" w:hAnsi="Arial"/>
          <w:sz w:val="16"/>
          <w:szCs w:val="16"/>
          <w:color w:val="auto"/>
        </w:rPr>
        <w:t>Compensation and benefits expense is the largest component of our operating expenses. Our goal is for annual awarded compensation and benefits expense to rise at a slower rate than operating revenue growth, and if operating revenue declines, awarded compensation and benefits expense should also decline. In addition, we seek to maintain discipline with respect to the rate at which we award deferred compensation. We believe that over the cycle we can attain a ratio of awarded compensation and benefits expense to operating revenue in the mid-to-high-50s percentage range, which compares to 55.8% for the year ended December 31, 2014. While we have implemented initiatives that we believe will assist us in attaining a ratio within this range, there can be no guarantee that such a ratio will be attained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resulting from, for example, a decrease in M&amp;A activity, our share of the M&amp;A market or our AUM levels, changes in the mix of revenues from our businesses or various other factors could prevent us from attaining this goal.</w:t>
      </w:r>
    </w:p>
    <w:p>
      <w:pPr>
        <w:spacing w:after="0" w:line="125" w:lineRule="exact"/>
        <w:rPr>
          <w:sz w:val="20"/>
          <w:szCs w:val="20"/>
          <w:color w:val="auto"/>
        </w:rPr>
      </w:pPr>
    </w:p>
    <w:p>
      <w:pPr>
        <w:ind w:right="520" w:firstLine="457"/>
        <w:spacing w:after="0" w:line="272" w:lineRule="auto"/>
        <w:rPr>
          <w:sz w:val="20"/>
          <w:szCs w:val="20"/>
          <w:color w:val="auto"/>
        </w:rPr>
      </w:pPr>
      <w:r>
        <w:rPr>
          <w:rFonts w:ascii="Arial" w:cs="Arial" w:eastAsia="Arial" w:hAnsi="Arial"/>
          <w:sz w:val="16"/>
          <w:szCs w:val="16"/>
          <w:color w:val="auto"/>
        </w:rPr>
        <w:t>Our operating expenses also include “non-compensation expense,” which includes costs for occupancy and equipment, marketing and business development, technology and information services, professional services, fund administration and outsourced services and other expenses. In 2015, non-compensation expense also included the expenses related to the redemption of a substantial majority of the Company’s 6.85% senior notes due 2017 (the “2017 Notes”) (see Note 9 of Notes to Condensed Consolidated Financial Statements). For all periods, the amortization of intangible assets related to acquisitions pertains primarily to the acquisition of Edgewater.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440" w:right="23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560" w:firstLine="457"/>
        <w:spacing w:after="0" w:line="296" w:lineRule="auto"/>
        <w:rPr>
          <w:sz w:val="20"/>
          <w:szCs w:val="20"/>
          <w:color w:val="auto"/>
        </w:rPr>
      </w:pPr>
      <w:r>
        <w:rPr>
          <w:rFonts w:ascii="Arial" w:cs="Arial" w:eastAsia="Arial" w:hAnsi="Arial"/>
          <w:sz w:val="16"/>
          <w:szCs w:val="16"/>
          <w:color w:val="auto"/>
        </w:rPr>
        <w:t>We believe that “adjusted non-compensation expense,” a non-U.S. GAAP measure, provides a more meaningful basis for assessing our operating results. For calculations with respect to “adjusted non-compensation expense” see the table under “Consolidated Results of Operations” below.</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Provision for Income Taxes and Tax Receivable Agreement</w:t>
      </w:r>
    </w:p>
    <w:p>
      <w:pPr>
        <w:spacing w:after="0" w:line="94" w:lineRule="exact"/>
        <w:rPr>
          <w:sz w:val="20"/>
          <w:szCs w:val="20"/>
          <w:color w:val="auto"/>
        </w:rPr>
      </w:pPr>
    </w:p>
    <w:p>
      <w:pPr>
        <w:ind w:right="240" w:firstLine="457"/>
        <w:spacing w:after="0" w:line="274" w:lineRule="auto"/>
        <w:rPr>
          <w:sz w:val="20"/>
          <w:szCs w:val="20"/>
          <w:color w:val="auto"/>
        </w:rPr>
      </w:pPr>
      <w:r>
        <w:rPr>
          <w:rFonts w:ascii="Arial" w:cs="Arial" w:eastAsia="Arial" w:hAnsi="Arial"/>
          <w:sz w:val="16"/>
          <w:szCs w:val="16"/>
          <w:color w:val="auto"/>
        </w:rPr>
        <w:t>Lazard Ltd, through its subsidiaries, is subject to U.S. federal income taxes on all of its U.S. operating income, as well as on the portion of non-U.S. income attributable to its U.S. subsidiaries. Outside the U.S., Lazard Group operates principally through subsidiary corporations that are subject to local income taxes in foreign jurisdictions. Lazard Group is also subject to Unincorporated Business Tax (“UBT”) attributable to its operations apportioned to New York City (see Note 14 of Notes to Condensed Consolidated Financial Statements for additional information).</w:t>
      </w:r>
    </w:p>
    <w:p>
      <w:pPr>
        <w:spacing w:after="0" w:line="121" w:lineRule="exact"/>
        <w:rPr>
          <w:sz w:val="20"/>
          <w:szCs w:val="20"/>
          <w:color w:val="auto"/>
        </w:rPr>
      </w:pPr>
    </w:p>
    <w:p>
      <w:pPr>
        <w:ind w:right="100" w:firstLine="457"/>
        <w:spacing w:after="0" w:line="272" w:lineRule="auto"/>
        <w:rPr>
          <w:sz w:val="20"/>
          <w:szCs w:val="20"/>
          <w:color w:val="auto"/>
        </w:rPr>
      </w:pPr>
      <w:r>
        <w:rPr>
          <w:rFonts w:ascii="Arial" w:cs="Arial" w:eastAsia="Arial" w:hAnsi="Arial"/>
          <w:sz w:val="16"/>
          <w:szCs w:val="16"/>
          <w:color w:val="auto"/>
        </w:rPr>
        <w:t>As discussed under “Critical Accounting Policies and Estimates—Income Taxes” below, in the second quarter of 2015, we concluded that certain of our tax-paying entities at which we have historically recorded valuation allowances have achieved sufficient sustained profitability that it is more likely than not that they will be able to realize their deferred tax assets. Accordingly, in the second quarter of 2015, we released substantially all of our valuation allowance related to the deferred tax assets. If we are able to use the deferred tax assets in future periods to reduce our income taxes, we will be required to pay a significant portion of the tax savings pursuant to our tax receivable agreement. We therefore also recognized a related liability under the tax receivable agreement.</w:t>
      </w:r>
    </w:p>
    <w:p>
      <w:pPr>
        <w:spacing w:after="0" w:line="121" w:lineRule="exact"/>
        <w:rPr>
          <w:sz w:val="20"/>
          <w:szCs w:val="20"/>
          <w:color w:val="auto"/>
        </w:rPr>
      </w:pPr>
    </w:p>
    <w:p>
      <w:pPr>
        <w:ind w:right="160" w:firstLine="457"/>
        <w:spacing w:after="0" w:line="274" w:lineRule="auto"/>
        <w:rPr>
          <w:sz w:val="20"/>
          <w:szCs w:val="20"/>
          <w:color w:val="auto"/>
        </w:rPr>
      </w:pPr>
      <w:r>
        <w:rPr>
          <w:rFonts w:ascii="Arial" w:cs="Arial" w:eastAsia="Arial" w:hAnsi="Arial"/>
          <w:sz w:val="16"/>
          <w:szCs w:val="16"/>
          <w:color w:val="auto"/>
        </w:rPr>
        <w:t>As a result of the valuation allowance release, the provision for income taxes on our condensed consolidated statement of operations for the second quarter of 2015 included a benefit of $1,199 million. In addition, as a result of the liability under the tax receivable agreement, our operating expenses on our condensed consolidated statement of operations for the second quarter of 2015 included a provision pursuant to the tax receivable agreement of $962 million. This expense largely offset the tax benefit described above, resulting in a net benefit of $237 million.</w:t>
      </w:r>
    </w:p>
    <w:p>
      <w:pPr>
        <w:spacing w:after="0" w:line="121" w:lineRule="exact"/>
        <w:rPr>
          <w:sz w:val="20"/>
          <w:szCs w:val="20"/>
          <w:color w:val="auto"/>
        </w:rPr>
      </w:pPr>
    </w:p>
    <w:p>
      <w:pPr>
        <w:ind w:firstLine="457"/>
        <w:spacing w:after="0" w:line="296" w:lineRule="auto"/>
        <w:rPr>
          <w:sz w:val="20"/>
          <w:szCs w:val="20"/>
          <w:color w:val="auto"/>
        </w:rPr>
      </w:pPr>
      <w:r>
        <w:rPr>
          <w:rFonts w:ascii="Arial" w:cs="Arial" w:eastAsia="Arial" w:hAnsi="Arial"/>
          <w:sz w:val="16"/>
          <w:szCs w:val="16"/>
          <w:color w:val="auto"/>
        </w:rPr>
        <w:t>See “Critical Accounting Policies and Estimates—Income Taxes” below for additional information regarding income taxes, our deferred tax assets and our obligation under the tax receivable agreement.</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Noncontrolling Interests</w:t>
      </w:r>
    </w:p>
    <w:p>
      <w:pPr>
        <w:spacing w:after="0" w:line="94" w:lineRule="exact"/>
        <w:rPr>
          <w:sz w:val="20"/>
          <w:szCs w:val="20"/>
          <w:color w:val="auto"/>
        </w:rPr>
      </w:pPr>
    </w:p>
    <w:p>
      <w:pPr>
        <w:ind w:right="60" w:firstLine="457"/>
        <w:spacing w:after="0" w:line="269" w:lineRule="auto"/>
        <w:rPr>
          <w:sz w:val="20"/>
          <w:szCs w:val="20"/>
          <w:color w:val="auto"/>
        </w:rPr>
      </w:pPr>
      <w:r>
        <w:rPr>
          <w:rFonts w:ascii="Arial" w:cs="Arial" w:eastAsia="Arial" w:hAnsi="Arial"/>
          <w:sz w:val="16"/>
          <w:szCs w:val="16"/>
          <w:color w:val="auto"/>
        </w:rPr>
        <w:t>Noncontrolling interests primarily consist of amounts related to Edgewater’s management vehicles that the Company is deemed to control but not own and, through May 2014, the amount attributable to LAZ-MD Holdings LLC’s (“LAZ-MD Holdings”) ownership interest in the net income of Lazard Group. See Note 11 of Notes to Condensed Consolidated Financial Statements for information regarding the Company’s noncontrolling interests. In May 2014, the remaining Lazard Group common membership interests held by LAZ-MD Holdings were exchanged for shares of the Company’s Class A common stock. Following the exchange, Lazard Group became a wholly-owned indirect subsidiary of Lazard Ltd, and the sole issued and outstanding share of the Company’s Class B common stock was automatically converted into one share of the Company’s Class A common stock pursuant to the provisions of the Company’s bye-laws, resulting in only one outstanding class of common stock. See Note 1 of Notes to Condensed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Results of Operations</w:t>
      </w:r>
    </w:p>
    <w:p>
      <w:pPr>
        <w:spacing w:after="0" w:line="98" w:lineRule="exact"/>
        <w:rPr>
          <w:sz w:val="20"/>
          <w:szCs w:val="20"/>
          <w:color w:val="auto"/>
        </w:rPr>
      </w:pPr>
    </w:p>
    <w:p>
      <w:pPr>
        <w:ind w:firstLine="457"/>
        <w:spacing w:after="0" w:line="298" w:lineRule="auto"/>
        <w:rPr>
          <w:sz w:val="20"/>
          <w:szCs w:val="20"/>
          <w:color w:val="auto"/>
        </w:rPr>
      </w:pPr>
      <w:r>
        <w:rPr>
          <w:rFonts w:ascii="Arial" w:cs="Arial" w:eastAsia="Arial" w:hAnsi="Arial"/>
          <w:sz w:val="15"/>
          <w:szCs w:val="15"/>
          <w:color w:val="auto"/>
        </w:rPr>
        <w:t>Lazard’s condensed consolidated financial statements are presented in U.S. Dollars. Many of our non-U.S. subsidiaries have a functional currency (</w:t>
      </w:r>
      <w:r>
        <w:rPr>
          <w:rFonts w:ascii="Arial" w:cs="Arial" w:eastAsia="Arial" w:hAnsi="Arial"/>
          <w:sz w:val="15"/>
          <w:szCs w:val="15"/>
          <w:i w:val="1"/>
          <w:iCs w:val="1"/>
          <w:color w:val="auto"/>
        </w:rPr>
        <w:t>i.e</w:t>
      </w:r>
      <w:r>
        <w:rPr>
          <w:rFonts w:ascii="Arial" w:cs="Arial" w:eastAsia="Arial" w:hAnsi="Arial"/>
          <w:sz w:val="15"/>
          <w:szCs w:val="15"/>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360"/>
          </w:cols>
          <w:pgMar w:left="240" w:top="440" w:right="29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color w:val="auto"/>
        </w:rPr>
        <w:t>subsidiary’s functional currency are reported as a component of stockholders’ equity</w:t>
      </w:r>
      <w:r>
        <w:rPr>
          <w:rFonts w:ascii="Arial" w:cs="Arial" w:eastAsia="Arial" w:hAnsi="Arial"/>
          <w:sz w:val="16"/>
          <w:szCs w:val="16"/>
          <w:i w:val="1"/>
          <w:iCs w:val="1"/>
          <w:color w:val="auto"/>
        </w:rPr>
        <w:t>.</w:t>
      </w:r>
      <w:r>
        <w:rPr>
          <w:rFonts w:ascii="Arial" w:cs="Arial" w:eastAsia="Arial" w:hAnsi="Arial"/>
          <w:sz w:val="16"/>
          <w:szCs w:val="16"/>
          <w:color w:val="auto"/>
        </w:rPr>
        <w:t xml:space="preserve"> Foreign currency remeasurement gains and losses on transactions in non-functional currencies are included in the condensed consolidated statements of operations.</w:t>
      </w:r>
    </w:p>
    <w:p>
      <w:pPr>
        <w:spacing w:after="0" w:line="103" w:lineRule="exact"/>
        <w:rPr>
          <w:sz w:val="20"/>
          <w:szCs w:val="20"/>
          <w:color w:val="auto"/>
        </w:rPr>
      </w:pPr>
    </w:p>
    <w:p>
      <w:pPr>
        <w:ind w:right="40" w:firstLine="457"/>
        <w:spacing w:after="0" w:line="274" w:lineRule="auto"/>
        <w:rPr>
          <w:sz w:val="20"/>
          <w:szCs w:val="20"/>
          <w:color w:val="auto"/>
        </w:rPr>
      </w:pPr>
      <w:r>
        <w:rPr>
          <w:rFonts w:ascii="Arial" w:cs="Arial" w:eastAsia="Arial" w:hAnsi="Arial"/>
          <w:sz w:val="16"/>
          <w:szCs w:val="16"/>
          <w:color w:val="auto"/>
        </w:rPr>
        <w:t>A portion of our net revenue is derived from transactions that are denominated in currencies other than the U.S. dollar. Since the middle of 2014, the value of the U.S. dollar has strengthened against many other major currencies. As a result, net revenue for the three month and six month periods ended June 30, 2015 was negatively impacted in comparison to the prior year periods. The majority of the negative impact in each period was offset by the positive impact of the exchange rate movements on our operating expenses denominated in currencies other than the U.S. dollar.</w:t>
      </w:r>
    </w:p>
    <w:p>
      <w:pPr>
        <w:spacing w:after="0" w:line="121" w:lineRule="exact"/>
        <w:rPr>
          <w:sz w:val="20"/>
          <w:szCs w:val="20"/>
          <w:color w:val="auto"/>
        </w:rPr>
      </w:pPr>
    </w:p>
    <w:p>
      <w:pPr>
        <w:ind w:right="520" w:firstLine="457"/>
        <w:spacing w:after="0" w:line="331" w:lineRule="auto"/>
        <w:rPr>
          <w:sz w:val="20"/>
          <w:szCs w:val="20"/>
          <w:color w:val="auto"/>
        </w:rPr>
      </w:pPr>
      <w:r>
        <w:rPr>
          <w:rFonts w:ascii="Arial" w:cs="Arial" w:eastAsia="Arial" w:hAnsi="Arial"/>
          <w:sz w:val="15"/>
          <w:szCs w:val="15"/>
          <w:color w:val="auto"/>
        </w:rPr>
        <w:t>The condensed consolidated financial statements are prepared in conformity with U.S. GAAP. Selected financial data from the Company’s reported condensed consolidated results of operations is set forth below, followed by a more detailed discussion of both the consolidated and business segment results.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00" w:type="dxa"/>
            <w:vAlign w:val="bottom"/>
            <w:gridSpan w:val="5"/>
          </w:tcPr>
          <w:p>
            <w:pPr>
              <w:jc w:val="right"/>
              <w:ind w:right="920"/>
              <w:spacing w:after="0"/>
              <w:rPr>
                <w:sz w:val="20"/>
                <w:szCs w:val="20"/>
                <w:color w:val="auto"/>
              </w:rPr>
            </w:pPr>
            <w:r>
              <w:rPr>
                <w:rFonts w:ascii="Arial" w:cs="Arial" w:eastAsia="Arial" w:hAnsi="Arial"/>
                <w:sz w:val="13"/>
                <w:szCs w:val="13"/>
                <w:b w:val="1"/>
                <w:bCs w:val="1"/>
                <w:color w:val="auto"/>
              </w:rPr>
              <w:t>Three Months Ended</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gridSpan w:val="6"/>
          </w:tcPr>
          <w:p>
            <w:pPr>
              <w:jc w:val="right"/>
              <w:ind w:right="82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w w:val="92"/>
              </w:rPr>
              <w:t>June 30,</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June 30,</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00"/>
              <w:spacing w:after="0"/>
              <w:rPr>
                <w:sz w:val="20"/>
                <w:szCs w:val="20"/>
                <w:color w:val="auto"/>
              </w:rPr>
            </w:pPr>
            <w:r>
              <w:rPr>
                <w:rFonts w:ascii="Arial" w:cs="Arial" w:eastAsia="Arial" w:hAnsi="Arial"/>
                <w:sz w:val="13"/>
                <w:szCs w:val="13"/>
                <w:b w:val="1"/>
                <w:bCs w:val="1"/>
                <w:color w:val="auto"/>
              </w:rPr>
              <w:t>2015</w:t>
            </w: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b w:val="1"/>
                <w:bCs w:val="1"/>
                <w:color w:val="auto"/>
              </w:rPr>
              <w:t>2014</w:t>
            </w:r>
          </w:p>
        </w:tc>
        <w:tc>
          <w:tcPr>
            <w:tcW w:w="4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00"/>
              <w:spacing w:after="0"/>
              <w:rPr>
                <w:sz w:val="20"/>
                <w:szCs w:val="20"/>
                <w:color w:val="auto"/>
              </w:rPr>
            </w:pPr>
            <w:r>
              <w:rPr>
                <w:rFonts w:ascii="Arial" w:cs="Arial" w:eastAsia="Arial" w:hAnsi="Arial"/>
                <w:sz w:val="13"/>
                <w:szCs w:val="13"/>
                <w:b w:val="1"/>
                <w:bCs w:val="1"/>
                <w:color w:val="auto"/>
              </w:rPr>
              <w:t>2015</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9"/>
              <w:spacing w:after="0"/>
              <w:rPr>
                <w:sz w:val="20"/>
                <w:szCs w:val="20"/>
                <w:color w:val="auto"/>
              </w:rPr>
            </w:pPr>
            <w:r>
              <w:rPr>
                <w:rFonts w:ascii="Arial" w:cs="Arial" w:eastAsia="Arial" w:hAnsi="Arial"/>
                <w:sz w:val="13"/>
                <w:szCs w:val="13"/>
                <w:b w:val="1"/>
                <w:bCs w:val="1"/>
                <w:color w:val="auto"/>
              </w:rPr>
              <w:t>2014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80" w:type="dxa"/>
            <w:vAlign w:val="bottom"/>
            <w:gridSpan w:val="6"/>
          </w:tcPr>
          <w:p>
            <w:pPr>
              <w:jc w:val="right"/>
              <w:ind w:right="1237"/>
              <w:spacing w:after="0"/>
              <w:rPr>
                <w:sz w:val="20"/>
                <w:szCs w:val="20"/>
                <w:color w:val="auto"/>
              </w:rPr>
            </w:pPr>
            <w:r>
              <w:rPr>
                <w:rFonts w:ascii="Arial" w:cs="Arial" w:eastAsia="Arial" w:hAnsi="Arial"/>
                <w:sz w:val="13"/>
                <w:szCs w:val="13"/>
                <w:b w:val="1"/>
                <w:bCs w:val="1"/>
                <w:color w:val="auto"/>
              </w:rPr>
              <w:t>($ in thousands)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8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Net Revenue</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609,092</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w w:val="89"/>
              </w:rPr>
              <w:t>566,896</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577"/>
              <w:spacing w:after="0"/>
              <w:rPr>
                <w:sz w:val="20"/>
                <w:szCs w:val="20"/>
                <w:color w:val="auto"/>
              </w:rPr>
            </w:pPr>
            <w:r>
              <w:rPr>
                <w:rFonts w:ascii="Arial" w:cs="Arial" w:eastAsia="Arial" w:hAnsi="Arial"/>
                <w:sz w:val="16"/>
                <w:szCs w:val="16"/>
                <w:color w:val="auto"/>
                <w:w w:val="98"/>
              </w:rPr>
              <w:t>1,186,841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9"/>
              </w:rPr>
              <w:t>1,100,296</w:t>
            </w:r>
          </w:p>
        </w:tc>
        <w:tc>
          <w:tcPr>
            <w:tcW w:w="0" w:type="dxa"/>
            <w:vAlign w:val="bottom"/>
          </w:tcPr>
          <w:p>
            <w:pPr>
              <w:spacing w:after="0"/>
              <w:rPr>
                <w:sz w:val="1"/>
                <w:szCs w:val="1"/>
                <w:color w:val="auto"/>
              </w:rPr>
            </w:pPr>
          </w:p>
        </w:tc>
      </w:tr>
      <w:tr>
        <w:trPr>
          <w:trHeight w:val="302"/>
        </w:trPr>
        <w:tc>
          <w:tcPr>
            <w:tcW w:w="486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Operating Expenses:</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Compensation and benefits</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336,719</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w w:val="89"/>
              </w:rPr>
              <w:t>345,924</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77"/>
              <w:spacing w:after="0"/>
              <w:rPr>
                <w:sz w:val="20"/>
                <w:szCs w:val="20"/>
                <w:color w:val="auto"/>
              </w:rPr>
            </w:pPr>
            <w:r>
              <w:rPr>
                <w:rFonts w:ascii="Arial" w:cs="Arial" w:eastAsia="Arial" w:hAnsi="Arial"/>
                <w:sz w:val="16"/>
                <w:szCs w:val="16"/>
                <w:color w:val="auto"/>
              </w:rPr>
              <w:t>665,221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667,489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tcPr>
          <w:p>
            <w:pPr>
              <w:ind w:left="380"/>
              <w:spacing w:after="0"/>
              <w:rPr>
                <w:sz w:val="20"/>
                <w:szCs w:val="20"/>
                <w:color w:val="auto"/>
              </w:rPr>
            </w:pPr>
            <w:r>
              <w:rPr>
                <w:rFonts w:ascii="Arial" w:cs="Arial" w:eastAsia="Arial" w:hAnsi="Arial"/>
                <w:sz w:val="16"/>
                <w:szCs w:val="16"/>
                <w:color w:val="auto"/>
              </w:rPr>
              <w:t>Non-compensation</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109,944</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6"/>
                <w:szCs w:val="16"/>
                <w:color w:val="auto"/>
                <w:w w:val="89"/>
              </w:rPr>
              <w:t>112,046</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577"/>
              <w:spacing w:after="0"/>
              <w:rPr>
                <w:sz w:val="20"/>
                <w:szCs w:val="20"/>
                <w:color w:val="auto"/>
              </w:rPr>
            </w:pPr>
            <w:r>
              <w:rPr>
                <w:rFonts w:ascii="Arial" w:cs="Arial" w:eastAsia="Arial" w:hAnsi="Arial"/>
                <w:sz w:val="16"/>
                <w:szCs w:val="16"/>
                <w:color w:val="auto"/>
              </w:rPr>
              <w:t>276,960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215,481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intangible assets related to acquisitions</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1,857</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706</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77"/>
              <w:spacing w:after="0"/>
              <w:rPr>
                <w:sz w:val="20"/>
                <w:szCs w:val="20"/>
                <w:color w:val="auto"/>
              </w:rPr>
            </w:pPr>
            <w:r>
              <w:rPr>
                <w:rFonts w:ascii="Arial" w:cs="Arial" w:eastAsia="Arial" w:hAnsi="Arial"/>
                <w:sz w:val="16"/>
                <w:szCs w:val="16"/>
                <w:color w:val="auto"/>
              </w:rPr>
              <w:t>2,890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1,926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tcPr>
          <w:p>
            <w:pPr>
              <w:ind w:left="380"/>
              <w:spacing w:after="0"/>
              <w:rPr>
                <w:sz w:val="20"/>
                <w:szCs w:val="20"/>
                <w:color w:val="auto"/>
              </w:rPr>
            </w:pPr>
            <w:r>
              <w:rPr>
                <w:rFonts w:ascii="Arial" w:cs="Arial" w:eastAsia="Arial" w:hAnsi="Arial"/>
                <w:sz w:val="16"/>
                <w:szCs w:val="16"/>
                <w:color w:val="auto"/>
              </w:rPr>
              <w:t>Provision pursuant to tax receivable agreement</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961,948</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6"/>
                <w:szCs w:val="16"/>
                <w:color w:val="auto"/>
              </w:rPr>
              <w:t>9,240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577"/>
              <w:spacing w:after="0"/>
              <w:rPr>
                <w:sz w:val="20"/>
                <w:szCs w:val="20"/>
                <w:color w:val="auto"/>
              </w:rPr>
            </w:pPr>
            <w:r>
              <w:rPr>
                <w:rFonts w:ascii="Arial" w:cs="Arial" w:eastAsia="Arial" w:hAnsi="Arial"/>
                <w:sz w:val="16"/>
                <w:szCs w:val="16"/>
                <w:color w:val="auto"/>
              </w:rPr>
              <w:t>968,483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9,240</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operating expenses</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1,410,468</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w w:val="89"/>
              </w:rPr>
              <w:t>467,916</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77"/>
              <w:spacing w:after="0"/>
              <w:rPr>
                <w:sz w:val="20"/>
                <w:szCs w:val="20"/>
                <w:color w:val="auto"/>
              </w:rPr>
            </w:pPr>
            <w:r>
              <w:rPr>
                <w:rFonts w:ascii="Arial" w:cs="Arial" w:eastAsia="Arial" w:hAnsi="Arial"/>
                <w:sz w:val="16"/>
                <w:szCs w:val="16"/>
                <w:color w:val="auto"/>
                <w:w w:val="98"/>
              </w:rPr>
              <w:t>1,913,554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894,136</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6"/>
                <w:szCs w:val="16"/>
                <w:b w:val="1"/>
                <w:bCs w:val="1"/>
                <w:i w:val="1"/>
                <w:iCs w:val="1"/>
                <w:color w:val="auto"/>
              </w:rPr>
              <w:t>Operating Income (Loss)</w:t>
            </w:r>
          </w:p>
        </w:tc>
        <w:tc>
          <w:tcPr>
            <w:tcW w:w="1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860" w:type="dxa"/>
            <w:vAlign w:val="bottom"/>
            <w:gridSpan w:val="2"/>
            <w:vMerge w:val="continue"/>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617"/>
              <w:spacing w:after="0"/>
              <w:rPr>
                <w:sz w:val="20"/>
                <w:szCs w:val="20"/>
                <w:color w:val="auto"/>
              </w:rPr>
            </w:pPr>
            <w:r>
              <w:rPr>
                <w:rFonts w:ascii="Arial" w:cs="Arial" w:eastAsia="Arial" w:hAnsi="Arial"/>
                <w:sz w:val="16"/>
                <w:szCs w:val="16"/>
                <w:color w:val="auto"/>
              </w:rPr>
              <w:t>(801,376)</w:t>
            </w:r>
          </w:p>
        </w:tc>
        <w:tc>
          <w:tcPr>
            <w:tcW w:w="80" w:type="dxa"/>
            <w:vAlign w:val="bottom"/>
          </w:tcPr>
          <w:p>
            <w:pPr>
              <w:spacing w:after="0"/>
              <w:rPr>
                <w:sz w:val="17"/>
                <w:szCs w:val="17"/>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6"/>
                <w:szCs w:val="16"/>
                <w:color w:val="auto"/>
              </w:rPr>
              <w:t>98,980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517"/>
              <w:spacing w:after="0"/>
              <w:rPr>
                <w:sz w:val="20"/>
                <w:szCs w:val="20"/>
                <w:color w:val="auto"/>
              </w:rPr>
            </w:pPr>
            <w:r>
              <w:rPr>
                <w:rFonts w:ascii="Arial" w:cs="Arial" w:eastAsia="Arial" w:hAnsi="Arial"/>
                <w:sz w:val="16"/>
                <w:szCs w:val="16"/>
                <w:color w:val="auto"/>
              </w:rPr>
              <w:t>(726,713)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206,160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Provision (benefit) for income taxes</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17"/>
              <w:spacing w:after="0"/>
              <w:rPr>
                <w:sz w:val="20"/>
                <w:szCs w:val="20"/>
                <w:color w:val="auto"/>
              </w:rPr>
            </w:pPr>
            <w:r>
              <w:rPr>
                <w:rFonts w:ascii="Arial" w:cs="Arial" w:eastAsia="Arial" w:hAnsi="Arial"/>
                <w:sz w:val="16"/>
                <w:szCs w:val="16"/>
                <w:color w:val="auto"/>
                <w:w w:val="92"/>
              </w:rPr>
              <w:t>(1,176,531)</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13,071</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17"/>
              <w:spacing w:after="0"/>
              <w:rPr>
                <w:sz w:val="20"/>
                <w:szCs w:val="20"/>
                <w:color w:val="auto"/>
              </w:rPr>
            </w:pPr>
            <w:r>
              <w:rPr>
                <w:rFonts w:ascii="Arial" w:cs="Arial" w:eastAsia="Arial" w:hAnsi="Arial"/>
                <w:sz w:val="16"/>
                <w:szCs w:val="16"/>
                <w:color w:val="auto"/>
                <w:w w:val="92"/>
              </w:rPr>
              <w:t>(1,164,514)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34,822</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6"/>
                <w:szCs w:val="16"/>
                <w:b w:val="1"/>
                <w:bCs w:val="1"/>
                <w:i w:val="1"/>
                <w:iCs w:val="1"/>
                <w:color w:val="auto"/>
              </w:rPr>
              <w:t>Net Income</w:t>
            </w:r>
          </w:p>
        </w:tc>
        <w:tc>
          <w:tcPr>
            <w:tcW w:w="1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860" w:type="dxa"/>
            <w:vAlign w:val="bottom"/>
            <w:gridSpan w:val="2"/>
            <w:vMerge w:val="continue"/>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375,155</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6"/>
                <w:szCs w:val="16"/>
                <w:color w:val="auto"/>
              </w:rPr>
              <w:t>85,909</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577"/>
              <w:spacing w:after="0"/>
              <w:rPr>
                <w:sz w:val="20"/>
                <w:szCs w:val="20"/>
                <w:color w:val="auto"/>
              </w:rPr>
            </w:pPr>
            <w:r>
              <w:rPr>
                <w:rFonts w:ascii="Arial" w:cs="Arial" w:eastAsia="Arial" w:hAnsi="Arial"/>
                <w:sz w:val="16"/>
                <w:szCs w:val="16"/>
                <w:color w:val="auto"/>
              </w:rPr>
              <w:t>437,801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171,338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Less – Net Income Attributable to Noncontrolling Interests</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717</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77"/>
              <w:spacing w:after="0"/>
              <w:rPr>
                <w:sz w:val="20"/>
                <w:szCs w:val="20"/>
                <w:color w:val="auto"/>
              </w:rPr>
            </w:pPr>
            <w:r>
              <w:rPr>
                <w:rFonts w:ascii="Arial" w:cs="Arial" w:eastAsia="Arial" w:hAnsi="Arial"/>
                <w:sz w:val="16"/>
                <w:szCs w:val="16"/>
                <w:color w:val="auto"/>
              </w:rPr>
              <w:t>7,735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5,304</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6"/>
                <w:szCs w:val="16"/>
                <w:b w:val="1"/>
                <w:bCs w:val="1"/>
                <w:i w:val="1"/>
                <w:iCs w:val="1"/>
                <w:color w:val="auto"/>
              </w:rPr>
              <w:t>Net Income Attributable to Lazard Ltd</w:t>
            </w:r>
          </w:p>
        </w:tc>
        <w:tc>
          <w:tcPr>
            <w:tcW w:w="1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860" w:type="dxa"/>
            <w:vAlign w:val="bottom"/>
            <w:gridSpan w:val="2"/>
            <w:vMerge w:val="continue"/>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374,113</w:t>
            </w:r>
          </w:p>
        </w:tc>
        <w:tc>
          <w:tcPr>
            <w:tcW w:w="7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20"/>
              <w:spacing w:after="0"/>
              <w:rPr>
                <w:sz w:val="20"/>
                <w:szCs w:val="20"/>
                <w:color w:val="auto"/>
              </w:rPr>
            </w:pPr>
            <w:r>
              <w:rPr>
                <w:rFonts w:ascii="Arial" w:cs="Arial" w:eastAsia="Arial" w:hAnsi="Arial"/>
                <w:sz w:val="16"/>
                <w:szCs w:val="16"/>
                <w:color w:val="auto"/>
              </w:rPr>
              <w:t>85,192</w:t>
            </w:r>
          </w:p>
        </w:tc>
        <w:tc>
          <w:tcPr>
            <w:tcW w:w="3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577"/>
              <w:spacing w:after="0"/>
              <w:rPr>
                <w:sz w:val="20"/>
                <w:szCs w:val="20"/>
                <w:color w:val="auto"/>
              </w:rPr>
            </w:pPr>
            <w:r>
              <w:rPr>
                <w:rFonts w:ascii="Arial" w:cs="Arial" w:eastAsia="Arial" w:hAnsi="Arial"/>
                <w:sz w:val="16"/>
                <w:szCs w:val="16"/>
                <w:color w:val="auto"/>
              </w:rPr>
              <w:t>430,066</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166,034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Operating Income (Loss), as a % of net revenue</w:t>
            </w: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497"/>
              <w:spacing w:after="0"/>
              <w:rPr>
                <w:sz w:val="20"/>
                <w:szCs w:val="20"/>
                <w:color w:val="auto"/>
              </w:rPr>
            </w:pPr>
            <w:r>
              <w:rPr>
                <w:rFonts w:ascii="Arial" w:cs="Arial" w:eastAsia="Arial" w:hAnsi="Arial"/>
                <w:sz w:val="16"/>
                <w:szCs w:val="16"/>
                <w:color w:val="auto"/>
              </w:rPr>
              <w:t>(131.6)%</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17.5%</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397"/>
              <w:spacing w:after="0"/>
              <w:rPr>
                <w:sz w:val="20"/>
                <w:szCs w:val="20"/>
                <w:color w:val="auto"/>
              </w:rPr>
            </w:pPr>
            <w:r>
              <w:rPr>
                <w:rFonts w:ascii="Arial" w:cs="Arial" w:eastAsia="Arial" w:hAnsi="Arial"/>
                <w:sz w:val="16"/>
                <w:szCs w:val="16"/>
                <w:color w:val="auto"/>
              </w:rPr>
              <w:t>(61.2)%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20" w:type="dxa"/>
            <w:vAlign w:val="bottom"/>
            <w:vMerge w:val="restart"/>
          </w:tcPr>
          <w:p>
            <w:pPr>
              <w:jc w:val="right"/>
              <w:ind w:right="198"/>
              <w:spacing w:after="0"/>
              <w:rPr>
                <w:sz w:val="20"/>
                <w:szCs w:val="20"/>
                <w:color w:val="auto"/>
              </w:rPr>
            </w:pPr>
            <w:r>
              <w:rPr>
                <w:rFonts w:ascii="Arial" w:cs="Arial" w:eastAsia="Arial" w:hAnsi="Arial"/>
                <w:sz w:val="16"/>
                <w:szCs w:val="16"/>
                <w:color w:val="auto"/>
              </w:rPr>
              <w:t>51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0" w:right="23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80" w:firstLine="457"/>
        <w:spacing w:after="0" w:line="280" w:lineRule="auto"/>
        <w:rPr>
          <w:sz w:val="20"/>
          <w:szCs w:val="20"/>
          <w:color w:val="auto"/>
        </w:rPr>
      </w:pPr>
      <w:r>
        <w:rPr>
          <w:rFonts w:ascii="Arial" w:cs="Arial" w:eastAsia="Arial" w:hAnsi="Arial"/>
          <w:sz w:val="16"/>
          <w:szCs w:val="16"/>
          <w:color w:val="auto"/>
        </w:rPr>
        <w:t>The tables below describe the components of operating revenue, adjusted compensation and benefits expense, adjusted non-compensation expense, earnings from operations and related key ratios, which are non-U.S. GAAP measures used by the Company to manage its business. We believe such non-U.S. GAAP measures provide the most meaningful basis for comparison between present, historical and future periods, as described above.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2020" w:type="dxa"/>
            <w:vAlign w:val="bottom"/>
            <w:gridSpan w:val="4"/>
          </w:tcPr>
          <w:p>
            <w:pPr>
              <w:jc w:val="right"/>
              <w:ind w:right="60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3"/>
                <w:szCs w:val="13"/>
                <w:color w:val="auto"/>
              </w:rPr>
            </w:pPr>
          </w:p>
        </w:tc>
        <w:tc>
          <w:tcPr>
            <w:tcW w:w="1980" w:type="dxa"/>
            <w:vAlign w:val="bottom"/>
            <w:gridSpan w:val="5"/>
          </w:tcPr>
          <w:p>
            <w:pPr>
              <w:jc w:val="right"/>
              <w:ind w:right="62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64"/>
        </w:trPr>
        <w:tc>
          <w:tcPr>
            <w:tcW w:w="114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020" w:type="dxa"/>
            <w:vAlign w:val="bottom"/>
            <w:gridSpan w:val="4"/>
          </w:tcPr>
          <w:p>
            <w:pPr>
              <w:jc w:val="right"/>
              <w:ind w:right="960"/>
              <w:spacing w:after="0"/>
              <w:rPr>
                <w:sz w:val="20"/>
                <w:szCs w:val="20"/>
                <w:color w:val="auto"/>
              </w:rPr>
            </w:pPr>
            <w:r>
              <w:rPr>
                <w:rFonts w:ascii="Arial" w:cs="Arial" w:eastAsia="Arial" w:hAnsi="Arial"/>
                <w:sz w:val="13"/>
                <w:szCs w:val="13"/>
                <w:b w:val="1"/>
                <w:bCs w:val="1"/>
                <w:color w:val="auto"/>
              </w:rPr>
              <w:t>June 30,</w:t>
            </w: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14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680" w:type="dxa"/>
            <w:vAlign w:val="bottom"/>
            <w:tcBorders>
              <w:bottom w:val="single" w:sz="8" w:color="auto"/>
            </w:tcBorders>
          </w:tcPr>
          <w:p>
            <w:pPr>
              <w:jc w:val="right"/>
              <w:ind w:right="144"/>
              <w:spacing w:after="0" w:line="132" w:lineRule="exact"/>
              <w:rPr>
                <w:sz w:val="20"/>
                <w:szCs w:val="20"/>
                <w:color w:val="auto"/>
              </w:rPr>
            </w:pPr>
            <w:r>
              <w:rPr>
                <w:rFonts w:ascii="Arial" w:cs="Arial" w:eastAsia="Arial" w:hAnsi="Arial"/>
                <w:sz w:val="13"/>
                <w:szCs w:val="13"/>
                <w:b w:val="1"/>
                <w:bCs w:val="1"/>
                <w:color w:val="auto"/>
              </w:rPr>
              <w:t>2015</w:t>
            </w:r>
          </w:p>
        </w:tc>
        <w:tc>
          <w:tcPr>
            <w:tcW w:w="3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43"/>
              <w:spacing w:after="0" w:line="132" w:lineRule="exact"/>
              <w:rPr>
                <w:sz w:val="20"/>
                <w:szCs w:val="20"/>
                <w:color w:val="auto"/>
              </w:rPr>
            </w:pPr>
            <w:r>
              <w:rPr>
                <w:rFonts w:ascii="Arial" w:cs="Arial" w:eastAsia="Arial" w:hAnsi="Arial"/>
                <w:sz w:val="13"/>
                <w:szCs w:val="13"/>
                <w:b w:val="1"/>
                <w:bCs w:val="1"/>
                <w:color w:val="auto"/>
              </w:rPr>
              <w:t>2014</w:t>
            </w:r>
          </w:p>
        </w:tc>
        <w:tc>
          <w:tcPr>
            <w:tcW w:w="3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04"/>
              <w:spacing w:after="0" w:line="132" w:lineRule="exact"/>
              <w:rPr>
                <w:sz w:val="20"/>
                <w:szCs w:val="20"/>
                <w:color w:val="auto"/>
              </w:rPr>
            </w:pPr>
            <w:r>
              <w:rPr>
                <w:rFonts w:ascii="Arial" w:cs="Arial" w:eastAsia="Arial" w:hAnsi="Arial"/>
                <w:sz w:val="13"/>
                <w:szCs w:val="13"/>
                <w:b w:val="1"/>
                <w:bCs w:val="1"/>
                <w:color w:val="auto"/>
              </w:rPr>
              <w:t>2015</w:t>
            </w:r>
          </w:p>
        </w:tc>
        <w:tc>
          <w:tcPr>
            <w:tcW w:w="3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20"/>
              <w:spacing w:after="0" w:line="132" w:lineRule="exact"/>
              <w:rPr>
                <w:sz w:val="20"/>
                <w:szCs w:val="20"/>
                <w:color w:val="auto"/>
              </w:rPr>
            </w:pPr>
            <w:r>
              <w:rPr>
                <w:rFonts w:ascii="Arial" w:cs="Arial" w:eastAsia="Arial" w:hAnsi="Arial"/>
                <w:sz w:val="13"/>
                <w:szCs w:val="13"/>
                <w:b w:val="1"/>
                <w:bCs w:val="1"/>
                <w:color w:val="auto"/>
              </w:rPr>
              <w:t>2014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60" w:type="dxa"/>
            <w:vAlign w:val="bottom"/>
            <w:gridSpan w:val="5"/>
          </w:tcPr>
          <w:p>
            <w:pPr>
              <w:jc w:val="right"/>
              <w:ind w:right="720"/>
              <w:spacing w:after="0" w:line="144" w:lineRule="exact"/>
              <w:rPr>
                <w:sz w:val="20"/>
                <w:szCs w:val="20"/>
                <w:color w:val="auto"/>
              </w:rPr>
            </w:pPr>
            <w:r>
              <w:rPr>
                <w:rFonts w:ascii="Arial" w:cs="Arial" w:eastAsia="Arial" w:hAnsi="Arial"/>
                <w:sz w:val="13"/>
                <w:szCs w:val="13"/>
                <w:b w:val="1"/>
                <w:bCs w:val="1"/>
                <w:color w:val="auto"/>
              </w:rPr>
              <w:t>($ in thousands)</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73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i w:val="1"/>
                <w:iCs w:val="1"/>
                <w:color w:val="auto"/>
              </w:rPr>
              <w:t>Operating Revenue:</w:t>
            </w: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300" w:type="dxa"/>
            <w:vAlign w:val="bottom"/>
            <w:gridSpan w:val="2"/>
          </w:tcPr>
          <w:p>
            <w:pPr>
              <w:spacing w:after="0"/>
              <w:rPr>
                <w:sz w:val="20"/>
                <w:szCs w:val="20"/>
                <w:color w:val="auto"/>
              </w:rPr>
            </w:pPr>
            <w:r>
              <w:rPr>
                <w:rFonts w:ascii="Arial" w:cs="Arial" w:eastAsia="Arial" w:hAnsi="Arial"/>
                <w:sz w:val="16"/>
                <w:szCs w:val="16"/>
                <w:color w:val="auto"/>
              </w:rPr>
              <w:t>Net revenue</w:t>
            </w:r>
          </w:p>
        </w:tc>
        <w:tc>
          <w:tcPr>
            <w:tcW w:w="680" w:type="dxa"/>
            <w:vAlign w:val="bottom"/>
          </w:tcPr>
          <w:p>
            <w:pPr>
              <w:jc w:val="right"/>
              <w:spacing w:after="0"/>
              <w:rPr>
                <w:sz w:val="20"/>
                <w:szCs w:val="20"/>
                <w:color w:val="auto"/>
              </w:rPr>
            </w:pPr>
            <w:r>
              <w:rPr>
                <w:rFonts w:ascii="Arial" w:cs="Arial" w:eastAsia="Arial" w:hAnsi="Arial"/>
                <w:sz w:val="16"/>
                <w:szCs w:val="16"/>
                <w:color w:val="auto"/>
                <w:w w:val="92"/>
              </w:rPr>
              <w:t>$ 609,092</w:t>
            </w:r>
          </w:p>
        </w:tc>
        <w:tc>
          <w:tcPr>
            <w:tcW w:w="320" w:type="dxa"/>
            <w:vAlign w:val="bottom"/>
          </w:tcPr>
          <w:p>
            <w:pPr>
              <w:spacing w:after="0"/>
              <w:rPr>
                <w:sz w:val="17"/>
                <w:szCs w:val="17"/>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6"/>
                <w:szCs w:val="16"/>
                <w:color w:val="auto"/>
                <w:w w:val="92"/>
              </w:rPr>
              <w:t>$ 566,896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w w:val="95"/>
              </w:rPr>
              <w:t>1,186,841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1,100,296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Adjustments:</w:t>
            </w: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300" w:type="dxa"/>
            <w:vAlign w:val="bottom"/>
            <w:gridSpan w:val="2"/>
          </w:tcPr>
          <w:p>
            <w:pPr>
              <w:ind w:left="400"/>
              <w:spacing w:after="0"/>
              <w:rPr>
                <w:sz w:val="20"/>
                <w:szCs w:val="20"/>
                <w:color w:val="auto"/>
              </w:rPr>
            </w:pPr>
            <w:r>
              <w:rPr>
                <w:rFonts w:ascii="Arial" w:cs="Arial" w:eastAsia="Arial" w:hAnsi="Arial"/>
                <w:sz w:val="16"/>
                <w:szCs w:val="16"/>
                <w:color w:val="auto"/>
              </w:rPr>
              <w:t>Interest expense (a)</w:t>
            </w:r>
          </w:p>
        </w:tc>
        <w:tc>
          <w:tcPr>
            <w:tcW w:w="680" w:type="dxa"/>
            <w:vAlign w:val="bottom"/>
          </w:tcPr>
          <w:p>
            <w:pPr>
              <w:jc w:val="right"/>
              <w:spacing w:after="0"/>
              <w:rPr>
                <w:sz w:val="20"/>
                <w:szCs w:val="20"/>
                <w:color w:val="auto"/>
              </w:rPr>
            </w:pPr>
            <w:r>
              <w:rPr>
                <w:rFonts w:ascii="Arial" w:cs="Arial" w:eastAsia="Arial" w:hAnsi="Arial"/>
                <w:sz w:val="16"/>
                <w:szCs w:val="16"/>
                <w:color w:val="auto"/>
              </w:rPr>
              <w:t>11,436</w:t>
            </w:r>
          </w:p>
        </w:tc>
        <w:tc>
          <w:tcPr>
            <w:tcW w:w="320" w:type="dxa"/>
            <w:vAlign w:val="bottom"/>
          </w:tcPr>
          <w:p>
            <w:pPr>
              <w:spacing w:after="0"/>
              <w:rPr>
                <w:sz w:val="17"/>
                <w:szCs w:val="17"/>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6"/>
                <w:szCs w:val="16"/>
                <w:color w:val="auto"/>
              </w:rPr>
              <w:t>15,559</w:t>
            </w:r>
          </w:p>
        </w:tc>
        <w:tc>
          <w:tcPr>
            <w:tcW w:w="120" w:type="dxa"/>
            <w:vAlign w:val="bottom"/>
          </w:tcPr>
          <w:p>
            <w:pPr>
              <w:spacing w:after="0"/>
              <w:rPr>
                <w:sz w:val="17"/>
                <w:szCs w:val="17"/>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27,513</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31,275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3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Revenue related to noncontrolling interests (b)</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(3,588)</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(2,512)</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(12,322)</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(8,778)</w:t>
            </w:r>
          </w:p>
        </w:tc>
        <w:tc>
          <w:tcPr>
            <w:tcW w:w="0" w:type="dxa"/>
            <w:vAlign w:val="bottom"/>
          </w:tcPr>
          <w:p>
            <w:pPr>
              <w:spacing w:after="0"/>
              <w:rPr>
                <w:sz w:val="1"/>
                <w:szCs w:val="1"/>
                <w:color w:val="auto"/>
              </w:rPr>
            </w:pPr>
          </w:p>
        </w:tc>
      </w:tr>
      <w:tr>
        <w:trPr>
          <w:trHeight w:val="202"/>
        </w:trPr>
        <w:tc>
          <w:tcPr>
            <w:tcW w:w="7300" w:type="dxa"/>
            <w:vAlign w:val="bottom"/>
            <w:gridSpan w:val="2"/>
          </w:tcPr>
          <w:p>
            <w:pPr>
              <w:ind w:left="400"/>
              <w:spacing w:after="0"/>
              <w:rPr>
                <w:sz w:val="20"/>
                <w:szCs w:val="20"/>
                <w:color w:val="auto"/>
              </w:rPr>
            </w:pPr>
            <w:r>
              <w:rPr>
                <w:rFonts w:ascii="Arial" w:cs="Arial" w:eastAsia="Arial" w:hAnsi="Arial"/>
                <w:sz w:val="16"/>
                <w:szCs w:val="16"/>
                <w:color w:val="auto"/>
              </w:rPr>
              <w:t>Private equity revenue adjustment (c)</w:t>
            </w: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(12,203)</w:t>
            </w:r>
          </w:p>
        </w:tc>
        <w:tc>
          <w:tcPr>
            <w:tcW w:w="10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(12,203)</w:t>
            </w:r>
          </w:p>
        </w:tc>
        <w:tc>
          <w:tcPr>
            <w:tcW w:w="14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73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(Gains) losses on investments pertaining to LFI (d)</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1,894</w:t>
            </w:r>
          </w:p>
        </w:tc>
        <w:tc>
          <w:tcPr>
            <w:tcW w:w="3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(8,906)</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(2,242)</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(11,532)</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6"/>
                <w:szCs w:val="16"/>
                <w:color w:val="auto"/>
              </w:rPr>
              <w:t>Operating revenue</w:t>
            </w: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300" w:type="dxa"/>
            <w:vAlign w:val="bottom"/>
            <w:gridSpan w:val="2"/>
            <w:vMerge w:val="continue"/>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2"/>
              </w:rPr>
              <w:t>$ 606,631</w:t>
            </w:r>
          </w:p>
        </w:tc>
        <w:tc>
          <w:tcPr>
            <w:tcW w:w="320" w:type="dxa"/>
            <w:vAlign w:val="bottom"/>
          </w:tcPr>
          <w:p>
            <w:pPr>
              <w:spacing w:after="0"/>
              <w:rPr>
                <w:sz w:val="17"/>
                <w:szCs w:val="17"/>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6"/>
                <w:szCs w:val="16"/>
                <w:color w:val="auto"/>
                <w:w w:val="92"/>
              </w:rPr>
              <w:t>$ 571,037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w w:val="95"/>
              </w:rPr>
              <w:t>1,187,587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1,111,261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1140" w:type="dxa"/>
            <w:vAlign w:val="bottom"/>
            <w:tcBorders>
              <w:bottom w:val="single" w:sz="8" w:color="auto"/>
            </w:tcBorders>
          </w:tcPr>
          <w:p>
            <w:pPr>
              <w:spacing w:after="0"/>
              <w:rPr>
                <w:sz w:val="8"/>
                <w:szCs w:val="8"/>
                <w:color w:val="auto"/>
              </w:rPr>
            </w:pPr>
          </w:p>
        </w:tc>
        <w:tc>
          <w:tcPr>
            <w:tcW w:w="6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460" w:right="260" w:hanging="459"/>
        <w:spacing w:after="0" w:line="268"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Interest expense (excluding interest expense incurred by LFB) is added back in determining operating revenue because such expense relates to corporate financing activities and is not considered to be a cost directly related to the revenue of our business.</w:t>
      </w:r>
    </w:p>
    <w:p>
      <w:pPr>
        <w:ind w:left="460" w:hanging="459"/>
        <w:spacing w:after="0"/>
        <w:tabs>
          <w:tab w:leader="none" w:pos="4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Revenue related to the consolidation of noncontrolling interests is excluded from operating revenue because the Company has no economic interest in such amount.</w:t>
      </w:r>
    </w:p>
    <w:p>
      <w:pPr>
        <w:spacing w:after="0" w:line="29" w:lineRule="exact"/>
        <w:rPr>
          <w:rFonts w:ascii="Arial" w:cs="Arial" w:eastAsia="Arial" w:hAnsi="Arial"/>
          <w:sz w:val="15"/>
          <w:szCs w:val="15"/>
          <w:color w:val="auto"/>
        </w:rPr>
      </w:pPr>
    </w:p>
    <w:p>
      <w:pPr>
        <w:jc w:val="both"/>
        <w:ind w:left="460" w:right="160" w:hanging="459"/>
        <w:spacing w:after="0" w:line="281" w:lineRule="auto"/>
        <w:tabs>
          <w:tab w:leader="none" w:pos="4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Company disposed of its private equity business in Australia in the second quarter of 2015 in a transaction with the management team of the disposed business. Revenue of $24,388 relating to the disposal of the business (which primarily represents the realization of carried interest at fair value) is adjusted for the recognition of an obligation of $12,203 with the management of the disposed business, which obligation was previously recognized for U.S. GAAP.</w:t>
      </w:r>
    </w:p>
    <w:p>
      <w:pPr>
        <w:spacing w:after="0" w:line="1" w:lineRule="exact"/>
        <w:rPr>
          <w:rFonts w:ascii="Arial" w:cs="Arial" w:eastAsia="Arial" w:hAnsi="Arial"/>
          <w:sz w:val="15"/>
          <w:szCs w:val="15"/>
          <w:color w:val="auto"/>
        </w:rPr>
      </w:pPr>
    </w:p>
    <w:p>
      <w:pPr>
        <w:ind w:left="460" w:right="320" w:hanging="459"/>
        <w:spacing w:after="0" w:line="288"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changes in the fair value of investments held in connection with LFI and other similar deferred compensation arrangements for which a corresponding equal amount is excluded from compensation and benefits expense.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2300" w:type="dxa"/>
            <w:vAlign w:val="bottom"/>
            <w:gridSpan w:val="4"/>
          </w:tcPr>
          <w:p>
            <w:pPr>
              <w:jc w:val="right"/>
              <w:ind w:right="840"/>
              <w:spacing w:after="0"/>
              <w:rPr>
                <w:sz w:val="20"/>
                <w:szCs w:val="20"/>
                <w:color w:val="auto"/>
              </w:rPr>
            </w:pPr>
            <w:r>
              <w:rPr>
                <w:rFonts w:ascii="Arial" w:cs="Arial" w:eastAsia="Arial" w:hAnsi="Arial"/>
                <w:sz w:val="13"/>
                <w:szCs w:val="13"/>
                <w:b w:val="1"/>
                <w:bCs w:val="1"/>
                <w:color w:val="auto"/>
              </w:rPr>
              <w:t>Three Months Ended</w:t>
            </w:r>
          </w:p>
        </w:tc>
        <w:tc>
          <w:tcPr>
            <w:tcW w:w="196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88"/>
              </w:rPr>
              <w:t>Six Months Ended June</w:t>
            </w:r>
          </w:p>
        </w:tc>
        <w:tc>
          <w:tcPr>
            <w:tcW w:w="0" w:type="dxa"/>
            <w:vAlign w:val="bottom"/>
          </w:tcPr>
          <w:p>
            <w:pPr>
              <w:spacing w:after="0"/>
              <w:rPr>
                <w:sz w:val="1"/>
                <w:szCs w:val="1"/>
                <w:color w:val="auto"/>
              </w:rPr>
            </w:pPr>
          </w:p>
        </w:tc>
      </w:tr>
      <w:tr>
        <w:trPr>
          <w:trHeight w:val="152"/>
        </w:trPr>
        <w:tc>
          <w:tcPr>
            <w:tcW w:w="114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8"/>
              </w:rPr>
              <w:t>June 30,</w:t>
            </w:r>
          </w:p>
        </w:tc>
        <w:tc>
          <w:tcPr>
            <w:tcW w:w="640" w:type="dxa"/>
            <w:vAlign w:val="bottom"/>
            <w:tcBorders>
              <w:bottom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103"/>
              <w:spacing w:after="0"/>
              <w:rPr>
                <w:sz w:val="20"/>
                <w:szCs w:val="20"/>
                <w:color w:val="auto"/>
              </w:rPr>
            </w:pPr>
            <w:r>
              <w:rPr>
                <w:rFonts w:ascii="Arial" w:cs="Arial" w:eastAsia="Arial" w:hAnsi="Arial"/>
                <w:sz w:val="13"/>
                <w:szCs w:val="13"/>
                <w:b w:val="1"/>
                <w:bCs w:val="1"/>
                <w:color w:val="auto"/>
                <w:w w:val="88"/>
              </w:rPr>
              <w:t>30,</w:t>
            </w:r>
          </w:p>
        </w:tc>
        <w:tc>
          <w:tcPr>
            <w:tcW w:w="6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14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620" w:type="dxa"/>
            <w:vAlign w:val="bottom"/>
            <w:tcBorders>
              <w:bottom w:val="single" w:sz="8" w:color="auto"/>
            </w:tcBorders>
          </w:tcPr>
          <w:p>
            <w:pPr>
              <w:jc w:val="right"/>
              <w:ind w:right="103"/>
              <w:spacing w:after="0" w:line="132" w:lineRule="exact"/>
              <w:rPr>
                <w:sz w:val="20"/>
                <w:szCs w:val="20"/>
                <w:color w:val="auto"/>
              </w:rPr>
            </w:pPr>
            <w:r>
              <w:rPr>
                <w:rFonts w:ascii="Arial" w:cs="Arial" w:eastAsia="Arial" w:hAnsi="Arial"/>
                <w:sz w:val="13"/>
                <w:szCs w:val="13"/>
                <w:b w:val="1"/>
                <w:bCs w:val="1"/>
                <w:color w:val="auto"/>
              </w:rPr>
              <w:t>2015</w:t>
            </w:r>
          </w:p>
        </w:tc>
        <w:tc>
          <w:tcPr>
            <w:tcW w:w="5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23"/>
              <w:spacing w:after="0" w:line="132" w:lineRule="exact"/>
              <w:rPr>
                <w:sz w:val="20"/>
                <w:szCs w:val="20"/>
                <w:color w:val="auto"/>
              </w:rPr>
            </w:pPr>
            <w:r>
              <w:rPr>
                <w:rFonts w:ascii="Arial" w:cs="Arial" w:eastAsia="Arial" w:hAnsi="Arial"/>
                <w:sz w:val="13"/>
                <w:szCs w:val="13"/>
                <w:b w:val="1"/>
                <w:bCs w:val="1"/>
                <w:color w:val="auto"/>
              </w:rPr>
              <w:t>2014</w:t>
            </w: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03"/>
              <w:spacing w:after="0" w:line="132" w:lineRule="exact"/>
              <w:rPr>
                <w:sz w:val="20"/>
                <w:szCs w:val="20"/>
                <w:color w:val="auto"/>
              </w:rPr>
            </w:pPr>
            <w:r>
              <w:rPr>
                <w:rFonts w:ascii="Arial" w:cs="Arial" w:eastAsia="Arial" w:hAnsi="Arial"/>
                <w:sz w:val="13"/>
                <w:szCs w:val="13"/>
                <w:b w:val="1"/>
                <w:bCs w:val="1"/>
                <w:color w:val="auto"/>
              </w:rPr>
              <w:t>2015</w:t>
            </w: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2"/>
          </w:tcPr>
          <w:p>
            <w:pPr>
              <w:jc w:val="right"/>
              <w:ind w:right="200"/>
              <w:spacing w:after="0" w:line="132" w:lineRule="exact"/>
              <w:rPr>
                <w:sz w:val="20"/>
                <w:szCs w:val="20"/>
                <w:color w:val="auto"/>
              </w:rPr>
            </w:pPr>
            <w:r>
              <w:rPr>
                <w:rFonts w:ascii="Arial" w:cs="Arial" w:eastAsia="Arial" w:hAnsi="Arial"/>
                <w:sz w:val="13"/>
                <w:szCs w:val="13"/>
                <w:b w:val="1"/>
                <w:bCs w:val="1"/>
                <w:color w:val="auto"/>
              </w:rPr>
              <w:t>2014</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940" w:type="dxa"/>
            <w:vAlign w:val="bottom"/>
            <w:gridSpan w:val="4"/>
          </w:tcPr>
          <w:p>
            <w:pPr>
              <w:jc w:val="right"/>
              <w:ind w:right="620"/>
              <w:spacing w:after="0" w:line="144" w:lineRule="exact"/>
              <w:rPr>
                <w:sz w:val="20"/>
                <w:szCs w:val="20"/>
                <w:color w:val="auto"/>
              </w:rPr>
            </w:pPr>
            <w:r>
              <w:rPr>
                <w:rFonts w:ascii="Arial" w:cs="Arial" w:eastAsia="Arial" w:hAnsi="Arial"/>
                <w:sz w:val="13"/>
                <w:szCs w:val="13"/>
                <w:b w:val="1"/>
                <w:bCs w:val="1"/>
                <w:color w:val="auto"/>
              </w:rPr>
              <w:t>($ in thousands)</w:t>
            </w: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71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i w:val="1"/>
                <w:iCs w:val="1"/>
                <w:color w:val="auto"/>
              </w:rPr>
              <w:t>Adjusted Compensation and Benefits Expense:</w:t>
            </w: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160" w:type="dxa"/>
            <w:vAlign w:val="bottom"/>
            <w:gridSpan w:val="2"/>
          </w:tcPr>
          <w:p>
            <w:pPr>
              <w:spacing w:after="0"/>
              <w:rPr>
                <w:sz w:val="20"/>
                <w:szCs w:val="20"/>
                <w:color w:val="auto"/>
              </w:rPr>
            </w:pPr>
            <w:r>
              <w:rPr>
                <w:rFonts w:ascii="Arial" w:cs="Arial" w:eastAsia="Arial" w:hAnsi="Arial"/>
                <w:sz w:val="16"/>
                <w:szCs w:val="16"/>
                <w:color w:val="auto"/>
              </w:rPr>
              <w:t>Total compensation and benefits expense</w:t>
            </w:r>
          </w:p>
        </w:tc>
        <w:tc>
          <w:tcPr>
            <w:tcW w:w="1140" w:type="dxa"/>
            <w:vAlign w:val="bottom"/>
            <w:gridSpan w:val="2"/>
          </w:tcPr>
          <w:p>
            <w:pPr>
              <w:jc w:val="right"/>
              <w:ind w:right="457"/>
              <w:spacing w:after="0"/>
              <w:rPr>
                <w:sz w:val="20"/>
                <w:szCs w:val="20"/>
                <w:color w:val="auto"/>
              </w:rPr>
            </w:pPr>
            <w:r>
              <w:rPr>
                <w:rFonts w:ascii="Arial" w:cs="Arial" w:eastAsia="Arial" w:hAnsi="Arial"/>
                <w:sz w:val="16"/>
                <w:szCs w:val="16"/>
                <w:color w:val="auto"/>
                <w:w w:val="89"/>
              </w:rPr>
              <w:t>$336,719</w:t>
            </w:r>
          </w:p>
        </w:tc>
        <w:tc>
          <w:tcPr>
            <w:tcW w:w="1160" w:type="dxa"/>
            <w:vAlign w:val="bottom"/>
            <w:gridSpan w:val="2"/>
          </w:tcPr>
          <w:p>
            <w:pPr>
              <w:jc w:val="right"/>
              <w:ind w:right="520"/>
              <w:spacing w:after="0"/>
              <w:rPr>
                <w:sz w:val="20"/>
                <w:szCs w:val="20"/>
                <w:color w:val="auto"/>
              </w:rPr>
            </w:pPr>
            <w:r>
              <w:rPr>
                <w:rFonts w:ascii="Arial" w:cs="Arial" w:eastAsia="Arial" w:hAnsi="Arial"/>
                <w:sz w:val="16"/>
                <w:szCs w:val="16"/>
                <w:color w:val="auto"/>
                <w:w w:val="92"/>
              </w:rPr>
              <w:t>$345,924</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w w:val="89"/>
              </w:rPr>
              <w:t>$665,221</w:t>
            </w:r>
          </w:p>
        </w:tc>
        <w:tc>
          <w:tcPr>
            <w:tcW w:w="1180" w:type="dxa"/>
            <w:vAlign w:val="bottom"/>
            <w:gridSpan w:val="3"/>
          </w:tcPr>
          <w:p>
            <w:pPr>
              <w:jc w:val="right"/>
              <w:ind w:right="180"/>
              <w:spacing w:after="0"/>
              <w:rPr>
                <w:sz w:val="20"/>
                <w:szCs w:val="20"/>
                <w:color w:val="auto"/>
              </w:rPr>
            </w:pPr>
            <w:r>
              <w:rPr>
                <w:rFonts w:ascii="Arial" w:cs="Arial" w:eastAsia="Arial" w:hAnsi="Arial"/>
                <w:sz w:val="16"/>
                <w:szCs w:val="16"/>
                <w:color w:val="auto"/>
              </w:rPr>
              <w:t>$667,489</w:t>
            </w:r>
          </w:p>
        </w:tc>
        <w:tc>
          <w:tcPr>
            <w:tcW w:w="0" w:type="dxa"/>
            <w:vAlign w:val="bottom"/>
          </w:tcPr>
          <w:p>
            <w:pPr>
              <w:spacing w:after="0"/>
              <w:rPr>
                <w:sz w:val="1"/>
                <w:szCs w:val="1"/>
                <w:color w:val="auto"/>
              </w:rPr>
            </w:pPr>
          </w:p>
        </w:tc>
      </w:tr>
      <w:tr>
        <w:trPr>
          <w:trHeight w:val="202"/>
        </w:trPr>
        <w:tc>
          <w:tcPr>
            <w:tcW w:w="7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Adjustments:</w:t>
            </w: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160" w:type="dxa"/>
            <w:vAlign w:val="bottom"/>
            <w:gridSpan w:val="2"/>
          </w:tcPr>
          <w:p>
            <w:pPr>
              <w:ind w:left="400"/>
              <w:spacing w:after="0"/>
              <w:rPr>
                <w:sz w:val="20"/>
                <w:szCs w:val="20"/>
                <w:color w:val="auto"/>
              </w:rPr>
            </w:pPr>
            <w:r>
              <w:rPr>
                <w:rFonts w:ascii="Arial" w:cs="Arial" w:eastAsia="Arial" w:hAnsi="Arial"/>
                <w:sz w:val="16"/>
                <w:szCs w:val="16"/>
                <w:color w:val="auto"/>
              </w:rPr>
              <w:t>Noncontrolling interests (a)</w:t>
            </w:r>
          </w:p>
        </w:tc>
        <w:tc>
          <w:tcPr>
            <w:tcW w:w="1140" w:type="dxa"/>
            <w:vAlign w:val="bottom"/>
            <w:gridSpan w:val="2"/>
          </w:tcPr>
          <w:p>
            <w:pPr>
              <w:jc w:val="right"/>
              <w:ind w:right="397"/>
              <w:spacing w:after="0"/>
              <w:rPr>
                <w:sz w:val="20"/>
                <w:szCs w:val="20"/>
                <w:color w:val="auto"/>
              </w:rPr>
            </w:pPr>
            <w:r>
              <w:rPr>
                <w:rFonts w:ascii="Arial" w:cs="Arial" w:eastAsia="Arial" w:hAnsi="Arial"/>
                <w:sz w:val="16"/>
                <w:szCs w:val="16"/>
                <w:color w:val="auto"/>
              </w:rPr>
              <w:t>(1,184)</w:t>
            </w:r>
          </w:p>
        </w:tc>
        <w:tc>
          <w:tcPr>
            <w:tcW w:w="1160" w:type="dxa"/>
            <w:vAlign w:val="bottom"/>
            <w:gridSpan w:val="2"/>
          </w:tcPr>
          <w:p>
            <w:pPr>
              <w:jc w:val="right"/>
              <w:ind w:right="480"/>
              <w:spacing w:after="0"/>
              <w:rPr>
                <w:sz w:val="20"/>
                <w:szCs w:val="20"/>
                <w:color w:val="auto"/>
              </w:rPr>
            </w:pPr>
            <w:r>
              <w:rPr>
                <w:rFonts w:ascii="Arial" w:cs="Arial" w:eastAsia="Arial" w:hAnsi="Arial"/>
                <w:sz w:val="16"/>
                <w:szCs w:val="16"/>
                <w:color w:val="auto"/>
              </w:rPr>
              <w:t>(1,098)</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(2,401)</w:t>
            </w:r>
          </w:p>
        </w:tc>
        <w:tc>
          <w:tcPr>
            <w:tcW w:w="1180" w:type="dxa"/>
            <w:vAlign w:val="bottom"/>
            <w:gridSpan w:val="3"/>
          </w:tcPr>
          <w:p>
            <w:pPr>
              <w:jc w:val="right"/>
              <w:ind w:right="120"/>
              <w:spacing w:after="0"/>
              <w:rPr>
                <w:sz w:val="20"/>
                <w:szCs w:val="20"/>
                <w:color w:val="auto"/>
              </w:rPr>
            </w:pPr>
            <w:r>
              <w:rPr>
                <w:rFonts w:ascii="Arial" w:cs="Arial" w:eastAsia="Arial" w:hAnsi="Arial"/>
                <w:sz w:val="16"/>
                <w:szCs w:val="16"/>
                <w:color w:val="auto"/>
              </w:rPr>
              <w:t>(2,246)</w:t>
            </w:r>
          </w:p>
        </w:tc>
        <w:tc>
          <w:tcPr>
            <w:tcW w:w="0" w:type="dxa"/>
            <w:vAlign w:val="bottom"/>
          </w:tcPr>
          <w:p>
            <w:pPr>
              <w:spacing w:after="0"/>
              <w:rPr>
                <w:sz w:val="1"/>
                <w:szCs w:val="1"/>
                <w:color w:val="auto"/>
              </w:rPr>
            </w:pPr>
          </w:p>
        </w:tc>
      </w:tr>
      <w:tr>
        <w:trPr>
          <w:trHeight w:val="202"/>
        </w:trPr>
        <w:tc>
          <w:tcPr>
            <w:tcW w:w="716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(Charges) credits pertaining to LFI (b)</w:t>
            </w:r>
          </w:p>
        </w:tc>
        <w:tc>
          <w:tcPr>
            <w:tcW w:w="1140" w:type="dxa"/>
            <w:vAlign w:val="bottom"/>
            <w:gridSpan w:val="2"/>
            <w:shd w:val="clear" w:color="auto" w:fill="CCEEFF"/>
          </w:tcPr>
          <w:p>
            <w:pPr>
              <w:jc w:val="right"/>
              <w:ind w:right="457"/>
              <w:spacing w:after="0"/>
              <w:rPr>
                <w:sz w:val="20"/>
                <w:szCs w:val="20"/>
                <w:color w:val="auto"/>
              </w:rPr>
            </w:pPr>
            <w:r>
              <w:rPr>
                <w:rFonts w:ascii="Arial" w:cs="Arial" w:eastAsia="Arial" w:hAnsi="Arial"/>
                <w:sz w:val="16"/>
                <w:szCs w:val="16"/>
                <w:color w:val="auto"/>
              </w:rPr>
              <w:t>1,894</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(8,906)</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(2,242)</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(11,532)</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6"/>
                <w:szCs w:val="16"/>
                <w:color w:val="auto"/>
              </w:rPr>
              <w:t>Adjusted compensation and benefits expense</w:t>
            </w: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160" w:type="dxa"/>
            <w:vAlign w:val="bottom"/>
            <w:gridSpan w:val="2"/>
            <w:vMerge w:val="continue"/>
          </w:tcPr>
          <w:p>
            <w:pPr>
              <w:spacing w:after="0"/>
              <w:rPr>
                <w:sz w:val="17"/>
                <w:szCs w:val="17"/>
                <w:color w:val="auto"/>
              </w:rPr>
            </w:pPr>
          </w:p>
        </w:tc>
        <w:tc>
          <w:tcPr>
            <w:tcW w:w="1140" w:type="dxa"/>
            <w:vAlign w:val="bottom"/>
            <w:gridSpan w:val="2"/>
          </w:tcPr>
          <w:p>
            <w:pPr>
              <w:jc w:val="right"/>
              <w:ind w:right="457"/>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337,429</w:t>
            </w:r>
          </w:p>
        </w:tc>
        <w:tc>
          <w:tcPr>
            <w:tcW w:w="1160" w:type="dxa"/>
            <w:vAlign w:val="bottom"/>
            <w:gridSpan w:val="2"/>
          </w:tcPr>
          <w:p>
            <w:pPr>
              <w:jc w:val="right"/>
              <w:ind w:right="520"/>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335,920</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660,578</w:t>
            </w:r>
          </w:p>
        </w:tc>
        <w:tc>
          <w:tcPr>
            <w:tcW w:w="1180" w:type="dxa"/>
            <w:vAlign w:val="bottom"/>
            <w:gridSpan w:val="3"/>
          </w:tcPr>
          <w:p>
            <w:pPr>
              <w:jc w:val="right"/>
              <w:ind w:right="180"/>
              <w:spacing w:after="0"/>
              <w:rPr>
                <w:sz w:val="20"/>
                <w:szCs w:val="20"/>
                <w:color w:val="auto"/>
              </w:rPr>
            </w:pPr>
            <w:r>
              <w:rPr>
                <w:rFonts w:ascii="Arial" w:cs="Arial" w:eastAsia="Arial" w:hAnsi="Arial"/>
                <w:sz w:val="16"/>
                <w:szCs w:val="16"/>
                <w:color w:val="auto"/>
              </w:rPr>
              <w:t>$ 653,711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compensation and benefits expense, as a % of operating revenue</w:t>
            </w:r>
          </w:p>
        </w:tc>
        <w:tc>
          <w:tcPr>
            <w:tcW w:w="1140" w:type="dxa"/>
            <w:vAlign w:val="bottom"/>
            <w:gridSpan w:val="2"/>
            <w:shd w:val="clear" w:color="auto" w:fill="CCEEFF"/>
          </w:tcPr>
          <w:p>
            <w:pPr>
              <w:jc w:val="right"/>
              <w:ind w:right="317"/>
              <w:spacing w:after="0"/>
              <w:rPr>
                <w:sz w:val="20"/>
                <w:szCs w:val="20"/>
                <w:color w:val="auto"/>
              </w:rPr>
            </w:pPr>
            <w:r>
              <w:rPr>
                <w:rFonts w:ascii="Arial" w:cs="Arial" w:eastAsia="Arial" w:hAnsi="Arial"/>
                <w:sz w:val="16"/>
                <w:szCs w:val="16"/>
                <w:color w:val="auto"/>
              </w:rPr>
              <w:t>55.6%</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58.8%</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55.6%</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58.8%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1140" w:type="dxa"/>
            <w:vAlign w:val="bottom"/>
            <w:tcBorders>
              <w:bottom w:val="single" w:sz="8" w:color="auto"/>
            </w:tcBorders>
          </w:tcPr>
          <w:p>
            <w:pPr>
              <w:spacing w:after="0"/>
              <w:rPr>
                <w:sz w:val="7"/>
                <w:szCs w:val="7"/>
                <w:color w:val="auto"/>
              </w:rPr>
            </w:pPr>
          </w:p>
        </w:tc>
        <w:tc>
          <w:tcPr>
            <w:tcW w:w="60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460" w:hanging="459"/>
        <w:spacing w:after="0"/>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Expenses related to the consolidation of noncontrolling interests are excluded because Lazard has no economic interest in such amounts.</w:t>
      </w:r>
    </w:p>
    <w:p>
      <w:pPr>
        <w:spacing w:after="0" w:line="24" w:lineRule="exact"/>
        <w:rPr>
          <w:rFonts w:ascii="Arial" w:cs="Arial" w:eastAsia="Arial" w:hAnsi="Arial"/>
          <w:sz w:val="16"/>
          <w:szCs w:val="16"/>
          <w:color w:val="auto"/>
        </w:rPr>
      </w:pPr>
    </w:p>
    <w:p>
      <w:pPr>
        <w:ind w:left="460" w:right="100" w:hanging="459"/>
        <w:spacing w:after="0" w:line="288"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changes in fair value of the compensation liability recorded in connection with LFI and other similar deferred incentive compensation awards for which a corresponding equal amount is excluded from operating revenue.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440" w:right="23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320" w:type="dxa"/>
            <w:vAlign w:val="bottom"/>
            <w:gridSpan w:val="4"/>
          </w:tcPr>
          <w:p>
            <w:pPr>
              <w:jc w:val="right"/>
              <w:ind w:right="840"/>
              <w:spacing w:after="0"/>
              <w:rPr>
                <w:sz w:val="20"/>
                <w:szCs w:val="20"/>
                <w:color w:val="auto"/>
              </w:rPr>
            </w:pPr>
            <w:r>
              <w:rPr>
                <w:rFonts w:ascii="Arial" w:cs="Arial" w:eastAsia="Arial" w:hAnsi="Arial"/>
                <w:sz w:val="13"/>
                <w:szCs w:val="13"/>
                <w:b w:val="1"/>
                <w:bCs w:val="1"/>
                <w:color w:val="auto"/>
              </w:rPr>
              <w:t>Three Months Ended</w:t>
            </w:r>
          </w:p>
        </w:tc>
        <w:tc>
          <w:tcPr>
            <w:tcW w:w="2000" w:type="dxa"/>
            <w:vAlign w:val="bottom"/>
            <w:gridSpan w:val="4"/>
          </w:tcPr>
          <w:p>
            <w:pPr>
              <w:jc w:val="right"/>
              <w:ind w:right="60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52"/>
        </w:trPr>
        <w:tc>
          <w:tcPr>
            <w:tcW w:w="114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8"/>
              </w:rPr>
              <w:t>June 30,</w:t>
            </w:r>
          </w:p>
        </w:tc>
        <w:tc>
          <w:tcPr>
            <w:tcW w:w="660" w:type="dxa"/>
            <w:vAlign w:val="bottom"/>
            <w:tcBorders>
              <w:bottom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June 30,</w:t>
            </w:r>
          </w:p>
        </w:tc>
        <w:tc>
          <w:tcPr>
            <w:tcW w:w="6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14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40" w:type="dxa"/>
            <w:vAlign w:val="bottom"/>
            <w:tcBorders>
              <w:bottom w:val="single" w:sz="8" w:color="auto"/>
            </w:tcBorders>
          </w:tcPr>
          <w:p>
            <w:pPr>
              <w:jc w:val="right"/>
              <w:ind w:right="130"/>
              <w:spacing w:after="0" w:line="132" w:lineRule="exact"/>
              <w:rPr>
                <w:sz w:val="20"/>
                <w:szCs w:val="20"/>
                <w:color w:val="auto"/>
              </w:rPr>
            </w:pPr>
            <w:r>
              <w:rPr>
                <w:rFonts w:ascii="Arial" w:cs="Arial" w:eastAsia="Arial" w:hAnsi="Arial"/>
                <w:sz w:val="13"/>
                <w:szCs w:val="13"/>
                <w:b w:val="1"/>
                <w:bCs w:val="1"/>
                <w:color w:val="auto"/>
              </w:rPr>
              <w:t>2015</w:t>
            </w:r>
          </w:p>
        </w:tc>
        <w:tc>
          <w:tcPr>
            <w:tcW w:w="5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23"/>
              <w:spacing w:after="0" w:line="132" w:lineRule="exact"/>
              <w:rPr>
                <w:sz w:val="20"/>
                <w:szCs w:val="20"/>
                <w:color w:val="auto"/>
              </w:rPr>
            </w:pPr>
            <w:r>
              <w:rPr>
                <w:rFonts w:ascii="Arial" w:cs="Arial" w:eastAsia="Arial" w:hAnsi="Arial"/>
                <w:sz w:val="13"/>
                <w:szCs w:val="13"/>
                <w:b w:val="1"/>
                <w:bCs w:val="1"/>
                <w:color w:val="auto"/>
              </w:rPr>
              <w:t>2014</w:t>
            </w: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spacing w:after="0" w:line="132" w:lineRule="exact"/>
              <w:rPr>
                <w:sz w:val="20"/>
                <w:szCs w:val="20"/>
                <w:color w:val="auto"/>
              </w:rPr>
            </w:pPr>
            <w:r>
              <w:rPr>
                <w:rFonts w:ascii="Arial" w:cs="Arial" w:eastAsia="Arial" w:hAnsi="Arial"/>
                <w:sz w:val="13"/>
                <w:szCs w:val="13"/>
                <w:b w:val="1"/>
                <w:bCs w:val="1"/>
                <w:color w:val="auto"/>
                <w:w w:val="89"/>
              </w:rPr>
              <w:t>2015</w:t>
            </w:r>
          </w:p>
        </w:tc>
        <w:tc>
          <w:tcPr>
            <w:tcW w:w="5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41"/>
              <w:spacing w:after="0" w:line="132" w:lineRule="exact"/>
              <w:rPr>
                <w:sz w:val="20"/>
                <w:szCs w:val="20"/>
                <w:color w:val="auto"/>
              </w:rPr>
            </w:pPr>
            <w:r>
              <w:rPr>
                <w:rFonts w:ascii="Arial" w:cs="Arial" w:eastAsia="Arial" w:hAnsi="Arial"/>
                <w:sz w:val="13"/>
                <w:szCs w:val="13"/>
                <w:b w:val="1"/>
                <w:bCs w:val="1"/>
                <w:color w:val="auto"/>
              </w:rPr>
              <w:t>2014</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320" w:type="dxa"/>
            <w:vAlign w:val="bottom"/>
            <w:gridSpan w:val="4"/>
          </w:tcPr>
          <w:p>
            <w:pPr>
              <w:jc w:val="right"/>
              <w:ind w:right="897"/>
              <w:spacing w:after="0" w:line="144" w:lineRule="exact"/>
              <w:rPr>
                <w:sz w:val="20"/>
                <w:szCs w:val="20"/>
                <w:color w:val="auto"/>
              </w:rPr>
            </w:pPr>
            <w:r>
              <w:rPr>
                <w:rFonts w:ascii="Arial" w:cs="Arial" w:eastAsia="Arial" w:hAnsi="Arial"/>
                <w:sz w:val="13"/>
                <w:szCs w:val="13"/>
                <w:b w:val="1"/>
                <w:bCs w:val="1"/>
                <w:color w:val="auto"/>
              </w:rPr>
              <w:t>($ in thousands)</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57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i w:val="1"/>
                <w:iCs w:val="1"/>
                <w:color w:val="auto"/>
              </w:rPr>
              <w:t>Adjusted Non-Compensation Expense:</w:t>
            </w:r>
          </w:p>
        </w:tc>
        <w:tc>
          <w:tcPr>
            <w:tcW w:w="1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20" w:type="dxa"/>
            <w:vAlign w:val="bottom"/>
            <w:gridSpan w:val="2"/>
          </w:tcPr>
          <w:p>
            <w:pPr>
              <w:spacing w:after="0"/>
              <w:rPr>
                <w:sz w:val="20"/>
                <w:szCs w:val="20"/>
                <w:color w:val="auto"/>
              </w:rPr>
            </w:pPr>
            <w:r>
              <w:rPr>
                <w:rFonts w:ascii="Arial" w:cs="Arial" w:eastAsia="Arial" w:hAnsi="Arial"/>
                <w:sz w:val="16"/>
                <w:szCs w:val="16"/>
                <w:color w:val="auto"/>
              </w:rPr>
              <w:t>Total non-compensation expense</w:t>
            </w:r>
          </w:p>
        </w:tc>
        <w:tc>
          <w:tcPr>
            <w:tcW w:w="2520" w:type="dxa"/>
            <w:vAlign w:val="bottom"/>
            <w:gridSpan w:val="3"/>
          </w:tcPr>
          <w:p>
            <w:pPr>
              <w:jc w:val="right"/>
              <w:ind w:right="437"/>
              <w:spacing w:after="0"/>
              <w:rPr>
                <w:sz w:val="20"/>
                <w:szCs w:val="20"/>
                <w:color w:val="auto"/>
              </w:rPr>
            </w:pPr>
            <w:r>
              <w:rPr>
                <w:rFonts w:ascii="Arial" w:cs="Arial" w:eastAsia="Arial" w:hAnsi="Arial"/>
                <w:sz w:val="16"/>
                <w:szCs w:val="16"/>
                <w:color w:val="auto"/>
              </w:rPr>
              <w:t>$109,944</w:t>
            </w:r>
          </w:p>
        </w:tc>
        <w:tc>
          <w:tcPr>
            <w:tcW w:w="660" w:type="dxa"/>
            <w:vAlign w:val="bottom"/>
          </w:tcPr>
          <w:p>
            <w:pPr>
              <w:jc w:val="right"/>
              <w:spacing w:after="0"/>
              <w:rPr>
                <w:sz w:val="20"/>
                <w:szCs w:val="20"/>
                <w:color w:val="auto"/>
              </w:rPr>
            </w:pPr>
            <w:r>
              <w:rPr>
                <w:rFonts w:ascii="Arial" w:cs="Arial" w:eastAsia="Arial" w:hAnsi="Arial"/>
                <w:sz w:val="16"/>
                <w:szCs w:val="16"/>
                <w:color w:val="auto"/>
                <w:w w:val="95"/>
              </w:rPr>
              <w:t>$112,046</w:t>
            </w:r>
          </w:p>
        </w:tc>
        <w:tc>
          <w:tcPr>
            <w:tcW w:w="52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Arial" w:cs="Arial" w:eastAsia="Arial" w:hAnsi="Arial"/>
                <w:sz w:val="16"/>
                <w:szCs w:val="16"/>
                <w:color w:val="auto"/>
                <w:w w:val="92"/>
              </w:rPr>
              <w:t>$276,960</w:t>
            </w:r>
          </w:p>
        </w:tc>
        <w:tc>
          <w:tcPr>
            <w:tcW w:w="52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w w:val="98"/>
              </w:rPr>
              <w:t>$215,481</w:t>
            </w:r>
          </w:p>
        </w:tc>
        <w:tc>
          <w:tcPr>
            <w:tcW w:w="0" w:type="dxa"/>
            <w:vAlign w:val="bottom"/>
          </w:tcPr>
          <w:p>
            <w:pPr>
              <w:spacing w:after="0"/>
              <w:rPr>
                <w:sz w:val="1"/>
                <w:szCs w:val="1"/>
                <w:color w:val="auto"/>
              </w:rPr>
            </w:pPr>
          </w:p>
        </w:tc>
      </w:tr>
      <w:tr>
        <w:trPr>
          <w:trHeight w:val="202"/>
        </w:trPr>
        <w:tc>
          <w:tcPr>
            <w:tcW w:w="5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Adjustments:</w:t>
            </w:r>
          </w:p>
        </w:tc>
        <w:tc>
          <w:tcPr>
            <w:tcW w:w="1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20" w:type="dxa"/>
            <w:vAlign w:val="bottom"/>
            <w:gridSpan w:val="2"/>
          </w:tcPr>
          <w:p>
            <w:pPr>
              <w:ind w:left="400"/>
              <w:spacing w:after="0"/>
              <w:rPr>
                <w:sz w:val="20"/>
                <w:szCs w:val="20"/>
                <w:color w:val="auto"/>
              </w:rPr>
            </w:pPr>
            <w:r>
              <w:rPr>
                <w:rFonts w:ascii="Arial" w:cs="Arial" w:eastAsia="Arial" w:hAnsi="Arial"/>
                <w:sz w:val="16"/>
                <w:szCs w:val="16"/>
                <w:color w:val="auto"/>
              </w:rPr>
              <w:t>Noncontrolling interests (a)</w:t>
            </w:r>
          </w:p>
        </w:tc>
        <w:tc>
          <w:tcPr>
            <w:tcW w:w="2520" w:type="dxa"/>
            <w:vAlign w:val="bottom"/>
            <w:gridSpan w:val="3"/>
          </w:tcPr>
          <w:p>
            <w:pPr>
              <w:jc w:val="right"/>
              <w:ind w:right="397"/>
              <w:spacing w:after="0"/>
              <w:rPr>
                <w:sz w:val="20"/>
                <w:szCs w:val="20"/>
                <w:color w:val="auto"/>
              </w:rPr>
            </w:pPr>
            <w:r>
              <w:rPr>
                <w:rFonts w:ascii="Arial" w:cs="Arial" w:eastAsia="Arial" w:hAnsi="Arial"/>
                <w:sz w:val="16"/>
                <w:szCs w:val="16"/>
                <w:color w:val="auto"/>
              </w:rPr>
              <w:t>(352)</w:t>
            </w:r>
          </w:p>
        </w:tc>
        <w:tc>
          <w:tcPr>
            <w:tcW w:w="1180" w:type="dxa"/>
            <w:vAlign w:val="bottom"/>
            <w:gridSpan w:val="2"/>
          </w:tcPr>
          <w:p>
            <w:pPr>
              <w:jc w:val="right"/>
              <w:ind w:right="460"/>
              <w:spacing w:after="0"/>
              <w:rPr>
                <w:sz w:val="20"/>
                <w:szCs w:val="20"/>
                <w:color w:val="auto"/>
              </w:rPr>
            </w:pPr>
            <w:r>
              <w:rPr>
                <w:rFonts w:ascii="Arial" w:cs="Arial" w:eastAsia="Arial" w:hAnsi="Arial"/>
                <w:sz w:val="16"/>
                <w:szCs w:val="16"/>
                <w:color w:val="auto"/>
              </w:rPr>
              <w:t>(567)</w:t>
            </w:r>
          </w:p>
        </w:tc>
        <w:tc>
          <w:tcPr>
            <w:tcW w:w="1140" w:type="dxa"/>
            <w:vAlign w:val="bottom"/>
            <w:gridSpan w:val="2"/>
          </w:tcPr>
          <w:p>
            <w:pPr>
              <w:jc w:val="right"/>
              <w:ind w:right="397"/>
              <w:spacing w:after="0"/>
              <w:rPr>
                <w:sz w:val="20"/>
                <w:szCs w:val="20"/>
                <w:color w:val="auto"/>
              </w:rPr>
            </w:pPr>
            <w:r>
              <w:rPr>
                <w:rFonts w:ascii="Arial" w:cs="Arial" w:eastAsia="Arial" w:hAnsi="Arial"/>
                <w:sz w:val="16"/>
                <w:szCs w:val="16"/>
                <w:color w:val="auto"/>
              </w:rPr>
              <w:t>(715)</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(1,001)</w:t>
            </w:r>
          </w:p>
        </w:tc>
        <w:tc>
          <w:tcPr>
            <w:tcW w:w="0" w:type="dxa"/>
            <w:vAlign w:val="bottom"/>
          </w:tcPr>
          <w:p>
            <w:pPr>
              <w:spacing w:after="0"/>
              <w:rPr>
                <w:sz w:val="1"/>
                <w:szCs w:val="1"/>
                <w:color w:val="auto"/>
              </w:rPr>
            </w:pPr>
          </w:p>
        </w:tc>
      </w:tr>
      <w:tr>
        <w:trPr>
          <w:trHeight w:val="202"/>
        </w:trPr>
        <w:tc>
          <w:tcPr>
            <w:tcW w:w="572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Charges pertaining to senior debt refinancing (b)</w:t>
            </w:r>
          </w:p>
        </w:tc>
        <w:tc>
          <w:tcPr>
            <w:tcW w:w="13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397"/>
              <w:spacing w:after="0"/>
              <w:rPr>
                <w:sz w:val="20"/>
                <w:szCs w:val="20"/>
                <w:color w:val="auto"/>
              </w:rPr>
            </w:pPr>
            <w:r>
              <w:rPr>
                <w:rFonts w:ascii="Arial" w:cs="Arial" w:eastAsia="Arial" w:hAnsi="Arial"/>
                <w:sz w:val="16"/>
                <w:szCs w:val="16"/>
                <w:color w:val="auto"/>
              </w:rPr>
              <w:t>(60,219)</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6"/>
                <w:szCs w:val="16"/>
                <w:color w:val="auto"/>
              </w:rPr>
              <w:t>Adjusted non-compensation expense</w:t>
            </w:r>
          </w:p>
        </w:tc>
        <w:tc>
          <w:tcPr>
            <w:tcW w:w="1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720" w:type="dxa"/>
            <w:vAlign w:val="bottom"/>
            <w:gridSpan w:val="2"/>
            <w:vMerge w:val="continue"/>
          </w:tcPr>
          <w:p>
            <w:pPr>
              <w:spacing w:after="0"/>
              <w:rPr>
                <w:sz w:val="17"/>
                <w:szCs w:val="17"/>
                <w:color w:val="auto"/>
              </w:rPr>
            </w:pPr>
          </w:p>
        </w:tc>
        <w:tc>
          <w:tcPr>
            <w:tcW w:w="2520" w:type="dxa"/>
            <w:vAlign w:val="bottom"/>
            <w:gridSpan w:val="3"/>
          </w:tcPr>
          <w:p>
            <w:pPr>
              <w:jc w:val="right"/>
              <w:ind w:right="437"/>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109,592</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u w:val="single" w:color="auto"/>
                <w:color w:val="auto"/>
                <w:w w:val="95"/>
              </w:rPr>
              <w:t>$</w:t>
            </w:r>
            <w:r>
              <w:rPr>
                <w:rFonts w:ascii="Arial" w:cs="Arial" w:eastAsia="Arial" w:hAnsi="Arial"/>
                <w:sz w:val="16"/>
                <w:szCs w:val="16"/>
                <w:color w:val="auto"/>
                <w:w w:val="95"/>
              </w:rPr>
              <w:t>111,479</w:t>
            </w:r>
          </w:p>
        </w:tc>
        <w:tc>
          <w:tcPr>
            <w:tcW w:w="620" w:type="dxa"/>
            <w:vAlign w:val="bottom"/>
          </w:tcPr>
          <w:p>
            <w:pPr>
              <w:jc w:val="center"/>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216,026</w:t>
            </w:r>
          </w:p>
        </w:tc>
        <w:tc>
          <w:tcPr>
            <w:tcW w:w="52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u w:val="single" w:color="auto"/>
                <w:color w:val="auto"/>
                <w:w w:val="98"/>
              </w:rPr>
              <w:t>$</w:t>
            </w:r>
            <w:r>
              <w:rPr>
                <w:rFonts w:ascii="Arial" w:cs="Arial" w:eastAsia="Arial" w:hAnsi="Arial"/>
                <w:sz w:val="16"/>
                <w:szCs w:val="16"/>
                <w:color w:val="auto"/>
                <w:w w:val="98"/>
              </w:rPr>
              <w:t>214,480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non-compensation expense, as a % of operating revenue</w:t>
            </w:r>
          </w:p>
        </w:tc>
        <w:tc>
          <w:tcPr>
            <w:tcW w:w="2520" w:type="dxa"/>
            <w:vAlign w:val="bottom"/>
            <w:gridSpan w:val="3"/>
            <w:shd w:val="clear" w:color="auto" w:fill="CCEEFF"/>
          </w:tcPr>
          <w:p>
            <w:pPr>
              <w:jc w:val="right"/>
              <w:ind w:right="317"/>
              <w:spacing w:after="0"/>
              <w:rPr>
                <w:sz w:val="20"/>
                <w:szCs w:val="20"/>
                <w:color w:val="auto"/>
              </w:rPr>
            </w:pPr>
            <w:r>
              <w:rPr>
                <w:rFonts w:ascii="Arial" w:cs="Arial" w:eastAsia="Arial" w:hAnsi="Arial"/>
                <w:sz w:val="16"/>
                <w:szCs w:val="16"/>
                <w:color w:val="auto"/>
              </w:rPr>
              <w:t>18.1%</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19.5%</w:t>
            </w:r>
          </w:p>
        </w:tc>
        <w:tc>
          <w:tcPr>
            <w:tcW w:w="1140" w:type="dxa"/>
            <w:vAlign w:val="bottom"/>
            <w:gridSpan w:val="2"/>
            <w:shd w:val="clear" w:color="auto" w:fill="CCEEFF"/>
          </w:tcPr>
          <w:p>
            <w:pPr>
              <w:jc w:val="right"/>
              <w:ind w:right="317"/>
              <w:spacing w:after="0"/>
              <w:rPr>
                <w:sz w:val="20"/>
                <w:szCs w:val="20"/>
                <w:color w:val="auto"/>
              </w:rPr>
            </w:pPr>
            <w:r>
              <w:rPr>
                <w:rFonts w:ascii="Arial" w:cs="Arial" w:eastAsia="Arial" w:hAnsi="Arial"/>
                <w:sz w:val="16"/>
                <w:szCs w:val="16"/>
                <w:color w:val="auto"/>
              </w:rPr>
              <w:t>18.2%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1140" w:type="dxa"/>
            <w:vAlign w:val="bottom"/>
            <w:tcBorders>
              <w:bottom w:val="single" w:sz="8" w:color="auto"/>
            </w:tcBorders>
          </w:tcPr>
          <w:p>
            <w:pPr>
              <w:spacing w:after="0"/>
              <w:rPr>
                <w:sz w:val="7"/>
                <w:szCs w:val="7"/>
                <w:color w:val="auto"/>
              </w:rPr>
            </w:pPr>
          </w:p>
        </w:tc>
        <w:tc>
          <w:tcPr>
            <w:tcW w:w="45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460" w:hanging="459"/>
        <w:spacing w:after="0"/>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Expenses related to the consolidation of noncontrolling interests are excluded because the Company has no economic interest in such amounts.</w:t>
      </w:r>
    </w:p>
    <w:p>
      <w:pPr>
        <w:spacing w:after="0" w:line="24" w:lineRule="exact"/>
        <w:rPr>
          <w:rFonts w:ascii="Arial" w:cs="Arial" w:eastAsia="Arial" w:hAnsi="Arial"/>
          <w:sz w:val="16"/>
          <w:szCs w:val="16"/>
          <w:color w:val="auto"/>
        </w:rPr>
      </w:pPr>
    </w:p>
    <w:p>
      <w:pPr>
        <w:ind w:left="460" w:right="20" w:hanging="459"/>
        <w:spacing w:after="0" w:line="288"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Charges pertaining to the redemption of a substantial majority of the Company’s 2017 Notes are excluded because of the non-recurring nature of such transaction. See “—Liquidity and Capital Resources—Financing Activities.”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480" w:type="dxa"/>
            <w:vAlign w:val="bottom"/>
            <w:gridSpan w:val="7"/>
          </w:tcPr>
          <w:p>
            <w:pPr>
              <w:ind w:left="40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20" w:type="dxa"/>
            <w:vAlign w:val="bottom"/>
            <w:gridSpan w:val="11"/>
          </w:tcPr>
          <w:p>
            <w:pPr>
              <w:jc w:val="center"/>
              <w:ind w:right="660"/>
              <w:spacing w:after="0"/>
              <w:rPr>
                <w:sz w:val="20"/>
                <w:szCs w:val="20"/>
                <w:color w:val="auto"/>
              </w:rPr>
            </w:pPr>
            <w:r>
              <w:rPr>
                <w:rFonts w:ascii="Arial" w:cs="Arial" w:eastAsia="Arial" w:hAnsi="Arial"/>
                <w:sz w:val="13"/>
                <w:szCs w:val="13"/>
                <w:b w:val="1"/>
                <w:bCs w:val="1"/>
                <w:color w:val="auto"/>
                <w:w w:val="88"/>
              </w:rPr>
              <w:t>Six Months Ended</w:t>
            </w:r>
          </w:p>
        </w:tc>
        <w:tc>
          <w:tcPr>
            <w:tcW w:w="0" w:type="dxa"/>
            <w:vAlign w:val="bottom"/>
          </w:tcPr>
          <w:p>
            <w:pPr>
              <w:spacing w:after="0"/>
              <w:rPr>
                <w:sz w:val="1"/>
                <w:szCs w:val="1"/>
                <w:color w:val="auto"/>
              </w:rPr>
            </w:pPr>
          </w:p>
        </w:tc>
      </w:tr>
      <w:tr>
        <w:trPr>
          <w:trHeight w:val="152"/>
        </w:trPr>
        <w:tc>
          <w:tcPr>
            <w:tcW w:w="46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June 30,</w:t>
            </w:r>
          </w:p>
        </w:tc>
        <w:tc>
          <w:tcPr>
            <w:tcW w:w="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8"/>
              </w:rPr>
              <w:t>June 30,</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6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680" w:type="dxa"/>
            <w:vAlign w:val="bottom"/>
            <w:tcBorders>
              <w:bottom w:val="single" w:sz="8" w:color="auto"/>
            </w:tcBorders>
          </w:tcPr>
          <w:p>
            <w:pPr>
              <w:jc w:val="right"/>
              <w:ind w:right="150"/>
              <w:spacing w:after="0" w:line="132" w:lineRule="exact"/>
              <w:rPr>
                <w:sz w:val="20"/>
                <w:szCs w:val="20"/>
                <w:color w:val="auto"/>
              </w:rPr>
            </w:pPr>
            <w:r>
              <w:rPr>
                <w:rFonts w:ascii="Arial" w:cs="Arial" w:eastAsia="Arial" w:hAnsi="Arial"/>
                <w:sz w:val="13"/>
                <w:szCs w:val="13"/>
                <w:b w:val="1"/>
                <w:bCs w:val="1"/>
                <w:color w:val="auto"/>
              </w:rPr>
              <w:t>2015</w:t>
            </w:r>
          </w:p>
        </w:tc>
        <w:tc>
          <w:tcPr>
            <w:tcW w:w="5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jc w:val="center"/>
              <w:spacing w:after="0" w:line="132" w:lineRule="exact"/>
              <w:rPr>
                <w:sz w:val="20"/>
                <w:szCs w:val="20"/>
                <w:color w:val="auto"/>
              </w:rPr>
            </w:pPr>
            <w:r>
              <w:rPr>
                <w:rFonts w:ascii="Arial" w:cs="Arial" w:eastAsia="Arial" w:hAnsi="Arial"/>
                <w:sz w:val="13"/>
                <w:szCs w:val="13"/>
                <w:b w:val="1"/>
                <w:bCs w:val="1"/>
                <w:color w:val="auto"/>
                <w:w w:val="89"/>
              </w:rPr>
              <w:t>2014</w:t>
            </w:r>
          </w:p>
        </w:tc>
        <w:tc>
          <w:tcPr>
            <w:tcW w:w="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jc w:val="right"/>
              <w:ind w:right="177"/>
              <w:spacing w:after="0" w:line="132" w:lineRule="exact"/>
              <w:rPr>
                <w:sz w:val="20"/>
                <w:szCs w:val="20"/>
                <w:color w:val="auto"/>
              </w:rPr>
            </w:pPr>
            <w:r>
              <w:rPr>
                <w:rFonts w:ascii="Arial" w:cs="Arial" w:eastAsia="Arial" w:hAnsi="Arial"/>
                <w:sz w:val="13"/>
                <w:szCs w:val="13"/>
                <w:b w:val="1"/>
                <w:bCs w:val="1"/>
                <w:color w:val="auto"/>
              </w:rPr>
              <w:t>2015</w:t>
            </w: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3"/>
          </w:tcPr>
          <w:p>
            <w:pPr>
              <w:jc w:val="right"/>
              <w:ind w:right="158"/>
              <w:spacing w:after="0" w:line="132" w:lineRule="exact"/>
              <w:rPr>
                <w:sz w:val="20"/>
                <w:szCs w:val="20"/>
                <w:color w:val="auto"/>
              </w:rPr>
            </w:pPr>
            <w:r>
              <w:rPr>
                <w:rFonts w:ascii="Arial" w:cs="Arial" w:eastAsia="Arial" w:hAnsi="Arial"/>
                <w:sz w:val="13"/>
                <w:szCs w:val="13"/>
                <w:b w:val="1"/>
                <w:bCs w:val="1"/>
                <w:color w:val="auto"/>
              </w:rPr>
              <w:t>2014</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6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20" w:type="dxa"/>
            <w:vAlign w:val="bottom"/>
            <w:gridSpan w:val="11"/>
          </w:tcPr>
          <w:p>
            <w:pPr>
              <w:ind w:left="620"/>
              <w:spacing w:after="0" w:line="144" w:lineRule="exact"/>
              <w:rPr>
                <w:sz w:val="20"/>
                <w:szCs w:val="20"/>
                <w:color w:val="auto"/>
              </w:rPr>
            </w:pPr>
            <w:r>
              <w:rPr>
                <w:rFonts w:ascii="Arial" w:cs="Arial" w:eastAsia="Arial" w:hAnsi="Arial"/>
                <w:sz w:val="13"/>
                <w:szCs w:val="13"/>
                <w:b w:val="1"/>
                <w:bCs w:val="1"/>
                <w:color w:val="auto"/>
              </w:rPr>
              <w:t>($ in thousands)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460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Earnings From Operations:</w:t>
            </w:r>
          </w:p>
        </w:tc>
        <w:tc>
          <w:tcPr>
            <w:tcW w:w="19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0" w:type="dxa"/>
            <w:vAlign w:val="bottom"/>
          </w:tcPr>
          <w:p>
            <w:pPr>
              <w:spacing w:after="0"/>
              <w:rPr>
                <w:sz w:val="20"/>
                <w:szCs w:val="20"/>
                <w:color w:val="auto"/>
              </w:rPr>
            </w:pPr>
            <w:r>
              <w:rPr>
                <w:rFonts w:ascii="Arial" w:cs="Arial" w:eastAsia="Arial" w:hAnsi="Arial"/>
                <w:sz w:val="16"/>
                <w:szCs w:val="16"/>
                <w:color w:val="auto"/>
              </w:rPr>
              <w:t>Operating revenue</w:t>
            </w:r>
          </w:p>
        </w:tc>
        <w:tc>
          <w:tcPr>
            <w:tcW w:w="2640" w:type="dxa"/>
            <w:vAlign w:val="bottom"/>
            <w:gridSpan w:val="2"/>
          </w:tcPr>
          <w:p>
            <w:pPr>
              <w:jc w:val="right"/>
              <w:spacing w:after="0"/>
              <w:rPr>
                <w:sz w:val="20"/>
                <w:szCs w:val="20"/>
                <w:color w:val="auto"/>
              </w:rPr>
            </w:pPr>
            <w:r>
              <w:rPr>
                <w:rFonts w:ascii="Arial" w:cs="Arial" w:eastAsia="Arial" w:hAnsi="Arial"/>
                <w:sz w:val="16"/>
                <w:szCs w:val="16"/>
                <w:color w:val="auto"/>
              </w:rPr>
              <w:t>$ 606,631</w:t>
            </w:r>
          </w:p>
        </w:tc>
        <w:tc>
          <w:tcPr>
            <w:tcW w:w="560" w:type="dxa"/>
            <w:vAlign w:val="bottom"/>
          </w:tcPr>
          <w:p>
            <w:pPr>
              <w:spacing w:after="0"/>
              <w:rPr>
                <w:sz w:val="17"/>
                <w:szCs w:val="17"/>
                <w:color w:val="auto"/>
              </w:rPr>
            </w:pPr>
          </w:p>
        </w:tc>
        <w:tc>
          <w:tcPr>
            <w:tcW w:w="720" w:type="dxa"/>
            <w:vAlign w:val="bottom"/>
            <w:gridSpan w:val="2"/>
          </w:tcPr>
          <w:p>
            <w:pPr>
              <w:jc w:val="center"/>
              <w:spacing w:after="0"/>
              <w:rPr>
                <w:sz w:val="20"/>
                <w:szCs w:val="20"/>
                <w:color w:val="auto"/>
              </w:rPr>
            </w:pPr>
            <w:r>
              <w:rPr>
                <w:rFonts w:ascii="Arial" w:cs="Arial" w:eastAsia="Arial" w:hAnsi="Arial"/>
                <w:sz w:val="16"/>
                <w:szCs w:val="16"/>
                <w:color w:val="auto"/>
                <w:w w:val="95"/>
              </w:rPr>
              <w:t>$ 571,037</w:t>
            </w: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324"/>
              <w:spacing w:after="0"/>
              <w:rPr>
                <w:sz w:val="20"/>
                <w:szCs w:val="20"/>
                <w:color w:val="auto"/>
              </w:rPr>
            </w:pPr>
            <w:r>
              <w:rPr>
                <w:rFonts w:ascii="Arial" w:cs="Arial" w:eastAsia="Arial" w:hAnsi="Arial"/>
                <w:sz w:val="16"/>
                <w:szCs w:val="16"/>
                <w:color w:val="auto"/>
                <w:w w:val="89"/>
              </w:rPr>
              <w:t>1,187,587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4"/>
          </w:tcPr>
          <w:p>
            <w:pPr>
              <w:jc w:val="right"/>
              <w:ind w:right="140"/>
              <w:spacing w:after="0"/>
              <w:rPr>
                <w:sz w:val="20"/>
                <w:szCs w:val="20"/>
                <w:color w:val="auto"/>
              </w:rPr>
            </w:pPr>
            <w:r>
              <w:rPr>
                <w:rFonts w:ascii="Arial" w:cs="Arial" w:eastAsia="Arial" w:hAnsi="Arial"/>
                <w:sz w:val="16"/>
                <w:szCs w:val="16"/>
                <w:color w:val="auto"/>
                <w:w w:val="89"/>
              </w:rPr>
              <w:t>1,111,261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Deduct:</w:t>
            </w:r>
          </w:p>
        </w:tc>
        <w:tc>
          <w:tcPr>
            <w:tcW w:w="19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0" w:type="dxa"/>
            <w:vAlign w:val="bottom"/>
          </w:tcPr>
          <w:p>
            <w:pPr>
              <w:ind w:left="200"/>
              <w:spacing w:after="0"/>
              <w:rPr>
                <w:sz w:val="20"/>
                <w:szCs w:val="20"/>
                <w:color w:val="auto"/>
              </w:rPr>
            </w:pPr>
            <w:r>
              <w:rPr>
                <w:rFonts w:ascii="Arial" w:cs="Arial" w:eastAsia="Arial" w:hAnsi="Arial"/>
                <w:sz w:val="16"/>
                <w:szCs w:val="16"/>
                <w:color w:val="auto"/>
              </w:rPr>
              <w:t>Adjusted compensation and benefits expense</w:t>
            </w:r>
          </w:p>
        </w:tc>
        <w:tc>
          <w:tcPr>
            <w:tcW w:w="3200" w:type="dxa"/>
            <w:vAlign w:val="bottom"/>
            <w:gridSpan w:val="3"/>
          </w:tcPr>
          <w:p>
            <w:pPr>
              <w:jc w:val="right"/>
              <w:ind w:right="437"/>
              <w:spacing w:after="0"/>
              <w:rPr>
                <w:sz w:val="20"/>
                <w:szCs w:val="20"/>
                <w:color w:val="auto"/>
              </w:rPr>
            </w:pPr>
            <w:r>
              <w:rPr>
                <w:rFonts w:ascii="Arial" w:cs="Arial" w:eastAsia="Arial" w:hAnsi="Arial"/>
                <w:sz w:val="16"/>
                <w:szCs w:val="16"/>
                <w:color w:val="auto"/>
              </w:rPr>
              <w:t>(337,429)</w:t>
            </w:r>
          </w:p>
        </w:tc>
        <w:tc>
          <w:tcPr>
            <w:tcW w:w="1200" w:type="dxa"/>
            <w:vAlign w:val="bottom"/>
            <w:gridSpan w:val="4"/>
          </w:tcPr>
          <w:p>
            <w:pPr>
              <w:jc w:val="right"/>
              <w:ind w:right="338"/>
              <w:spacing w:after="0"/>
              <w:rPr>
                <w:sz w:val="20"/>
                <w:szCs w:val="20"/>
                <w:color w:val="auto"/>
              </w:rPr>
            </w:pPr>
            <w:r>
              <w:rPr>
                <w:rFonts w:ascii="Arial" w:cs="Arial" w:eastAsia="Arial" w:hAnsi="Arial"/>
                <w:sz w:val="16"/>
                <w:szCs w:val="16"/>
                <w:color w:val="auto"/>
              </w:rPr>
              <w:t>(335,920)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3"/>
          </w:tcPr>
          <w:p>
            <w:pPr>
              <w:jc w:val="right"/>
              <w:ind w:right="264"/>
              <w:spacing w:after="0"/>
              <w:rPr>
                <w:sz w:val="20"/>
                <w:szCs w:val="20"/>
                <w:color w:val="auto"/>
              </w:rPr>
            </w:pPr>
            <w:r>
              <w:rPr>
                <w:rFonts w:ascii="Arial" w:cs="Arial" w:eastAsia="Arial" w:hAnsi="Arial"/>
                <w:sz w:val="16"/>
                <w:szCs w:val="16"/>
                <w:color w:val="auto"/>
              </w:rPr>
              <w:t>(660,578)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4"/>
          </w:tcPr>
          <w:p>
            <w:pPr>
              <w:jc w:val="right"/>
              <w:ind w:right="80"/>
              <w:spacing w:after="0"/>
              <w:rPr>
                <w:sz w:val="20"/>
                <w:szCs w:val="20"/>
                <w:color w:val="auto"/>
              </w:rPr>
            </w:pPr>
            <w:r>
              <w:rPr>
                <w:rFonts w:ascii="Arial" w:cs="Arial" w:eastAsia="Arial" w:hAnsi="Arial"/>
                <w:sz w:val="16"/>
                <w:szCs w:val="16"/>
                <w:color w:val="auto"/>
              </w:rPr>
              <w:t>(653,711)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Adjusted non-compensation expense</w:t>
            </w:r>
          </w:p>
        </w:tc>
        <w:tc>
          <w:tcPr>
            <w:tcW w:w="19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37"/>
              <w:spacing w:after="0"/>
              <w:rPr>
                <w:sz w:val="20"/>
                <w:szCs w:val="20"/>
                <w:color w:val="auto"/>
              </w:rPr>
            </w:pPr>
            <w:r>
              <w:rPr>
                <w:rFonts w:ascii="Arial" w:cs="Arial" w:eastAsia="Arial" w:hAnsi="Arial"/>
                <w:sz w:val="16"/>
                <w:szCs w:val="16"/>
                <w:color w:val="auto"/>
              </w:rPr>
              <w:t>(109,592)</w:t>
            </w:r>
          </w:p>
        </w:tc>
        <w:tc>
          <w:tcPr>
            <w:tcW w:w="1200" w:type="dxa"/>
            <w:vAlign w:val="bottom"/>
            <w:gridSpan w:val="4"/>
            <w:shd w:val="clear" w:color="auto" w:fill="CCEEFF"/>
          </w:tcPr>
          <w:p>
            <w:pPr>
              <w:jc w:val="right"/>
              <w:ind w:right="338"/>
              <w:spacing w:after="0"/>
              <w:rPr>
                <w:sz w:val="20"/>
                <w:szCs w:val="20"/>
                <w:color w:val="auto"/>
              </w:rPr>
            </w:pPr>
            <w:r>
              <w:rPr>
                <w:rFonts w:ascii="Arial" w:cs="Arial" w:eastAsia="Arial" w:hAnsi="Arial"/>
                <w:sz w:val="16"/>
                <w:szCs w:val="16"/>
                <w:color w:val="auto"/>
              </w:rPr>
              <w:t>(111,479)</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264"/>
              <w:spacing w:after="0"/>
              <w:rPr>
                <w:sz w:val="20"/>
                <w:szCs w:val="20"/>
                <w:color w:val="auto"/>
              </w:rPr>
            </w:pPr>
            <w:r>
              <w:rPr>
                <w:rFonts w:ascii="Arial" w:cs="Arial" w:eastAsia="Arial" w:hAnsi="Arial"/>
                <w:sz w:val="16"/>
                <w:szCs w:val="16"/>
                <w:color w:val="auto"/>
              </w:rPr>
              <w:t>(216,026)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(214,480)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6"/>
                <w:szCs w:val="16"/>
                <w:color w:val="auto"/>
              </w:rPr>
              <w:t>Earnings from operations</w:t>
            </w:r>
          </w:p>
        </w:tc>
        <w:tc>
          <w:tcPr>
            <w:tcW w:w="19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600" w:type="dxa"/>
            <w:vAlign w:val="bottom"/>
            <w:vMerge w:val="continue"/>
          </w:tcPr>
          <w:p>
            <w:pPr>
              <w:spacing w:after="0"/>
              <w:rPr>
                <w:sz w:val="17"/>
                <w:szCs w:val="17"/>
                <w:color w:val="auto"/>
              </w:rPr>
            </w:pPr>
          </w:p>
        </w:tc>
        <w:tc>
          <w:tcPr>
            <w:tcW w:w="2640" w:type="dxa"/>
            <w:vAlign w:val="bottom"/>
            <w:gridSpan w:val="2"/>
          </w:tcPr>
          <w:p>
            <w:pPr>
              <w:jc w:val="right"/>
              <w:spacing w:after="0"/>
              <w:rPr>
                <w:sz w:val="20"/>
                <w:szCs w:val="20"/>
                <w:color w:val="auto"/>
              </w:rPr>
            </w:pPr>
            <w:r>
              <w:rPr>
                <w:rFonts w:ascii="Arial" w:cs="Arial" w:eastAsia="Arial" w:hAnsi="Arial"/>
                <w:sz w:val="16"/>
                <w:szCs w:val="16"/>
                <w:color w:val="auto"/>
              </w:rPr>
              <w:t>$ 159,610</w:t>
            </w:r>
          </w:p>
        </w:tc>
        <w:tc>
          <w:tcPr>
            <w:tcW w:w="560" w:type="dxa"/>
            <w:vAlign w:val="bottom"/>
          </w:tcPr>
          <w:p>
            <w:pPr>
              <w:spacing w:after="0"/>
              <w:rPr>
                <w:sz w:val="17"/>
                <w:szCs w:val="17"/>
                <w:color w:val="auto"/>
              </w:rPr>
            </w:pPr>
          </w:p>
        </w:tc>
        <w:tc>
          <w:tcPr>
            <w:tcW w:w="720" w:type="dxa"/>
            <w:vAlign w:val="bottom"/>
            <w:gridSpan w:val="2"/>
          </w:tcPr>
          <w:p>
            <w:pPr>
              <w:jc w:val="center"/>
              <w:spacing w:after="0"/>
              <w:rPr>
                <w:sz w:val="20"/>
                <w:szCs w:val="20"/>
                <w:color w:val="auto"/>
              </w:rPr>
            </w:pPr>
            <w:r>
              <w:rPr>
                <w:rFonts w:ascii="Arial" w:cs="Arial" w:eastAsia="Arial" w:hAnsi="Arial"/>
                <w:sz w:val="16"/>
                <w:szCs w:val="16"/>
                <w:color w:val="auto"/>
                <w:w w:val="95"/>
              </w:rPr>
              <w:t>$ 123,638</w:t>
            </w: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324"/>
              <w:spacing w:after="0"/>
              <w:rPr>
                <w:sz w:val="20"/>
                <w:szCs w:val="20"/>
                <w:color w:val="auto"/>
              </w:rPr>
            </w:pPr>
            <w:r>
              <w:rPr>
                <w:rFonts w:ascii="Arial" w:cs="Arial" w:eastAsia="Arial" w:hAnsi="Arial"/>
                <w:sz w:val="16"/>
                <w:szCs w:val="16"/>
                <w:color w:val="auto"/>
              </w:rPr>
              <w:t>310,983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4"/>
          </w:tcPr>
          <w:p>
            <w:pPr>
              <w:jc w:val="right"/>
              <w:ind w:right="140"/>
              <w:spacing w:after="0"/>
              <w:rPr>
                <w:sz w:val="20"/>
                <w:szCs w:val="20"/>
                <w:color w:val="auto"/>
              </w:rPr>
            </w:pPr>
            <w:r>
              <w:rPr>
                <w:rFonts w:ascii="Arial" w:cs="Arial" w:eastAsia="Arial" w:hAnsi="Arial"/>
                <w:sz w:val="16"/>
                <w:szCs w:val="16"/>
                <w:color w:val="auto"/>
              </w:rPr>
              <w:t>243,070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Earnings from operations, as a % of operating revenue</w:t>
            </w:r>
          </w:p>
        </w:tc>
        <w:tc>
          <w:tcPr>
            <w:tcW w:w="3200" w:type="dxa"/>
            <w:vAlign w:val="bottom"/>
            <w:gridSpan w:val="3"/>
            <w:shd w:val="clear" w:color="auto" w:fill="CCEEFF"/>
          </w:tcPr>
          <w:p>
            <w:pPr>
              <w:jc w:val="right"/>
              <w:ind w:right="357"/>
              <w:spacing w:after="0"/>
              <w:rPr>
                <w:sz w:val="20"/>
                <w:szCs w:val="20"/>
                <w:color w:val="auto"/>
              </w:rPr>
            </w:pPr>
            <w:r>
              <w:rPr>
                <w:rFonts w:ascii="Arial" w:cs="Arial" w:eastAsia="Arial" w:hAnsi="Arial"/>
                <w:sz w:val="16"/>
                <w:szCs w:val="16"/>
                <w:color w:val="auto"/>
              </w:rPr>
              <w:t>26.3%</w:t>
            </w:r>
          </w:p>
        </w:tc>
        <w:tc>
          <w:tcPr>
            <w:tcW w:w="1200" w:type="dxa"/>
            <w:vAlign w:val="bottom"/>
            <w:gridSpan w:val="4"/>
            <w:shd w:val="clear" w:color="auto" w:fill="CCEEFF"/>
          </w:tcPr>
          <w:p>
            <w:pPr>
              <w:jc w:val="right"/>
              <w:ind w:right="258"/>
              <w:spacing w:after="0"/>
              <w:rPr>
                <w:sz w:val="20"/>
                <w:szCs w:val="20"/>
                <w:color w:val="auto"/>
              </w:rPr>
            </w:pPr>
            <w:r>
              <w:rPr>
                <w:rFonts w:ascii="Arial" w:cs="Arial" w:eastAsia="Arial" w:hAnsi="Arial"/>
                <w:sz w:val="16"/>
                <w:szCs w:val="16"/>
                <w:color w:val="auto"/>
              </w:rPr>
              <w:t>21.7%</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184"/>
              <w:spacing w:after="0"/>
              <w:rPr>
                <w:sz w:val="20"/>
                <w:szCs w:val="20"/>
                <w:color w:val="auto"/>
              </w:rPr>
            </w:pPr>
            <w:r>
              <w:rPr>
                <w:rFonts w:ascii="Arial" w:cs="Arial" w:eastAsia="Arial" w:hAnsi="Arial"/>
                <w:sz w:val="16"/>
                <w:szCs w:val="16"/>
                <w:color w:val="auto"/>
              </w:rPr>
              <w:t>26.2%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ind w:left="460"/>
              <w:spacing w:after="0"/>
              <w:rPr>
                <w:sz w:val="20"/>
                <w:szCs w:val="20"/>
                <w:color w:val="auto"/>
              </w:rPr>
            </w:pPr>
            <w:r>
              <w:rPr>
                <w:rFonts w:ascii="Arial" w:cs="Arial" w:eastAsia="Arial" w:hAnsi="Arial"/>
                <w:sz w:val="16"/>
                <w:szCs w:val="16"/>
                <w:color w:val="auto"/>
              </w:rPr>
              <w:t>Headcount information is set forth below:</w:t>
            </w:r>
          </w:p>
        </w:tc>
        <w:tc>
          <w:tcPr>
            <w:tcW w:w="19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4600" w:type="dxa"/>
            <w:vAlign w:val="bottom"/>
            <w:vMerge w:val="continue"/>
          </w:tcPr>
          <w:p>
            <w:pPr>
              <w:spacing w:after="0"/>
              <w:rPr>
                <w:sz w:val="24"/>
                <w:szCs w:val="24"/>
                <w:color w:val="auto"/>
              </w:rPr>
            </w:pPr>
          </w:p>
        </w:tc>
        <w:tc>
          <w:tcPr>
            <w:tcW w:w="1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46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3"/>
                <w:szCs w:val="13"/>
                <w:b w:val="1"/>
                <w:bCs w:val="1"/>
                <w:color w:val="auto"/>
                <w:w w:val="92"/>
              </w:rPr>
              <w:t>As Of</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6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w w:val="88"/>
              </w:rPr>
              <w:t>June 30,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gridSpan w:val="4"/>
          </w:tcPr>
          <w:p>
            <w:pPr>
              <w:jc w:val="center"/>
              <w:ind w:right="100"/>
              <w:spacing w:after="0" w:line="119" w:lineRule="exact"/>
              <w:rPr>
                <w:sz w:val="20"/>
                <w:szCs w:val="20"/>
                <w:color w:val="auto"/>
              </w:rPr>
            </w:pPr>
            <w:r>
              <w:rPr>
                <w:rFonts w:ascii="Arial" w:cs="Arial" w:eastAsia="Arial" w:hAnsi="Arial"/>
                <w:sz w:val="13"/>
                <w:szCs w:val="13"/>
                <w:b w:val="1"/>
                <w:bCs w:val="1"/>
                <w:color w:val="auto"/>
                <w:w w:val="85"/>
              </w:rPr>
              <w:t>December 31,</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gridSpan w:val="4"/>
          </w:tcPr>
          <w:p>
            <w:pPr>
              <w:ind w:left="40"/>
              <w:spacing w:after="0" w:line="119" w:lineRule="exact"/>
              <w:rPr>
                <w:sz w:val="20"/>
                <w:szCs w:val="20"/>
                <w:color w:val="auto"/>
              </w:rPr>
            </w:pPr>
            <w:r>
              <w:rPr>
                <w:rFonts w:ascii="Arial" w:cs="Arial" w:eastAsia="Arial" w:hAnsi="Arial"/>
                <w:sz w:val="13"/>
                <w:szCs w:val="13"/>
                <w:b w:val="1"/>
                <w:bCs w:val="1"/>
                <w:color w:val="auto"/>
                <w:w w:val="88"/>
              </w:rPr>
              <w:t>June 30,</w:t>
            </w:r>
          </w:p>
        </w:tc>
        <w:tc>
          <w:tcPr>
            <w:tcW w:w="0" w:type="dxa"/>
            <w:vAlign w:val="bottom"/>
          </w:tcPr>
          <w:p>
            <w:pPr>
              <w:spacing w:after="0"/>
              <w:rPr>
                <w:sz w:val="1"/>
                <w:szCs w:val="1"/>
                <w:color w:val="auto"/>
              </w:rPr>
            </w:pPr>
          </w:p>
        </w:tc>
      </w:tr>
      <w:tr>
        <w:trPr>
          <w:trHeight w:val="152"/>
        </w:trPr>
        <w:tc>
          <w:tcPr>
            <w:tcW w:w="4600" w:type="dxa"/>
            <w:vAlign w:val="bottom"/>
            <w:vMerge w:val="restart"/>
          </w:tcPr>
          <w:p>
            <w:pPr>
              <w:spacing w:after="0"/>
              <w:rPr>
                <w:sz w:val="20"/>
                <w:szCs w:val="20"/>
                <w:color w:val="auto"/>
              </w:rPr>
            </w:pPr>
            <w:r>
              <w:rPr>
                <w:rFonts w:ascii="Arial" w:cs="Arial" w:eastAsia="Arial" w:hAnsi="Arial"/>
                <w:sz w:val="16"/>
                <w:szCs w:val="16"/>
                <w:b w:val="1"/>
                <w:bCs w:val="1"/>
                <w:color w:val="auto"/>
              </w:rPr>
              <w:t>Headcount:</w:t>
            </w:r>
          </w:p>
        </w:tc>
        <w:tc>
          <w:tcPr>
            <w:tcW w:w="1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0" w:type="dxa"/>
            <w:vAlign w:val="bottom"/>
            <w:gridSpan w:val="4"/>
          </w:tcPr>
          <w:p>
            <w:pPr>
              <w:jc w:val="right"/>
              <w:spacing w:after="0"/>
              <w:rPr>
                <w:sz w:val="20"/>
                <w:szCs w:val="20"/>
                <w:color w:val="auto"/>
              </w:rPr>
            </w:pPr>
            <w:r>
              <w:rPr>
                <w:rFonts w:ascii="Arial" w:cs="Arial" w:eastAsia="Arial" w:hAnsi="Arial"/>
                <w:sz w:val="13"/>
                <w:szCs w:val="13"/>
                <w:b w:val="1"/>
                <w:bCs w:val="1"/>
                <w:color w:val="auto"/>
              </w:rPr>
              <w:t>2015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tcPr>
          <w:p>
            <w:pPr>
              <w:jc w:val="center"/>
              <w:ind w:left="381"/>
              <w:spacing w:after="0"/>
              <w:rPr>
                <w:sz w:val="20"/>
                <w:szCs w:val="20"/>
                <w:color w:val="auto"/>
              </w:rPr>
            </w:pPr>
            <w:r>
              <w:rPr>
                <w:rFonts w:ascii="Arial" w:cs="Arial" w:eastAsia="Arial" w:hAnsi="Arial"/>
                <w:sz w:val="13"/>
                <w:szCs w:val="13"/>
                <w:b w:val="1"/>
                <w:bCs w:val="1"/>
                <w:color w:val="auto"/>
                <w:w w:val="82"/>
              </w:rPr>
              <w:t>2014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4"/>
          </w:tcPr>
          <w:p>
            <w:pPr>
              <w:jc w:val="right"/>
              <w:ind w:right="80"/>
              <w:spacing w:after="0"/>
              <w:rPr>
                <w:sz w:val="20"/>
                <w:szCs w:val="20"/>
                <w:color w:val="auto"/>
              </w:rPr>
            </w:pPr>
            <w:r>
              <w:rPr>
                <w:rFonts w:ascii="Arial" w:cs="Arial" w:eastAsia="Arial" w:hAnsi="Arial"/>
                <w:sz w:val="13"/>
                <w:szCs w:val="13"/>
                <w:b w:val="1"/>
                <w:bCs w:val="1"/>
                <w:color w:val="auto"/>
              </w:rPr>
              <w:t>2014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600" w:type="dxa"/>
            <w:vAlign w:val="bottom"/>
            <w:vMerge w:val="continue"/>
          </w:tcPr>
          <w:p>
            <w:pPr>
              <w:spacing w:after="0"/>
              <w:rPr>
                <w:sz w:val="15"/>
                <w:szCs w:val="15"/>
                <w:color w:val="auto"/>
              </w:rPr>
            </w:pPr>
          </w:p>
        </w:tc>
        <w:tc>
          <w:tcPr>
            <w:tcW w:w="1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00" w:type="dxa"/>
            <w:vAlign w:val="bottom"/>
          </w:tcPr>
          <w:p>
            <w:pPr>
              <w:ind w:left="200"/>
              <w:spacing w:after="0"/>
              <w:rPr>
                <w:sz w:val="20"/>
                <w:szCs w:val="20"/>
                <w:color w:val="auto"/>
              </w:rPr>
            </w:pPr>
            <w:r>
              <w:rPr>
                <w:rFonts w:ascii="Arial" w:cs="Arial" w:eastAsia="Arial" w:hAnsi="Arial"/>
                <w:sz w:val="16"/>
                <w:szCs w:val="16"/>
                <w:color w:val="auto"/>
              </w:rPr>
              <w:t>Managing Directors:</w:t>
            </w:r>
          </w:p>
        </w:tc>
        <w:tc>
          <w:tcPr>
            <w:tcW w:w="1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6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Financial Advisory</w:t>
            </w:r>
          </w:p>
        </w:tc>
        <w:tc>
          <w:tcPr>
            <w:tcW w:w="19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5"/>
            <w:shd w:val="clear" w:color="auto" w:fill="CCEEFF"/>
          </w:tcPr>
          <w:p>
            <w:pPr>
              <w:jc w:val="right"/>
              <w:ind w:right="40"/>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02"/>
        </w:trPr>
        <w:tc>
          <w:tcPr>
            <w:tcW w:w="4600" w:type="dxa"/>
            <w:vAlign w:val="bottom"/>
          </w:tcPr>
          <w:p>
            <w:pPr>
              <w:ind w:left="400"/>
              <w:spacing w:after="0"/>
              <w:rPr>
                <w:sz w:val="20"/>
                <w:szCs w:val="20"/>
                <w:color w:val="auto"/>
              </w:rPr>
            </w:pPr>
            <w:r>
              <w:rPr>
                <w:rFonts w:ascii="Arial" w:cs="Arial" w:eastAsia="Arial" w:hAnsi="Arial"/>
                <w:sz w:val="16"/>
                <w:szCs w:val="16"/>
                <w:color w:val="auto"/>
              </w:rPr>
              <w:t>Asset Management</w:t>
            </w:r>
          </w:p>
        </w:tc>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gridSpan w:val="4"/>
          </w:tcPr>
          <w:p>
            <w:pPr>
              <w:jc w:val="right"/>
              <w:spacing w:after="0"/>
              <w:rPr>
                <w:sz w:val="20"/>
                <w:szCs w:val="20"/>
                <w:color w:val="auto"/>
              </w:rPr>
            </w:pPr>
            <w:r>
              <w:rPr>
                <w:rFonts w:ascii="Arial" w:cs="Arial" w:eastAsia="Arial" w:hAnsi="Arial"/>
                <w:sz w:val="16"/>
                <w:szCs w:val="16"/>
                <w:color w:val="auto"/>
              </w:rPr>
              <w:t>90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4"/>
          </w:tcPr>
          <w:p>
            <w:pPr>
              <w:jc w:val="right"/>
              <w:ind w:right="80"/>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5"/>
          </w:tcPr>
          <w:p>
            <w:pPr>
              <w:jc w:val="right"/>
              <w:ind w:right="4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2"/>
        </w:trPr>
        <w:tc>
          <w:tcPr>
            <w:tcW w:w="46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Corporate</w:t>
            </w:r>
          </w:p>
        </w:tc>
        <w:tc>
          <w:tcPr>
            <w:tcW w:w="19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tcBorders>
              <w:right w:val="single" w:sz="8" w:color="CCEEFF"/>
            </w:tcBorders>
            <w:gridSpan w:val="2"/>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spacing w:after="0"/>
              <w:rPr>
                <w:sz w:val="17"/>
                <w:szCs w:val="17"/>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00" w:type="dxa"/>
            <w:vAlign w:val="bottom"/>
          </w:tcPr>
          <w:p>
            <w:pPr>
              <w:ind w:left="400"/>
              <w:spacing w:after="0"/>
              <w:rPr>
                <w:sz w:val="20"/>
                <w:szCs w:val="20"/>
                <w:color w:val="auto"/>
              </w:rPr>
            </w:pPr>
            <w:r>
              <w:rPr>
                <w:rFonts w:ascii="Arial" w:cs="Arial" w:eastAsia="Arial" w:hAnsi="Arial"/>
                <w:sz w:val="16"/>
                <w:szCs w:val="16"/>
                <w:color w:val="auto"/>
              </w:rPr>
              <w:t>Total Managing Directors</w:t>
            </w:r>
          </w:p>
        </w:tc>
        <w:tc>
          <w:tcPr>
            <w:tcW w:w="1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gridSpan w:val="4"/>
          </w:tcPr>
          <w:p>
            <w:pPr>
              <w:jc w:val="right"/>
              <w:spacing w:after="0"/>
              <w:rPr>
                <w:sz w:val="20"/>
                <w:szCs w:val="20"/>
                <w:color w:val="auto"/>
              </w:rPr>
            </w:pPr>
            <w:r>
              <w:rPr>
                <w:rFonts w:ascii="Arial" w:cs="Arial" w:eastAsia="Arial" w:hAnsi="Arial"/>
                <w:sz w:val="16"/>
                <w:szCs w:val="16"/>
                <w:color w:val="auto"/>
              </w:rPr>
              <w:t>252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4"/>
          </w:tcPr>
          <w:p>
            <w:pPr>
              <w:jc w:val="right"/>
              <w:ind w:right="80"/>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5"/>
          </w:tcPr>
          <w:p>
            <w:pPr>
              <w:jc w:val="right"/>
              <w:ind w:right="40"/>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10"/>
        </w:trPr>
        <w:tc>
          <w:tcPr>
            <w:tcW w:w="4600" w:type="dxa"/>
            <w:vAlign w:val="bottom"/>
          </w:tcPr>
          <w:p>
            <w:pPr>
              <w:ind w:left="200"/>
              <w:spacing w:after="0"/>
              <w:rPr>
                <w:sz w:val="20"/>
                <w:szCs w:val="20"/>
                <w:color w:val="auto"/>
              </w:rPr>
            </w:pPr>
            <w:r>
              <w:rPr>
                <w:rFonts w:ascii="Arial" w:cs="Arial" w:eastAsia="Arial" w:hAnsi="Arial"/>
                <w:sz w:val="16"/>
                <w:szCs w:val="16"/>
                <w:color w:val="auto"/>
              </w:rPr>
              <w:t>Other Employees:</w:t>
            </w:r>
          </w:p>
        </w:tc>
        <w:tc>
          <w:tcPr>
            <w:tcW w:w="1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6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Business segment professionals</w:t>
            </w:r>
          </w:p>
        </w:tc>
        <w:tc>
          <w:tcPr>
            <w:tcW w:w="19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1,147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1,139</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5"/>
            <w:shd w:val="clear" w:color="auto" w:fill="CCEEFF"/>
          </w:tcPr>
          <w:p>
            <w:pPr>
              <w:jc w:val="right"/>
              <w:ind w:right="40"/>
              <w:spacing w:after="0"/>
              <w:rPr>
                <w:sz w:val="20"/>
                <w:szCs w:val="20"/>
                <w:color w:val="auto"/>
              </w:rPr>
            </w:pPr>
            <w:r>
              <w:rPr>
                <w:rFonts w:ascii="Arial" w:cs="Arial" w:eastAsia="Arial" w:hAnsi="Arial"/>
                <w:sz w:val="16"/>
                <w:szCs w:val="16"/>
                <w:color w:val="auto"/>
              </w:rPr>
              <w:t>1,100</w:t>
            </w:r>
          </w:p>
        </w:tc>
        <w:tc>
          <w:tcPr>
            <w:tcW w:w="0" w:type="dxa"/>
            <w:vAlign w:val="bottom"/>
          </w:tcPr>
          <w:p>
            <w:pPr>
              <w:spacing w:after="0"/>
              <w:rPr>
                <w:sz w:val="1"/>
                <w:szCs w:val="1"/>
                <w:color w:val="auto"/>
              </w:rPr>
            </w:pPr>
          </w:p>
        </w:tc>
      </w:tr>
      <w:tr>
        <w:trPr>
          <w:trHeight w:val="208"/>
        </w:trPr>
        <w:tc>
          <w:tcPr>
            <w:tcW w:w="4600" w:type="dxa"/>
            <w:vAlign w:val="bottom"/>
          </w:tcPr>
          <w:p>
            <w:pPr>
              <w:ind w:left="400"/>
              <w:spacing w:after="0"/>
              <w:rPr>
                <w:sz w:val="20"/>
                <w:szCs w:val="20"/>
                <w:color w:val="auto"/>
              </w:rPr>
            </w:pPr>
            <w:r>
              <w:rPr>
                <w:rFonts w:ascii="Arial" w:cs="Arial" w:eastAsia="Arial" w:hAnsi="Arial"/>
                <w:sz w:val="16"/>
                <w:szCs w:val="16"/>
                <w:color w:val="auto"/>
              </w:rPr>
              <w:t>All other professionals and support staff</w:t>
            </w:r>
          </w:p>
        </w:tc>
        <w:tc>
          <w:tcPr>
            <w:tcW w:w="1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gridSpan w:val="3"/>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1,148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1,122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w:t>
            </w:r>
          </w:p>
        </w:tc>
        <w:tc>
          <w:tcPr>
            <w:tcW w:w="19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2,568</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2,523</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5"/>
            <w:shd w:val="clear" w:color="auto" w:fill="CCEEFF"/>
          </w:tcPr>
          <w:p>
            <w:pPr>
              <w:jc w:val="right"/>
              <w:ind w:right="40"/>
              <w:spacing w:after="0"/>
              <w:rPr>
                <w:sz w:val="20"/>
                <w:szCs w:val="20"/>
                <w:color w:val="auto"/>
              </w:rPr>
            </w:pPr>
            <w:r>
              <w:rPr>
                <w:rFonts w:ascii="Arial" w:cs="Arial" w:eastAsia="Arial" w:hAnsi="Arial"/>
                <w:sz w:val="16"/>
                <w:szCs w:val="16"/>
                <w:color w:val="auto"/>
              </w:rPr>
              <w:t>2,461</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960" w:type="dxa"/>
            <w:vAlign w:val="bottom"/>
            <w:vMerge w:val="restart"/>
          </w:tcPr>
          <w:p>
            <w:pPr>
              <w:jc w:val="right"/>
              <w:ind w:right="678"/>
              <w:spacing w:after="0"/>
              <w:rPr>
                <w:sz w:val="20"/>
                <w:szCs w:val="20"/>
                <w:color w:val="auto"/>
              </w:rPr>
            </w:pPr>
            <w:r>
              <w:rPr>
                <w:rFonts w:ascii="Arial" w:cs="Arial" w:eastAsia="Arial" w:hAnsi="Arial"/>
                <w:sz w:val="16"/>
                <w:szCs w:val="16"/>
                <w:color w:val="auto"/>
              </w:rPr>
              <w:t>53</w:t>
            </w: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60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0" w:right="23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Results</w:t>
      </w:r>
    </w:p>
    <w:p>
      <w:pPr>
        <w:spacing w:after="0" w:line="94" w:lineRule="exact"/>
        <w:rPr>
          <w:sz w:val="20"/>
          <w:szCs w:val="20"/>
          <w:color w:val="auto"/>
        </w:rPr>
      </w:pPr>
    </w:p>
    <w:p>
      <w:pPr>
        <w:jc w:val="both"/>
        <w:ind w:right="240" w:firstLine="457"/>
        <w:spacing w:after="0" w:line="276" w:lineRule="auto"/>
        <w:rPr>
          <w:sz w:val="20"/>
          <w:szCs w:val="20"/>
          <w:color w:val="auto"/>
        </w:rPr>
      </w:pPr>
      <w:r>
        <w:rPr>
          <w:rFonts w:ascii="Arial" w:cs="Arial" w:eastAsia="Arial" w:hAnsi="Arial"/>
          <w:sz w:val="16"/>
          <w:szCs w:val="16"/>
          <w:b w:val="1"/>
          <w:bCs w:val="1"/>
          <w:color w:val="auto"/>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Three Months Ended June 30, 2015 versus June 30, 2014</w:t>
      </w:r>
    </w:p>
    <w:p>
      <w:pPr>
        <w:spacing w:after="0" w:line="94" w:lineRule="exact"/>
        <w:rPr>
          <w:sz w:val="20"/>
          <w:szCs w:val="20"/>
          <w:color w:val="auto"/>
        </w:rPr>
      </w:pPr>
    </w:p>
    <w:p>
      <w:pPr>
        <w:ind w:right="480" w:firstLine="457"/>
        <w:spacing w:after="0" w:line="296" w:lineRule="auto"/>
        <w:rPr>
          <w:sz w:val="20"/>
          <w:szCs w:val="20"/>
          <w:color w:val="auto"/>
        </w:rPr>
      </w:pPr>
      <w:r>
        <w:rPr>
          <w:rFonts w:ascii="Arial" w:cs="Arial" w:eastAsia="Arial" w:hAnsi="Arial"/>
          <w:sz w:val="16"/>
          <w:szCs w:val="16"/>
          <w:color w:val="auto"/>
        </w:rPr>
        <w:t>The Company reported net income attributable to Lazard Ltd of $374 million, as compared to net income of $85 million in the 2014 period. The changes in the Company’s operating results during these periods are described below.</w:t>
      </w:r>
    </w:p>
    <w:p>
      <w:pPr>
        <w:spacing w:after="0" w:line="103" w:lineRule="exact"/>
        <w:rPr>
          <w:sz w:val="20"/>
          <w:szCs w:val="20"/>
          <w:color w:val="auto"/>
        </w:rPr>
      </w:pPr>
    </w:p>
    <w:p>
      <w:pPr>
        <w:ind w:right="40" w:firstLine="457"/>
        <w:spacing w:after="0" w:line="290" w:lineRule="auto"/>
        <w:rPr>
          <w:sz w:val="20"/>
          <w:szCs w:val="20"/>
          <w:color w:val="auto"/>
        </w:rPr>
      </w:pPr>
      <w:r>
        <w:rPr>
          <w:rFonts w:ascii="Arial" w:cs="Arial" w:eastAsia="Arial" w:hAnsi="Arial"/>
          <w:sz w:val="15"/>
          <w:szCs w:val="15"/>
          <w:color w:val="auto"/>
        </w:rPr>
        <w:t>Net revenue increased $42 million, or 7%, with operating revenue increasing $36 million, or 6%, as compared to the 2014 period. Fee revenue from investment banking and other advisory activities increased $34 million, or 12%, primarily due to increases in M&amp;A and Other Advisory fees. The increase in M&amp;A and Other Advisory fee revenue was primarily due to an increase in the average transaction fee with respect to completed transactions involving fees greater than $1 million as compared to the 2014 period. Asset management fees, including incentive fees, decreased $7 million, or 3%, as compared to the 2014 period, principally reflecting a decrease in incentive fees relating to traditional investment products. In the aggregate, interest income, other revenue and interest expense increased $15 million as compared to the 2014 period, primarily due to a $24 million gain on the disposal of the Company’s Australian private equity business (which primarily relates to the realization of carried interest at fair value), partially offset by investment losses due to LFI. Interest expense was lower due to the refinancing of the 2017 Notes.</w:t>
      </w:r>
    </w:p>
    <w:p>
      <w:pPr>
        <w:spacing w:after="0" w:line="110" w:lineRule="exact"/>
        <w:rPr>
          <w:sz w:val="20"/>
          <w:szCs w:val="20"/>
          <w:color w:val="auto"/>
        </w:rPr>
      </w:pPr>
    </w:p>
    <w:p>
      <w:pPr>
        <w:ind w:right="660" w:firstLine="457"/>
        <w:spacing w:after="0" w:line="296" w:lineRule="auto"/>
        <w:rPr>
          <w:sz w:val="20"/>
          <w:szCs w:val="20"/>
          <w:color w:val="auto"/>
        </w:rPr>
      </w:pPr>
      <w:r>
        <w:rPr>
          <w:rFonts w:ascii="Arial" w:cs="Arial" w:eastAsia="Arial" w:hAnsi="Arial"/>
          <w:sz w:val="16"/>
          <w:szCs w:val="16"/>
          <w:color w:val="auto"/>
        </w:rPr>
        <w:t>Compensation and benefits expense decreased $9 million, or 3%, as compared to the 2014 period, primarily driven by a decrease in amortization of deferred compensation expense, partially offset by an increase in discretionary compensation.</w:t>
      </w:r>
    </w:p>
    <w:p>
      <w:pPr>
        <w:spacing w:after="0" w:line="103" w:lineRule="exact"/>
        <w:rPr>
          <w:sz w:val="20"/>
          <w:szCs w:val="20"/>
          <w:color w:val="auto"/>
        </w:rPr>
      </w:pPr>
    </w:p>
    <w:p>
      <w:pPr>
        <w:jc w:val="both"/>
        <w:ind w:right="200" w:firstLine="457"/>
        <w:spacing w:after="0" w:line="280" w:lineRule="auto"/>
        <w:rPr>
          <w:sz w:val="20"/>
          <w:szCs w:val="20"/>
          <w:color w:val="auto"/>
        </w:rPr>
      </w:pPr>
      <w:r>
        <w:rPr>
          <w:rFonts w:ascii="Arial" w:cs="Arial" w:eastAsia="Arial" w:hAnsi="Arial"/>
          <w:sz w:val="16"/>
          <w:szCs w:val="16"/>
          <w:color w:val="auto"/>
        </w:rPr>
        <w:t>Adjusted compensation and benefits expense (which excludes certain items and which we believe allows for improved comparability between periods, as described above) was $337 million, an increase of $1 million as compared to $336 million in the 2014 period. The ratio of adjusted compensation and benefits expense to operating revenue was 55.6% for the 2015 period, as compared to 58.8% for the 2014 period and 55.6% for full-year 2014.</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Non-compensation expense decreased $2 million, or 2%, as compared to the 2014 period, on both a U.S. GAAP and adjusted basis, including noncontrolling interests.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ratio of adjusted non-compensation expense to operating revenue was 18.1%, as compared to 19.5% in the 2014 period.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Amortization of intangible assets increased $1 million as compared to the 2014 period.</w:t>
      </w:r>
    </w:p>
    <w:p>
      <w:pPr>
        <w:spacing w:after="0" w:line="170" w:lineRule="exact"/>
        <w:rPr>
          <w:sz w:val="20"/>
          <w:szCs w:val="20"/>
          <w:color w:val="auto"/>
        </w:rPr>
      </w:pPr>
    </w:p>
    <w:p>
      <w:pPr>
        <w:ind w:right="120" w:firstLine="457"/>
        <w:spacing w:after="0" w:line="280" w:lineRule="auto"/>
        <w:rPr>
          <w:sz w:val="20"/>
          <w:szCs w:val="20"/>
          <w:color w:val="auto"/>
        </w:rPr>
      </w:pPr>
      <w:r>
        <w:rPr>
          <w:rFonts w:ascii="Arial" w:cs="Arial" w:eastAsia="Arial" w:hAnsi="Arial"/>
          <w:sz w:val="16"/>
          <w:szCs w:val="16"/>
          <w:color w:val="auto"/>
        </w:rPr>
        <w:t>Based on the possible utilization of certain deferred tax assets that are subject to the tax receivable agreement, the provision pursuant to the tax receivable agreement in the 2015 period was $962 million, as compared to $9 million in the 2014 period (see Note 14 of Notes to Condensed Consolidated Financial Statements for additional information).</w:t>
      </w:r>
    </w:p>
    <w:p>
      <w:pPr>
        <w:spacing w:after="0" w:line="115" w:lineRule="exact"/>
        <w:rPr>
          <w:sz w:val="20"/>
          <w:szCs w:val="20"/>
          <w:color w:val="auto"/>
        </w:rPr>
      </w:pPr>
    </w:p>
    <w:p>
      <w:pPr>
        <w:ind w:right="160" w:firstLine="457"/>
        <w:spacing w:after="0" w:line="296" w:lineRule="auto"/>
        <w:rPr>
          <w:sz w:val="20"/>
          <w:szCs w:val="20"/>
          <w:color w:val="auto"/>
        </w:rPr>
      </w:pPr>
      <w:r>
        <w:rPr>
          <w:rFonts w:ascii="Arial" w:cs="Arial" w:eastAsia="Arial" w:hAnsi="Arial"/>
          <w:sz w:val="16"/>
          <w:szCs w:val="16"/>
          <w:color w:val="auto"/>
        </w:rPr>
        <w:t>Operating income, which included the impact of the provision pursuant to the tax receivable agreement described above, decreased $900 million as compared to the 2014 period, and, as a percentage of net revenue, was (131.6)%, as compared to 17.5% in the 2014 period.</w:t>
      </w:r>
    </w:p>
    <w:p>
      <w:pPr>
        <w:spacing w:after="0" w:line="103" w:lineRule="exact"/>
        <w:rPr>
          <w:sz w:val="20"/>
          <w:szCs w:val="20"/>
          <w:color w:val="auto"/>
        </w:rPr>
      </w:pPr>
    </w:p>
    <w:p>
      <w:pPr>
        <w:ind w:right="260" w:firstLine="457"/>
        <w:spacing w:after="0" w:line="296" w:lineRule="auto"/>
        <w:rPr>
          <w:sz w:val="20"/>
          <w:szCs w:val="20"/>
          <w:color w:val="auto"/>
        </w:rPr>
      </w:pPr>
      <w:r>
        <w:rPr>
          <w:rFonts w:ascii="Arial" w:cs="Arial" w:eastAsia="Arial" w:hAnsi="Arial"/>
          <w:sz w:val="16"/>
          <w:szCs w:val="16"/>
          <w:color w:val="auto"/>
        </w:rPr>
        <w:t>Earnings from operations, which excluded the impact of the provision pursuant to the tax receivable agreement described above, increased $36 million, or 29%, as compared to the 2014 period, and, as a percentage of operating revenue, was 26.3%, as compared to 21.7% in the 2014 period.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440" w:right="23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firstLine="457"/>
        <w:spacing w:after="0" w:line="274" w:lineRule="auto"/>
        <w:rPr>
          <w:sz w:val="20"/>
          <w:szCs w:val="20"/>
          <w:color w:val="auto"/>
        </w:rPr>
      </w:pPr>
      <w:r>
        <w:rPr>
          <w:rFonts w:ascii="Arial" w:cs="Arial" w:eastAsia="Arial" w:hAnsi="Arial"/>
          <w:sz w:val="16"/>
          <w:szCs w:val="16"/>
          <w:color w:val="auto"/>
        </w:rPr>
        <w:t>The provision for income taxes reflects an effective tax rate of 146.8%, as compared to 13.2% for the 2014 period. The increase in the effective tax rate in 2015 as compared to 2014 was primarily driven by (i) the reduction of operating income as a result of the provision pursuant to the tax receivable agreement described above, and (ii) the provision (benefit) for income taxes, which was impacted by the recognition of deferred tax assets of $1,199 million described above under “Financial Statement Overview—Provision for Income Taxes and Tax Receivable Agreement.”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income attributable to noncontrolling interests remained substantially unchanged as compared to the 2014 period.</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Six Months Ended June 30, 2015 versus June 30, 2014</w:t>
      </w:r>
    </w:p>
    <w:p>
      <w:pPr>
        <w:spacing w:after="0" w:line="94" w:lineRule="exact"/>
        <w:rPr>
          <w:sz w:val="20"/>
          <w:szCs w:val="20"/>
          <w:color w:val="auto"/>
        </w:rPr>
      </w:pPr>
    </w:p>
    <w:p>
      <w:pPr>
        <w:ind w:right="400" w:firstLine="457"/>
        <w:spacing w:after="0" w:line="296" w:lineRule="auto"/>
        <w:rPr>
          <w:sz w:val="20"/>
          <w:szCs w:val="20"/>
          <w:color w:val="auto"/>
        </w:rPr>
      </w:pPr>
      <w:r>
        <w:rPr>
          <w:rFonts w:ascii="Arial" w:cs="Arial" w:eastAsia="Arial" w:hAnsi="Arial"/>
          <w:sz w:val="16"/>
          <w:szCs w:val="16"/>
          <w:color w:val="auto"/>
        </w:rPr>
        <w:t>The Company reported net income attributable to Lazard Ltd of $430 million, as compared to net income of $166 million in the 2014 period. The changes in the Company’s operating results during these periods are described below.</w:t>
      </w:r>
    </w:p>
    <w:p>
      <w:pPr>
        <w:spacing w:after="0" w:line="103" w:lineRule="exact"/>
        <w:rPr>
          <w:sz w:val="20"/>
          <w:szCs w:val="20"/>
          <w:color w:val="auto"/>
        </w:rPr>
      </w:pPr>
    </w:p>
    <w:p>
      <w:pPr>
        <w:ind w:right="60" w:firstLine="457"/>
        <w:spacing w:after="0" w:line="269" w:lineRule="auto"/>
        <w:rPr>
          <w:sz w:val="20"/>
          <w:szCs w:val="20"/>
          <w:color w:val="auto"/>
        </w:rPr>
      </w:pPr>
      <w:r>
        <w:rPr>
          <w:rFonts w:ascii="Arial" w:cs="Arial" w:eastAsia="Arial" w:hAnsi="Arial"/>
          <w:sz w:val="16"/>
          <w:szCs w:val="16"/>
          <w:color w:val="auto"/>
        </w:rPr>
        <w:t>Net revenue increased $87 million, or 8%, with operating revenue increasing $76 million, or 7%, as compared to the 2014 period. Fee revenue from investment banking and other advisory activities increased $63 million, or 11%, primarily due to increases in M&amp;A and Other Advisory fees. The increase in M&amp;A and Other Advisory fee revenue was primarily due to an increase in the average transaction fee with respect to completed transactions involving fees greater than $1 million as compared to the 2014 period. Asset management fees, including incentive fees, were substantially unchanged as compared to the 2014 period. In the aggregate, interest income, other revenue and interest expense increased $22 million as compared to the 2014 period, primarily due to a $24 million gain on the disposal of the Company’s Australian private equity business (which primarily relates to the realization of carried interest at fair value), partially offset by lower investment gains due to LFI. Interest expense was lower due to the refinancing of the 2017 Notes.</w:t>
      </w:r>
    </w:p>
    <w:p>
      <w:pPr>
        <w:spacing w:after="0" w:line="125" w:lineRule="exact"/>
        <w:rPr>
          <w:sz w:val="20"/>
          <w:szCs w:val="20"/>
          <w:color w:val="auto"/>
        </w:rPr>
      </w:pPr>
    </w:p>
    <w:p>
      <w:pPr>
        <w:ind w:right="340" w:firstLine="457"/>
        <w:spacing w:after="0" w:line="296" w:lineRule="auto"/>
        <w:rPr>
          <w:sz w:val="20"/>
          <w:szCs w:val="20"/>
          <w:color w:val="auto"/>
        </w:rPr>
      </w:pPr>
      <w:r>
        <w:rPr>
          <w:rFonts w:ascii="Arial" w:cs="Arial" w:eastAsia="Arial" w:hAnsi="Arial"/>
          <w:sz w:val="16"/>
          <w:szCs w:val="16"/>
          <w:color w:val="auto"/>
        </w:rPr>
        <w:t>Compensation and benefits expense decreased $2 million as compared to the 2014 period, primarily driven by a decrease in discretionary compensation, partially offset by an increase in amortization of deferred compensation expense.</w:t>
      </w:r>
    </w:p>
    <w:p>
      <w:pPr>
        <w:spacing w:after="0" w:line="103" w:lineRule="exact"/>
        <w:rPr>
          <w:sz w:val="20"/>
          <w:szCs w:val="20"/>
          <w:color w:val="auto"/>
        </w:rPr>
      </w:pPr>
    </w:p>
    <w:p>
      <w:pPr>
        <w:ind w:right="60" w:firstLine="457"/>
        <w:spacing w:after="0" w:line="274" w:lineRule="auto"/>
        <w:rPr>
          <w:sz w:val="20"/>
          <w:szCs w:val="20"/>
          <w:color w:val="auto"/>
        </w:rPr>
      </w:pPr>
      <w:r>
        <w:rPr>
          <w:rFonts w:ascii="Arial" w:cs="Arial" w:eastAsia="Arial" w:hAnsi="Arial"/>
          <w:sz w:val="16"/>
          <w:szCs w:val="16"/>
          <w:color w:val="auto"/>
        </w:rPr>
        <w:t>Adjusted compensation and benefits expense (which excludes certain items and which we believe allows for improved comparability between periods, as described above) was $661 million, an increase of $7 million, or 1%, as compared to $654 million in the 2014 period, primarily driven by an increase in amortization of deferred compensation, partially offset by a decrease in discretionary compensation. The ratio of adjusted compensation and benefits expense to operating revenue was 55.6% for the 2015 period, as compared to 58.8% for the 2014 period and 55.6% for full-year 2014.</w:t>
      </w:r>
    </w:p>
    <w:p>
      <w:pPr>
        <w:spacing w:after="0" w:line="121" w:lineRule="exact"/>
        <w:rPr>
          <w:sz w:val="20"/>
          <w:szCs w:val="20"/>
          <w:color w:val="auto"/>
        </w:rPr>
      </w:pPr>
    </w:p>
    <w:p>
      <w:pPr>
        <w:ind w:right="140" w:firstLine="457"/>
        <w:spacing w:after="0" w:line="298" w:lineRule="auto"/>
        <w:rPr>
          <w:sz w:val="20"/>
          <w:szCs w:val="20"/>
          <w:color w:val="auto"/>
        </w:rPr>
      </w:pPr>
      <w:r>
        <w:rPr>
          <w:rFonts w:ascii="Arial" w:cs="Arial" w:eastAsia="Arial" w:hAnsi="Arial"/>
          <w:sz w:val="15"/>
          <w:szCs w:val="15"/>
          <w:color w:val="auto"/>
        </w:rPr>
        <w:t>Non-compensation expense increased $61 million, or 29%, as compared to the 2014 period. In the 2015 period, non-compensation expense included a charge of $60 million related to the redemption of a substantial majority of the Company’s 2017 Notes. When excluding such charge, as well as non-compensation costs relating to noncontrolling interests, adjusted non-compensation expense increased $2 million, or 1%, as compared to the 2014 period, primarily reflecting increased business activity and investment in our businesses. The ratio of adjusted non-compensation expense to operating revenue was 18.2%, as compared to 19.3% in the 2014 period.</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Amortization of intangible assets increased $1 million, or 50%, in the 2015 period as compared to the 2014 period.</w:t>
      </w:r>
    </w:p>
    <w:p>
      <w:pPr>
        <w:spacing w:after="0" w:line="170" w:lineRule="exact"/>
        <w:rPr>
          <w:sz w:val="20"/>
          <w:szCs w:val="20"/>
          <w:color w:val="auto"/>
        </w:rPr>
      </w:pPr>
    </w:p>
    <w:p>
      <w:pPr>
        <w:ind w:right="120" w:firstLine="457"/>
        <w:spacing w:after="0" w:line="280" w:lineRule="auto"/>
        <w:rPr>
          <w:sz w:val="20"/>
          <w:szCs w:val="20"/>
          <w:color w:val="auto"/>
        </w:rPr>
      </w:pPr>
      <w:r>
        <w:rPr>
          <w:rFonts w:ascii="Arial" w:cs="Arial" w:eastAsia="Arial" w:hAnsi="Arial"/>
          <w:sz w:val="16"/>
          <w:szCs w:val="16"/>
          <w:color w:val="auto"/>
        </w:rPr>
        <w:t>Based on the possible utilization of certain deferred tax assets that are subject to the tax receivable agreement, the provision pursuant to the tax receivable agreement in the 2015 period was $968 million, as compared to $9 million in the 2014 period (see Note 14 of Notes to Condensed Consolidated Financial Statements for additional information).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440" w:right="23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40" w:firstLine="457"/>
        <w:spacing w:after="0" w:line="280" w:lineRule="auto"/>
        <w:rPr>
          <w:sz w:val="20"/>
          <w:szCs w:val="20"/>
          <w:color w:val="auto"/>
        </w:rPr>
      </w:pPr>
      <w:r>
        <w:rPr>
          <w:rFonts w:ascii="Arial" w:cs="Arial" w:eastAsia="Arial" w:hAnsi="Arial"/>
          <w:sz w:val="16"/>
          <w:szCs w:val="16"/>
          <w:color w:val="auto"/>
        </w:rPr>
        <w:t>Operating income, which included the charge relating to the redemption of a substantial majority of the Company’s 2017 Notes, as well as the impact of the provision pursuant to the tax receivable agreement described above, decreased $933 million as compared to the 2014 period, and, as a percentage of net revenue, was (61.2)%, as compared to 18.7% in the 2014 period.</w:t>
      </w:r>
    </w:p>
    <w:p>
      <w:pPr>
        <w:spacing w:after="0" w:line="115" w:lineRule="exact"/>
        <w:rPr>
          <w:sz w:val="20"/>
          <w:szCs w:val="20"/>
          <w:color w:val="auto"/>
        </w:rPr>
      </w:pPr>
    </w:p>
    <w:p>
      <w:pPr>
        <w:ind w:right="240" w:firstLine="457"/>
        <w:spacing w:after="0" w:line="280" w:lineRule="auto"/>
        <w:rPr>
          <w:sz w:val="20"/>
          <w:szCs w:val="20"/>
          <w:color w:val="auto"/>
        </w:rPr>
      </w:pPr>
      <w:r>
        <w:rPr>
          <w:rFonts w:ascii="Arial" w:cs="Arial" w:eastAsia="Arial" w:hAnsi="Arial"/>
          <w:sz w:val="16"/>
          <w:szCs w:val="16"/>
          <w:color w:val="auto"/>
        </w:rPr>
        <w:t>Earnings from operations, which excluded the charge related to the redemption of a substantial majority of the Company’s 2017 Notes, as well as the impact of the provision pursuant to the tax receivable agreement described above, increased $68 million, or 28%, as compared to the 2014 period, and, as a percentage of operating revenue, was 26.2%, as compared to 21.9% in the 2014 period.</w:t>
      </w:r>
    </w:p>
    <w:p>
      <w:pPr>
        <w:spacing w:after="0" w:line="115" w:lineRule="exact"/>
        <w:rPr>
          <w:sz w:val="20"/>
          <w:szCs w:val="20"/>
          <w:color w:val="auto"/>
        </w:rPr>
      </w:pPr>
    </w:p>
    <w:p>
      <w:pPr>
        <w:ind w:firstLine="457"/>
        <w:spacing w:after="0" w:line="274" w:lineRule="auto"/>
        <w:rPr>
          <w:sz w:val="20"/>
          <w:szCs w:val="20"/>
          <w:color w:val="auto"/>
        </w:rPr>
      </w:pPr>
      <w:r>
        <w:rPr>
          <w:rFonts w:ascii="Arial" w:cs="Arial" w:eastAsia="Arial" w:hAnsi="Arial"/>
          <w:sz w:val="16"/>
          <w:szCs w:val="16"/>
          <w:color w:val="auto"/>
        </w:rPr>
        <w:t>The provision for income taxes reflects an effective tax rate of 160.2%, as compared to 16.9% for the 2014 period. The increase in the effective tax rate in 2015 as compared to 2014 was primarily driven by (i) the reduction of operating income as a result of the provision pursuant to the tax receivable agreement described above, and (ii) the provision (benefit) for income taxes, which was impacted by the recognition in the second quarter of 2015 of deferred tax assets of $1,199 million described above under “Financial Statement Overview—Provision for Income Taxes and Tax Receivable Agreement.”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income attributable to noncontrolling interests increased $2 million as compared to the 2014 period.</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Segments</w:t>
      </w:r>
    </w:p>
    <w:p>
      <w:pPr>
        <w:spacing w:after="0" w:line="98" w:lineRule="exact"/>
        <w:rPr>
          <w:sz w:val="20"/>
          <w:szCs w:val="20"/>
          <w:color w:val="auto"/>
        </w:rPr>
      </w:pPr>
    </w:p>
    <w:p>
      <w:pPr>
        <w:ind w:right="260" w:firstLine="457"/>
        <w:spacing w:after="0" w:line="269" w:lineRule="auto"/>
        <w:rPr>
          <w:sz w:val="20"/>
          <w:szCs w:val="20"/>
          <w:color w:val="auto"/>
        </w:rPr>
      </w:pPr>
      <w:r>
        <w:rPr>
          <w:rFonts w:ascii="Arial" w:cs="Arial" w:eastAsia="Arial" w:hAnsi="Arial"/>
          <w:sz w:val="16"/>
          <w:szCs w:val="16"/>
          <w:color w:val="auto"/>
        </w:rPr>
        <w:t>The following is a discussion of net revenue and operating income for the Company’s segments: Financial Advisory, Asset Management and Corporate. Each segment’s operating expenses include (i) compensation and benefits expenses that are incurred directly in support of the segment and (ii) 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human resources, legal, information technology, facilities management and senior management activities. Such support costs are allocated to the relevant segments based on various statistical drivers such as revenue, headcount, square footage and other factors.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440" w:right="23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Advisory</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summarize the reported operating results attributable to the Financial Advisory segment:</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20" w:type="dxa"/>
            <w:vAlign w:val="bottom"/>
            <w:gridSpan w:val="6"/>
          </w:tcPr>
          <w:p>
            <w:pPr>
              <w:jc w:val="right"/>
              <w:ind w:right="1020"/>
              <w:spacing w:after="0"/>
              <w:rPr>
                <w:sz w:val="20"/>
                <w:szCs w:val="20"/>
                <w:color w:val="auto"/>
              </w:rPr>
            </w:pPr>
            <w:r>
              <w:rPr>
                <w:rFonts w:ascii="Arial" w:cs="Arial" w:eastAsia="Arial" w:hAnsi="Arial"/>
                <w:sz w:val="13"/>
                <w:szCs w:val="13"/>
                <w:b w:val="1"/>
                <w:bCs w:val="1"/>
                <w:color w:val="auto"/>
              </w:rPr>
              <w:t>Three Months Ended</w:t>
            </w:r>
          </w:p>
        </w:tc>
        <w:tc>
          <w:tcPr>
            <w:tcW w:w="2060" w:type="dxa"/>
            <w:vAlign w:val="bottom"/>
            <w:gridSpan w:val="5"/>
          </w:tcPr>
          <w:p>
            <w:pPr>
              <w:jc w:val="right"/>
              <w:ind w:right="62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9"/>
              </w:rPr>
              <w:t>June 30,</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9"/>
              </w:rPr>
              <w:t>June 30,</w:t>
            </w: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22"/>
              <w:spacing w:after="0" w:line="132" w:lineRule="exact"/>
              <w:rPr>
                <w:sz w:val="20"/>
                <w:szCs w:val="20"/>
                <w:color w:val="auto"/>
              </w:rPr>
            </w:pPr>
            <w:r>
              <w:rPr>
                <w:rFonts w:ascii="Arial" w:cs="Arial" w:eastAsia="Arial" w:hAnsi="Arial"/>
                <w:sz w:val="13"/>
                <w:szCs w:val="13"/>
                <w:b w:val="1"/>
                <w:bCs w:val="1"/>
                <w:color w:val="auto"/>
              </w:rPr>
              <w:t>2015</w:t>
            </w:r>
          </w:p>
        </w:tc>
        <w:tc>
          <w:tcPr>
            <w:tcW w:w="5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22"/>
              <w:spacing w:after="0" w:line="132" w:lineRule="exact"/>
              <w:rPr>
                <w:sz w:val="20"/>
                <w:szCs w:val="20"/>
                <w:color w:val="auto"/>
              </w:rPr>
            </w:pPr>
            <w:r>
              <w:rPr>
                <w:rFonts w:ascii="Arial" w:cs="Arial" w:eastAsia="Arial" w:hAnsi="Arial"/>
                <w:sz w:val="13"/>
                <w:szCs w:val="13"/>
                <w:b w:val="1"/>
                <w:bCs w:val="1"/>
                <w:color w:val="auto"/>
              </w:rPr>
              <w:t>2014</w:t>
            </w:r>
          </w:p>
        </w:tc>
        <w:tc>
          <w:tcPr>
            <w:tcW w:w="6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02"/>
              <w:spacing w:after="0" w:line="132" w:lineRule="exact"/>
              <w:rPr>
                <w:sz w:val="20"/>
                <w:szCs w:val="20"/>
                <w:color w:val="auto"/>
              </w:rPr>
            </w:pPr>
            <w:r>
              <w:rPr>
                <w:rFonts w:ascii="Arial" w:cs="Arial" w:eastAsia="Arial" w:hAnsi="Arial"/>
                <w:sz w:val="13"/>
                <w:szCs w:val="13"/>
                <w:b w:val="1"/>
                <w:bCs w:val="1"/>
                <w:color w:val="auto"/>
              </w:rPr>
              <w:t>2015</w:t>
            </w:r>
          </w:p>
        </w:tc>
        <w:tc>
          <w:tcPr>
            <w:tcW w:w="6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20"/>
              <w:spacing w:after="0" w:line="132" w:lineRule="exact"/>
              <w:rPr>
                <w:sz w:val="20"/>
                <w:szCs w:val="20"/>
                <w:color w:val="auto"/>
              </w:rPr>
            </w:pPr>
            <w:r>
              <w:rPr>
                <w:rFonts w:ascii="Arial" w:cs="Arial" w:eastAsia="Arial" w:hAnsi="Arial"/>
                <w:sz w:val="13"/>
                <w:szCs w:val="13"/>
                <w:b w:val="1"/>
                <w:bCs w:val="1"/>
                <w:color w:val="auto"/>
              </w:rPr>
              <w:t>2014</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20" w:type="dxa"/>
            <w:vAlign w:val="bottom"/>
            <w:gridSpan w:val="4"/>
          </w:tcPr>
          <w:p>
            <w:pPr>
              <w:jc w:val="right"/>
              <w:ind w:right="1057"/>
              <w:spacing w:after="0" w:line="144" w:lineRule="exact"/>
              <w:rPr>
                <w:sz w:val="20"/>
                <w:szCs w:val="20"/>
                <w:color w:val="auto"/>
              </w:rPr>
            </w:pPr>
            <w:r>
              <w:rPr>
                <w:rFonts w:ascii="Arial" w:cs="Arial" w:eastAsia="Arial" w:hAnsi="Arial"/>
                <w:sz w:val="13"/>
                <w:szCs w:val="13"/>
                <w:b w:val="1"/>
                <w:bCs w:val="1"/>
                <w:color w:val="auto"/>
              </w:rPr>
              <w:t>($ in thousands)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M&amp;A and Other Advisory</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273,150</w:t>
            </w:r>
          </w:p>
        </w:tc>
        <w:tc>
          <w:tcPr>
            <w:tcW w:w="58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w w:val="93"/>
              </w:rPr>
              <w:t>233,313</w:t>
            </w:r>
          </w:p>
        </w:tc>
        <w:tc>
          <w:tcPr>
            <w:tcW w:w="1240" w:type="dxa"/>
            <w:vAlign w:val="bottom"/>
            <w:gridSpan w:val="2"/>
            <w:shd w:val="clear" w:color="auto" w:fill="CCEEFF"/>
          </w:tcPr>
          <w:p>
            <w:pPr>
              <w:jc w:val="right"/>
              <w:ind w:right="557"/>
              <w:spacing w:after="0"/>
              <w:rPr>
                <w:sz w:val="20"/>
                <w:szCs w:val="20"/>
                <w:color w:val="auto"/>
              </w:rPr>
            </w:pPr>
            <w:r>
              <w:rPr>
                <w:rFonts w:ascii="Arial" w:cs="Arial" w:eastAsia="Arial" w:hAnsi="Arial"/>
                <w:sz w:val="16"/>
                <w:szCs w:val="16"/>
                <w:color w:val="auto"/>
                <w:w w:val="89"/>
              </w:rPr>
              <w:t>$533,954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9"/>
              </w:rPr>
              <w:t>472,457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tcPr>
          <w:p>
            <w:pPr>
              <w:spacing w:after="0"/>
              <w:rPr>
                <w:sz w:val="20"/>
                <w:szCs w:val="20"/>
                <w:color w:val="auto"/>
              </w:rPr>
            </w:pPr>
            <w:r>
              <w:rPr>
                <w:rFonts w:ascii="Arial" w:cs="Arial" w:eastAsia="Arial" w:hAnsi="Arial"/>
                <w:sz w:val="16"/>
                <w:szCs w:val="16"/>
                <w:color w:val="auto"/>
              </w:rPr>
              <w:t>Capital Raising</w:t>
            </w: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17,293</w:t>
            </w: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26,574</w:t>
            </w:r>
          </w:p>
        </w:tc>
        <w:tc>
          <w:tcPr>
            <w:tcW w:w="620" w:type="dxa"/>
            <w:vAlign w:val="bottom"/>
          </w:tcPr>
          <w:p>
            <w:pPr>
              <w:spacing w:after="0"/>
              <w:rPr>
                <w:sz w:val="17"/>
                <w:szCs w:val="17"/>
                <w:color w:val="auto"/>
              </w:rPr>
            </w:pPr>
          </w:p>
        </w:tc>
        <w:tc>
          <w:tcPr>
            <w:tcW w:w="1240" w:type="dxa"/>
            <w:vAlign w:val="bottom"/>
            <w:gridSpan w:val="2"/>
          </w:tcPr>
          <w:p>
            <w:pPr>
              <w:jc w:val="right"/>
              <w:ind w:right="557"/>
              <w:spacing w:after="0"/>
              <w:rPr>
                <w:sz w:val="20"/>
                <w:szCs w:val="20"/>
                <w:color w:val="auto"/>
              </w:rPr>
            </w:pPr>
            <w:r>
              <w:rPr>
                <w:rFonts w:ascii="Arial" w:cs="Arial" w:eastAsia="Arial" w:hAnsi="Arial"/>
                <w:sz w:val="16"/>
                <w:szCs w:val="16"/>
                <w:color w:val="auto"/>
              </w:rPr>
              <w:t>34,862</w:t>
            </w: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32,790</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Strategic Advisory</w:t>
            </w:r>
          </w:p>
        </w:tc>
        <w:tc>
          <w:tcPr>
            <w:tcW w:w="2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290,443</w:t>
            </w: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259,887</w:t>
            </w:r>
          </w:p>
        </w:tc>
        <w:tc>
          <w:tcPr>
            <w:tcW w:w="6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57"/>
              <w:spacing w:after="0"/>
              <w:rPr>
                <w:sz w:val="20"/>
                <w:szCs w:val="20"/>
                <w:color w:val="auto"/>
              </w:rPr>
            </w:pPr>
            <w:r>
              <w:rPr>
                <w:rFonts w:ascii="Arial" w:cs="Arial" w:eastAsia="Arial" w:hAnsi="Arial"/>
                <w:sz w:val="16"/>
                <w:szCs w:val="16"/>
                <w:color w:val="auto"/>
              </w:rPr>
              <w:t>568,816</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9"/>
              </w:rPr>
              <w:t>505,247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tcPr>
          <w:p>
            <w:pPr>
              <w:spacing w:after="0"/>
              <w:rPr>
                <w:sz w:val="20"/>
                <w:szCs w:val="20"/>
                <w:color w:val="auto"/>
              </w:rPr>
            </w:pPr>
            <w:r>
              <w:rPr>
                <w:rFonts w:ascii="Arial" w:cs="Arial" w:eastAsia="Arial" w:hAnsi="Arial"/>
                <w:sz w:val="16"/>
                <w:szCs w:val="16"/>
                <w:color w:val="auto"/>
              </w:rPr>
              <w:t>Restructuring</w:t>
            </w: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25,941</w:t>
            </w: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20,882</w:t>
            </w:r>
          </w:p>
        </w:tc>
        <w:tc>
          <w:tcPr>
            <w:tcW w:w="620" w:type="dxa"/>
            <w:vAlign w:val="bottom"/>
          </w:tcPr>
          <w:p>
            <w:pPr>
              <w:spacing w:after="0"/>
              <w:rPr>
                <w:sz w:val="17"/>
                <w:szCs w:val="17"/>
                <w:color w:val="auto"/>
              </w:rPr>
            </w:pPr>
          </w:p>
        </w:tc>
        <w:tc>
          <w:tcPr>
            <w:tcW w:w="1240" w:type="dxa"/>
            <w:vAlign w:val="bottom"/>
            <w:gridSpan w:val="2"/>
          </w:tcPr>
          <w:p>
            <w:pPr>
              <w:jc w:val="right"/>
              <w:ind w:right="557"/>
              <w:spacing w:after="0"/>
              <w:rPr>
                <w:sz w:val="20"/>
                <w:szCs w:val="20"/>
                <w:color w:val="auto"/>
              </w:rPr>
            </w:pPr>
            <w:r>
              <w:rPr>
                <w:rFonts w:ascii="Arial" w:cs="Arial" w:eastAsia="Arial" w:hAnsi="Arial"/>
                <w:sz w:val="16"/>
                <w:szCs w:val="16"/>
                <w:color w:val="auto"/>
              </w:rPr>
              <w:t>49,087</w:t>
            </w: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51,018</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Net Revenue</w:t>
            </w:r>
          </w:p>
        </w:tc>
        <w:tc>
          <w:tcPr>
            <w:tcW w:w="2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316,384</w:t>
            </w: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280,769</w:t>
            </w:r>
          </w:p>
        </w:tc>
        <w:tc>
          <w:tcPr>
            <w:tcW w:w="6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57"/>
              <w:spacing w:after="0"/>
              <w:rPr>
                <w:sz w:val="20"/>
                <w:szCs w:val="20"/>
                <w:color w:val="auto"/>
              </w:rPr>
            </w:pPr>
            <w:r>
              <w:rPr>
                <w:rFonts w:ascii="Arial" w:cs="Arial" w:eastAsia="Arial" w:hAnsi="Arial"/>
                <w:sz w:val="16"/>
                <w:szCs w:val="16"/>
                <w:color w:val="auto"/>
              </w:rPr>
              <w:t>617,903</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9"/>
              </w:rPr>
              <w:t>556,265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tcPr>
          <w:p>
            <w:pPr>
              <w:spacing w:after="0"/>
              <w:rPr>
                <w:sz w:val="20"/>
                <w:szCs w:val="20"/>
                <w:color w:val="auto"/>
              </w:rPr>
            </w:pPr>
            <w:r>
              <w:rPr>
                <w:rFonts w:ascii="Arial" w:cs="Arial" w:eastAsia="Arial" w:hAnsi="Arial"/>
                <w:sz w:val="16"/>
                <w:szCs w:val="16"/>
                <w:color w:val="auto"/>
              </w:rPr>
              <w:t>Operating Expenses</w:t>
            </w: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253,221</w:t>
            </w: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3"/>
              </w:rPr>
              <w:t>253,804</w:t>
            </w:r>
          </w:p>
        </w:tc>
        <w:tc>
          <w:tcPr>
            <w:tcW w:w="620" w:type="dxa"/>
            <w:vAlign w:val="bottom"/>
          </w:tcPr>
          <w:p>
            <w:pPr>
              <w:spacing w:after="0"/>
              <w:rPr>
                <w:sz w:val="17"/>
                <w:szCs w:val="17"/>
                <w:color w:val="auto"/>
              </w:rPr>
            </w:pPr>
          </w:p>
        </w:tc>
        <w:tc>
          <w:tcPr>
            <w:tcW w:w="1240" w:type="dxa"/>
            <w:vAlign w:val="bottom"/>
            <w:gridSpan w:val="2"/>
          </w:tcPr>
          <w:p>
            <w:pPr>
              <w:jc w:val="right"/>
              <w:ind w:right="557"/>
              <w:spacing w:after="0"/>
              <w:rPr>
                <w:sz w:val="20"/>
                <w:szCs w:val="20"/>
                <w:color w:val="auto"/>
              </w:rPr>
            </w:pPr>
            <w:r>
              <w:rPr>
                <w:rFonts w:ascii="Arial" w:cs="Arial" w:eastAsia="Arial" w:hAnsi="Arial"/>
                <w:sz w:val="16"/>
                <w:szCs w:val="16"/>
                <w:color w:val="auto"/>
              </w:rPr>
              <w:t>496,156</w:t>
            </w: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w w:val="89"/>
              </w:rPr>
              <w:t>499,219</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20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63,163</w:t>
            </w:r>
          </w:p>
        </w:tc>
        <w:tc>
          <w:tcPr>
            <w:tcW w:w="58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26,965</w:t>
            </w:r>
          </w:p>
        </w:tc>
        <w:tc>
          <w:tcPr>
            <w:tcW w:w="1240" w:type="dxa"/>
            <w:vAlign w:val="bottom"/>
            <w:gridSpan w:val="2"/>
            <w:shd w:val="clear" w:color="auto" w:fill="CCEEFF"/>
          </w:tcPr>
          <w:p>
            <w:pPr>
              <w:jc w:val="right"/>
              <w:ind w:right="557"/>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121,747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57,046</w:t>
            </w: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6"/>
                <w:szCs w:val="16"/>
                <w:color w:val="auto"/>
              </w:rPr>
              <w:t>Operating Income, as a % of net revenue</w:t>
            </w:r>
          </w:p>
        </w:tc>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760" w:type="dxa"/>
            <w:vAlign w:val="bottom"/>
            <w:gridSpan w:val="2"/>
            <w:vMerge w:val="continue"/>
          </w:tcPr>
          <w:p>
            <w:pPr>
              <w:spacing w:after="0"/>
              <w:rPr>
                <w:sz w:val="16"/>
                <w:szCs w:val="16"/>
                <w:color w:val="auto"/>
              </w:rPr>
            </w:pP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377"/>
              <w:spacing w:after="0"/>
              <w:rPr>
                <w:sz w:val="20"/>
                <w:szCs w:val="20"/>
                <w:color w:val="auto"/>
              </w:rPr>
            </w:pPr>
            <w:r>
              <w:rPr>
                <w:rFonts w:ascii="Arial" w:cs="Arial" w:eastAsia="Arial" w:hAnsi="Arial"/>
                <w:sz w:val="16"/>
                <w:szCs w:val="16"/>
                <w:color w:val="auto"/>
              </w:rPr>
              <w:t>20.0%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6"/>
                <w:szCs w:val="16"/>
                <w:color w:val="auto"/>
              </w:rPr>
              <w:t>9.6%</w:t>
            </w:r>
          </w:p>
        </w:tc>
        <w:tc>
          <w:tcPr>
            <w:tcW w:w="1240" w:type="dxa"/>
            <w:vAlign w:val="bottom"/>
            <w:gridSpan w:val="2"/>
          </w:tcPr>
          <w:p>
            <w:pPr>
              <w:jc w:val="right"/>
              <w:ind w:right="417"/>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right="40" w:firstLine="457"/>
        <w:spacing w:after="0" w:line="288" w:lineRule="auto"/>
        <w:rPr>
          <w:sz w:val="20"/>
          <w:szCs w:val="20"/>
          <w:color w:val="auto"/>
        </w:rPr>
      </w:pPr>
      <w:r>
        <w:rPr>
          <w:rFonts w:ascii="Arial" w:cs="Arial" w:eastAsia="Arial" w:hAnsi="Arial"/>
          <w:sz w:val="15"/>
          <w:szCs w:val="15"/>
          <w:color w:val="auto"/>
        </w:rPr>
        <w:t>Net revenue trends in Financial Advisory for M&amp;A and Other Advisory and Restructuring are generally correlated to the level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 For example, our M&amp;A and Other Advisory revenue, which includes Sovereign and Capital Structure Advisory revenue, increased 13% in 2015 as compared to 2014. In contrast, the industry statistics for global M&amp;A transactions described above reflect a 30% increase in the value, and a 13% decrease in the number, of all completed transactions in the first half of 2015 as compared to 2014. For M&amp;A deals with values greater than $500 million, the value and number of completed transactions in the first half of 2015 increased 44% and 7%, respectively, as compared to 2014.</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Lazard fee and transaction statistics are set forth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80" w:type="dxa"/>
            <w:vAlign w:val="bottom"/>
            <w:gridSpan w:val="4"/>
          </w:tcPr>
          <w:p>
            <w:pPr>
              <w:jc w:val="center"/>
              <w:ind w:right="760"/>
              <w:spacing w:after="0"/>
              <w:rPr>
                <w:sz w:val="20"/>
                <w:szCs w:val="20"/>
                <w:color w:val="auto"/>
              </w:rPr>
            </w:pPr>
            <w:r>
              <w:rPr>
                <w:rFonts w:ascii="Arial" w:cs="Arial" w:eastAsia="Arial" w:hAnsi="Arial"/>
                <w:sz w:val="13"/>
                <w:szCs w:val="13"/>
                <w:b w:val="1"/>
                <w:bCs w:val="1"/>
                <w:color w:val="auto"/>
                <w:w w:val="90"/>
              </w:rPr>
              <w:t>Three Months Ended</w:t>
            </w:r>
          </w:p>
        </w:tc>
        <w:tc>
          <w:tcPr>
            <w:tcW w:w="1920" w:type="dxa"/>
            <w:vAlign w:val="bottom"/>
            <w:gridSpan w:val="4"/>
          </w:tcPr>
          <w:p>
            <w:pPr>
              <w:jc w:val="right"/>
              <w:ind w:right="560"/>
              <w:spacing w:after="0"/>
              <w:rPr>
                <w:sz w:val="20"/>
                <w:szCs w:val="20"/>
                <w:color w:val="auto"/>
              </w:rPr>
            </w:pPr>
            <w:r>
              <w:rPr>
                <w:rFonts w:ascii="Arial" w:cs="Arial" w:eastAsia="Arial" w:hAnsi="Arial"/>
                <w:sz w:val="13"/>
                <w:szCs w:val="13"/>
                <w:b w:val="1"/>
                <w:bCs w:val="1"/>
                <w:color w:val="auto"/>
              </w:rPr>
              <w:t>Six Months Ended</w:t>
            </w:r>
          </w:p>
        </w:tc>
      </w:tr>
      <w:tr>
        <w:trPr>
          <w:trHeight w:val="152"/>
        </w:trPr>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June 30,</w:t>
            </w:r>
          </w:p>
        </w:tc>
        <w:tc>
          <w:tcPr>
            <w:tcW w:w="500" w:type="dxa"/>
            <w:vAlign w:val="bottom"/>
            <w:tcBorders>
              <w:bottom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June 30,</w:t>
            </w:r>
          </w:p>
        </w:tc>
        <w:tc>
          <w:tcPr>
            <w:tcW w:w="5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32"/>
        </w:trPr>
        <w:tc>
          <w:tcPr>
            <w:tcW w:w="300" w:type="dxa"/>
            <w:vAlign w:val="bottom"/>
            <w:tcBorders>
              <w:bottom w:val="single" w:sz="8" w:color="CCEEFF"/>
            </w:tcBorders>
          </w:tcPr>
          <w:p>
            <w:pPr>
              <w:spacing w:after="0"/>
              <w:rPr>
                <w:sz w:val="11"/>
                <w:szCs w:val="11"/>
                <w:color w:val="auto"/>
              </w:rPr>
            </w:pPr>
          </w:p>
        </w:tc>
        <w:tc>
          <w:tcPr>
            <w:tcW w:w="860" w:type="dxa"/>
            <w:vAlign w:val="bottom"/>
            <w:tcBorders>
              <w:bottom w:val="single" w:sz="8" w:color="CCEEFF"/>
            </w:tcBorders>
          </w:tcPr>
          <w:p>
            <w:pPr>
              <w:spacing w:after="0"/>
              <w:rPr>
                <w:sz w:val="11"/>
                <w:szCs w:val="11"/>
                <w:color w:val="auto"/>
              </w:rPr>
            </w:pPr>
          </w:p>
        </w:tc>
        <w:tc>
          <w:tcPr>
            <w:tcW w:w="4380" w:type="dxa"/>
            <w:vAlign w:val="bottom"/>
            <w:tcBorders>
              <w:bottom w:val="single" w:sz="8" w:color="CCEEFF"/>
            </w:tcBorders>
          </w:tcPr>
          <w:p>
            <w:pPr>
              <w:spacing w:after="0"/>
              <w:rPr>
                <w:sz w:val="11"/>
                <w:szCs w:val="11"/>
                <w:color w:val="auto"/>
              </w:rPr>
            </w:pPr>
          </w:p>
        </w:tc>
        <w:tc>
          <w:tcPr>
            <w:tcW w:w="148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jc w:val="right"/>
              <w:ind w:right="57"/>
              <w:spacing w:after="0" w:line="132" w:lineRule="exact"/>
              <w:rPr>
                <w:sz w:val="20"/>
                <w:szCs w:val="20"/>
                <w:color w:val="auto"/>
              </w:rPr>
            </w:pPr>
            <w:r>
              <w:rPr>
                <w:rFonts w:ascii="Arial" w:cs="Arial" w:eastAsia="Arial" w:hAnsi="Arial"/>
                <w:sz w:val="13"/>
                <w:szCs w:val="13"/>
                <w:b w:val="1"/>
                <w:bCs w:val="1"/>
                <w:color w:val="auto"/>
              </w:rPr>
              <w:t>2015</w:t>
            </w:r>
          </w:p>
        </w:tc>
        <w:tc>
          <w:tcPr>
            <w:tcW w:w="74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ind w:left="120"/>
              <w:spacing w:after="0" w:line="132" w:lineRule="exact"/>
              <w:rPr>
                <w:sz w:val="20"/>
                <w:szCs w:val="20"/>
                <w:color w:val="auto"/>
              </w:rPr>
            </w:pPr>
            <w:r>
              <w:rPr>
                <w:rFonts w:ascii="Arial" w:cs="Arial" w:eastAsia="Arial" w:hAnsi="Arial"/>
                <w:sz w:val="13"/>
                <w:szCs w:val="13"/>
                <w:b w:val="1"/>
                <w:bCs w:val="1"/>
                <w:color w:val="auto"/>
              </w:rPr>
              <w:t>2014</w:t>
            </w:r>
          </w:p>
        </w:tc>
        <w:tc>
          <w:tcPr>
            <w:tcW w:w="74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jc w:val="right"/>
              <w:ind w:right="44"/>
              <w:spacing w:after="0" w:line="132" w:lineRule="exact"/>
              <w:rPr>
                <w:sz w:val="20"/>
                <w:szCs w:val="20"/>
                <w:color w:val="auto"/>
              </w:rPr>
            </w:pPr>
            <w:r>
              <w:rPr>
                <w:rFonts w:ascii="Arial" w:cs="Arial" w:eastAsia="Arial" w:hAnsi="Arial"/>
                <w:sz w:val="13"/>
                <w:szCs w:val="13"/>
                <w:b w:val="1"/>
                <w:bCs w:val="1"/>
                <w:color w:val="auto"/>
              </w:rPr>
              <w:t>2015</w:t>
            </w:r>
          </w:p>
        </w:tc>
        <w:tc>
          <w:tcPr>
            <w:tcW w:w="74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jc w:val="right"/>
              <w:ind w:right="42"/>
              <w:spacing w:after="0" w:line="132" w:lineRule="exact"/>
              <w:rPr>
                <w:sz w:val="20"/>
                <w:szCs w:val="20"/>
                <w:color w:val="auto"/>
              </w:rPr>
            </w:pPr>
            <w:r>
              <w:rPr>
                <w:rFonts w:ascii="Arial" w:cs="Arial" w:eastAsia="Arial" w:hAnsi="Arial"/>
                <w:sz w:val="13"/>
                <w:szCs w:val="13"/>
                <w:b w:val="1"/>
                <w:bCs w:val="1"/>
                <w:color w:val="auto"/>
              </w:rPr>
              <w:t>2014</w:t>
            </w:r>
          </w:p>
        </w:tc>
        <w:tc>
          <w:tcPr>
            <w:tcW w:w="180" w:type="dxa"/>
            <w:vAlign w:val="bottom"/>
            <w:tcBorders>
              <w:bottom w:val="single" w:sz="8" w:color="CCEEFF"/>
            </w:tcBorders>
          </w:tcPr>
          <w:p>
            <w:pPr>
              <w:spacing w:after="0"/>
              <w:rPr>
                <w:sz w:val="11"/>
                <w:szCs w:val="11"/>
                <w:color w:val="auto"/>
              </w:rPr>
            </w:pPr>
          </w:p>
        </w:tc>
      </w:tr>
      <w:tr>
        <w:trPr>
          <w:trHeight w:val="182"/>
        </w:trPr>
        <w:tc>
          <w:tcPr>
            <w:tcW w:w="5540" w:type="dxa"/>
            <w:vAlign w:val="bottom"/>
            <w:gridSpan w:val="3"/>
            <w:shd w:val="clear" w:color="auto" w:fill="CCEEFF"/>
          </w:tcPr>
          <w:p>
            <w:pPr>
              <w:spacing w:after="0" w:line="182" w:lineRule="exact"/>
              <w:rPr>
                <w:sz w:val="20"/>
                <w:szCs w:val="20"/>
                <w:color w:val="auto"/>
              </w:rPr>
            </w:pPr>
            <w:r>
              <w:rPr>
                <w:rFonts w:ascii="Arial" w:cs="Arial" w:eastAsia="Arial" w:hAnsi="Arial"/>
                <w:sz w:val="16"/>
                <w:szCs w:val="16"/>
                <w:b w:val="1"/>
                <w:bCs w:val="1"/>
                <w:color w:val="auto"/>
              </w:rPr>
              <w:t>Lazard Statistics:</w:t>
            </w:r>
          </w:p>
        </w:tc>
        <w:tc>
          <w:tcPr>
            <w:tcW w:w="14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202"/>
        </w:trPr>
        <w:tc>
          <w:tcPr>
            <w:tcW w:w="5540" w:type="dxa"/>
            <w:vAlign w:val="bottom"/>
            <w:gridSpan w:val="3"/>
          </w:tcPr>
          <w:p>
            <w:pPr>
              <w:spacing w:after="0"/>
              <w:rPr>
                <w:sz w:val="20"/>
                <w:szCs w:val="20"/>
                <w:color w:val="auto"/>
              </w:rPr>
            </w:pPr>
            <w:r>
              <w:rPr>
                <w:rFonts w:ascii="Arial" w:cs="Arial" w:eastAsia="Arial" w:hAnsi="Arial"/>
                <w:sz w:val="16"/>
                <w:szCs w:val="16"/>
                <w:color w:val="auto"/>
              </w:rPr>
              <w:t>Number of clients with fees greater than $1 million:</w:t>
            </w:r>
          </w:p>
        </w:tc>
        <w:tc>
          <w:tcPr>
            <w:tcW w:w="1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2"/>
        </w:trPr>
        <w:tc>
          <w:tcPr>
            <w:tcW w:w="300" w:type="dxa"/>
            <w:vAlign w:val="bottom"/>
            <w:shd w:val="clear" w:color="auto" w:fill="CCEEFF"/>
          </w:tcPr>
          <w:p>
            <w:pPr>
              <w:spacing w:after="0"/>
              <w:rPr>
                <w:sz w:val="17"/>
                <w:szCs w:val="17"/>
                <w:color w:val="auto"/>
              </w:rPr>
            </w:pPr>
          </w:p>
        </w:tc>
        <w:tc>
          <w:tcPr>
            <w:tcW w:w="52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Total Financial Advisory</w:t>
            </w:r>
          </w:p>
        </w:tc>
        <w:tc>
          <w:tcPr>
            <w:tcW w:w="1980" w:type="dxa"/>
            <w:vAlign w:val="bottom"/>
            <w:gridSpan w:val="2"/>
            <w:shd w:val="clear" w:color="auto" w:fill="CCEEFF"/>
          </w:tcPr>
          <w:p>
            <w:pPr>
              <w:ind w:left="1820"/>
              <w:spacing w:after="0"/>
              <w:rPr>
                <w:sz w:val="20"/>
                <w:szCs w:val="20"/>
                <w:color w:val="auto"/>
              </w:rPr>
            </w:pPr>
            <w:r>
              <w:rPr>
                <w:rFonts w:ascii="Arial" w:cs="Arial" w:eastAsia="Arial" w:hAnsi="Arial"/>
                <w:sz w:val="16"/>
                <w:szCs w:val="16"/>
                <w:color w:val="auto"/>
                <w:w w:val="78"/>
              </w:rPr>
              <w:t>64</w:t>
            </w: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ind w:left="340"/>
              <w:spacing w:after="0"/>
              <w:rPr>
                <w:sz w:val="20"/>
                <w:szCs w:val="20"/>
                <w:color w:val="auto"/>
              </w:rPr>
            </w:pPr>
            <w:r>
              <w:rPr>
                <w:rFonts w:ascii="Arial" w:cs="Arial" w:eastAsia="Arial" w:hAnsi="Arial"/>
                <w:sz w:val="16"/>
                <w:szCs w:val="16"/>
                <w:color w:val="auto"/>
                <w:w w:val="78"/>
              </w:rPr>
              <w:t>70</w:t>
            </w:r>
          </w:p>
        </w:tc>
        <w:tc>
          <w:tcPr>
            <w:tcW w:w="7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77"/>
              <w:spacing w:after="0"/>
              <w:rPr>
                <w:sz w:val="20"/>
                <w:szCs w:val="20"/>
                <w:color w:val="auto"/>
              </w:rPr>
            </w:pPr>
            <w:r>
              <w:rPr>
                <w:rFonts w:ascii="Arial" w:cs="Arial" w:eastAsia="Arial" w:hAnsi="Arial"/>
                <w:sz w:val="16"/>
                <w:szCs w:val="16"/>
                <w:color w:val="auto"/>
              </w:rPr>
              <w:t>131</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137</w:t>
            </w:r>
          </w:p>
        </w:tc>
      </w:tr>
      <w:tr>
        <w:trPr>
          <w:trHeight w:val="202"/>
        </w:trPr>
        <w:tc>
          <w:tcPr>
            <w:tcW w:w="300" w:type="dxa"/>
            <w:vAlign w:val="bottom"/>
          </w:tcPr>
          <w:p>
            <w:pPr>
              <w:spacing w:after="0"/>
              <w:rPr>
                <w:sz w:val="17"/>
                <w:szCs w:val="17"/>
                <w:color w:val="auto"/>
              </w:rPr>
            </w:pPr>
          </w:p>
        </w:tc>
        <w:tc>
          <w:tcPr>
            <w:tcW w:w="5240" w:type="dxa"/>
            <w:vAlign w:val="bottom"/>
            <w:gridSpan w:val="2"/>
          </w:tcPr>
          <w:p>
            <w:pPr>
              <w:ind w:left="100"/>
              <w:spacing w:after="0"/>
              <w:rPr>
                <w:sz w:val="20"/>
                <w:szCs w:val="20"/>
                <w:color w:val="auto"/>
              </w:rPr>
            </w:pPr>
            <w:r>
              <w:rPr>
                <w:rFonts w:ascii="Arial" w:cs="Arial" w:eastAsia="Arial" w:hAnsi="Arial"/>
                <w:sz w:val="16"/>
                <w:szCs w:val="16"/>
                <w:color w:val="auto"/>
              </w:rPr>
              <w:t>M&amp;A and Other Advisory</w:t>
            </w:r>
          </w:p>
        </w:tc>
        <w:tc>
          <w:tcPr>
            <w:tcW w:w="1980" w:type="dxa"/>
            <w:vAlign w:val="bottom"/>
            <w:gridSpan w:val="2"/>
          </w:tcPr>
          <w:p>
            <w:pPr>
              <w:ind w:left="1820"/>
              <w:spacing w:after="0"/>
              <w:rPr>
                <w:sz w:val="20"/>
                <w:szCs w:val="20"/>
                <w:color w:val="auto"/>
              </w:rPr>
            </w:pPr>
            <w:r>
              <w:rPr>
                <w:rFonts w:ascii="Arial" w:cs="Arial" w:eastAsia="Arial" w:hAnsi="Arial"/>
                <w:sz w:val="16"/>
                <w:szCs w:val="16"/>
                <w:color w:val="auto"/>
                <w:w w:val="78"/>
              </w:rPr>
              <w:t>41</w:t>
            </w:r>
          </w:p>
        </w:tc>
        <w:tc>
          <w:tcPr>
            <w:tcW w:w="740" w:type="dxa"/>
            <w:vAlign w:val="bottom"/>
          </w:tcPr>
          <w:p>
            <w:pPr>
              <w:spacing w:after="0"/>
              <w:rPr>
                <w:sz w:val="17"/>
                <w:szCs w:val="17"/>
                <w:color w:val="auto"/>
              </w:rPr>
            </w:pPr>
          </w:p>
        </w:tc>
        <w:tc>
          <w:tcPr>
            <w:tcW w:w="500" w:type="dxa"/>
            <w:vAlign w:val="bottom"/>
          </w:tcPr>
          <w:p>
            <w:pPr>
              <w:ind w:left="340"/>
              <w:spacing w:after="0"/>
              <w:rPr>
                <w:sz w:val="20"/>
                <w:szCs w:val="20"/>
                <w:color w:val="auto"/>
              </w:rPr>
            </w:pPr>
            <w:r>
              <w:rPr>
                <w:rFonts w:ascii="Arial" w:cs="Arial" w:eastAsia="Arial" w:hAnsi="Arial"/>
                <w:sz w:val="16"/>
                <w:szCs w:val="16"/>
                <w:color w:val="auto"/>
                <w:w w:val="78"/>
              </w:rPr>
              <w:t>58</w:t>
            </w:r>
          </w:p>
        </w:tc>
        <w:tc>
          <w:tcPr>
            <w:tcW w:w="740" w:type="dxa"/>
            <w:vAlign w:val="bottom"/>
          </w:tcPr>
          <w:p>
            <w:pPr>
              <w:spacing w:after="0"/>
              <w:rPr>
                <w:sz w:val="17"/>
                <w:szCs w:val="17"/>
                <w:color w:val="auto"/>
              </w:rPr>
            </w:pPr>
          </w:p>
        </w:tc>
        <w:tc>
          <w:tcPr>
            <w:tcW w:w="1240" w:type="dxa"/>
            <w:vAlign w:val="bottom"/>
            <w:gridSpan w:val="2"/>
          </w:tcPr>
          <w:p>
            <w:pPr>
              <w:jc w:val="right"/>
              <w:ind w:right="677"/>
              <w:spacing w:after="0"/>
              <w:rPr>
                <w:sz w:val="20"/>
                <w:szCs w:val="20"/>
                <w:color w:val="auto"/>
              </w:rPr>
            </w:pPr>
            <w:r>
              <w:rPr>
                <w:rFonts w:ascii="Arial" w:cs="Arial" w:eastAsia="Arial" w:hAnsi="Arial"/>
                <w:sz w:val="16"/>
                <w:szCs w:val="16"/>
                <w:color w:val="auto"/>
              </w:rPr>
              <w:t>111</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110</w:t>
            </w:r>
          </w:p>
        </w:tc>
      </w:tr>
      <w:tr>
        <w:trPr>
          <w:trHeight w:val="202"/>
        </w:trPr>
        <w:tc>
          <w:tcPr>
            <w:tcW w:w="55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Percentage of total Financial Advisory net revenue from top 10 clients</w:t>
            </w:r>
          </w:p>
        </w:tc>
        <w:tc>
          <w:tcPr>
            <w:tcW w:w="2720" w:type="dxa"/>
            <w:vAlign w:val="bottom"/>
            <w:gridSpan w:val="3"/>
            <w:shd w:val="clear" w:color="auto" w:fill="CCEEFF"/>
          </w:tcPr>
          <w:p>
            <w:pPr>
              <w:ind w:left="1820"/>
              <w:spacing w:after="0"/>
              <w:rPr>
                <w:sz w:val="20"/>
                <w:szCs w:val="20"/>
                <w:color w:val="auto"/>
              </w:rPr>
            </w:pPr>
            <w:r>
              <w:rPr>
                <w:rFonts w:ascii="Arial" w:cs="Arial" w:eastAsia="Arial" w:hAnsi="Arial"/>
                <w:sz w:val="16"/>
                <w:szCs w:val="16"/>
                <w:color w:val="auto"/>
              </w:rPr>
              <w:t>43%</w:t>
            </w:r>
          </w:p>
        </w:tc>
        <w:tc>
          <w:tcPr>
            <w:tcW w:w="12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30%</w:t>
            </w:r>
          </w:p>
        </w:tc>
        <w:tc>
          <w:tcPr>
            <w:tcW w:w="1240" w:type="dxa"/>
            <w:vAlign w:val="bottom"/>
            <w:gridSpan w:val="2"/>
            <w:shd w:val="clear" w:color="auto" w:fill="CCEEFF"/>
          </w:tcPr>
          <w:p>
            <w:pPr>
              <w:jc w:val="right"/>
              <w:ind w:right="537"/>
              <w:spacing w:after="0"/>
              <w:rPr>
                <w:sz w:val="20"/>
                <w:szCs w:val="20"/>
                <w:color w:val="auto"/>
              </w:rPr>
            </w:pPr>
            <w:r>
              <w:rPr>
                <w:rFonts w:ascii="Arial" w:cs="Arial" w:eastAsia="Arial" w:hAnsi="Arial"/>
                <w:sz w:val="16"/>
                <w:szCs w:val="16"/>
                <w:color w:val="auto"/>
              </w:rPr>
              <w:t>29%</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r>
      <w:tr>
        <w:trPr>
          <w:trHeight w:val="209"/>
        </w:trPr>
        <w:tc>
          <w:tcPr>
            <w:tcW w:w="5540" w:type="dxa"/>
            <w:vAlign w:val="bottom"/>
            <w:gridSpan w:val="3"/>
          </w:tcPr>
          <w:p>
            <w:pPr>
              <w:spacing w:after="0"/>
              <w:rPr>
                <w:sz w:val="20"/>
                <w:szCs w:val="20"/>
                <w:color w:val="auto"/>
              </w:rPr>
            </w:pPr>
            <w:r>
              <w:rPr>
                <w:rFonts w:ascii="Arial" w:cs="Arial" w:eastAsia="Arial" w:hAnsi="Arial"/>
                <w:sz w:val="16"/>
                <w:szCs w:val="16"/>
                <w:color w:val="auto"/>
                <w:w w:val="96"/>
              </w:rPr>
              <w:t>Number of M&amp;A transactions completed with values greater than $500 million (a)</w:t>
            </w:r>
          </w:p>
        </w:tc>
        <w:tc>
          <w:tcPr>
            <w:tcW w:w="1980" w:type="dxa"/>
            <w:vAlign w:val="bottom"/>
            <w:gridSpan w:val="2"/>
          </w:tcPr>
          <w:p>
            <w:pPr>
              <w:ind w:left="1820"/>
              <w:spacing w:after="0"/>
              <w:rPr>
                <w:sz w:val="20"/>
                <w:szCs w:val="20"/>
                <w:color w:val="auto"/>
              </w:rPr>
            </w:pPr>
            <w:r>
              <w:rPr>
                <w:rFonts w:ascii="Arial" w:cs="Arial" w:eastAsia="Arial" w:hAnsi="Arial"/>
                <w:sz w:val="16"/>
                <w:szCs w:val="16"/>
                <w:color w:val="auto"/>
                <w:w w:val="78"/>
              </w:rPr>
              <w:t>22</w:t>
            </w:r>
          </w:p>
        </w:tc>
        <w:tc>
          <w:tcPr>
            <w:tcW w:w="740" w:type="dxa"/>
            <w:vAlign w:val="bottom"/>
          </w:tcPr>
          <w:p>
            <w:pPr>
              <w:spacing w:after="0"/>
              <w:rPr>
                <w:sz w:val="18"/>
                <w:szCs w:val="18"/>
                <w:color w:val="auto"/>
              </w:rPr>
            </w:pPr>
          </w:p>
        </w:tc>
        <w:tc>
          <w:tcPr>
            <w:tcW w:w="500" w:type="dxa"/>
            <w:vAlign w:val="bottom"/>
          </w:tcPr>
          <w:p>
            <w:pPr>
              <w:ind w:left="340"/>
              <w:spacing w:after="0"/>
              <w:rPr>
                <w:sz w:val="20"/>
                <w:szCs w:val="20"/>
                <w:color w:val="auto"/>
              </w:rPr>
            </w:pPr>
            <w:r>
              <w:rPr>
                <w:rFonts w:ascii="Arial" w:cs="Arial" w:eastAsia="Arial" w:hAnsi="Arial"/>
                <w:sz w:val="16"/>
                <w:szCs w:val="16"/>
                <w:color w:val="auto"/>
                <w:w w:val="78"/>
              </w:rPr>
              <w:t>14</w:t>
            </w:r>
          </w:p>
        </w:tc>
        <w:tc>
          <w:tcPr>
            <w:tcW w:w="740" w:type="dxa"/>
            <w:vAlign w:val="bottom"/>
          </w:tcPr>
          <w:p>
            <w:pPr>
              <w:spacing w:after="0"/>
              <w:rPr>
                <w:sz w:val="18"/>
                <w:szCs w:val="18"/>
                <w:color w:val="auto"/>
              </w:rPr>
            </w:pPr>
          </w:p>
        </w:tc>
        <w:tc>
          <w:tcPr>
            <w:tcW w:w="1240" w:type="dxa"/>
            <w:vAlign w:val="bottom"/>
            <w:gridSpan w:val="2"/>
          </w:tcPr>
          <w:p>
            <w:pPr>
              <w:jc w:val="right"/>
              <w:ind w:right="677"/>
              <w:spacing w:after="0"/>
              <w:rPr>
                <w:sz w:val="20"/>
                <w:szCs w:val="20"/>
                <w:color w:val="auto"/>
              </w:rPr>
            </w:pPr>
            <w:r>
              <w:rPr>
                <w:rFonts w:ascii="Arial" w:cs="Arial" w:eastAsia="Arial" w:hAnsi="Arial"/>
                <w:sz w:val="16"/>
                <w:szCs w:val="16"/>
                <w:color w:val="auto"/>
              </w:rPr>
              <w:t>42</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34</w:t>
            </w:r>
          </w:p>
        </w:tc>
      </w:tr>
      <w:tr>
        <w:trPr>
          <w:trHeight w:val="95"/>
        </w:trPr>
        <w:tc>
          <w:tcPr>
            <w:tcW w:w="3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3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218"/>
        </w:trPr>
        <w:tc>
          <w:tcPr>
            <w:tcW w:w="300" w:type="dxa"/>
            <w:vAlign w:val="bottom"/>
          </w:tcPr>
          <w:p>
            <w:pPr>
              <w:spacing w:after="0"/>
              <w:rPr>
                <w:sz w:val="20"/>
                <w:szCs w:val="20"/>
                <w:color w:val="auto"/>
              </w:rPr>
            </w:pPr>
            <w:r>
              <w:rPr>
                <w:rFonts w:ascii="Arial" w:cs="Arial" w:eastAsia="Arial" w:hAnsi="Arial"/>
                <w:sz w:val="16"/>
                <w:szCs w:val="16"/>
                <w:color w:val="auto"/>
              </w:rPr>
              <w:t>(a)</w:t>
            </w:r>
          </w:p>
        </w:tc>
        <w:tc>
          <w:tcPr>
            <w:tcW w:w="5240" w:type="dxa"/>
            <w:vAlign w:val="bottom"/>
            <w:gridSpan w:val="2"/>
          </w:tcPr>
          <w:p>
            <w:pPr>
              <w:ind w:left="160"/>
              <w:spacing w:after="0"/>
              <w:rPr>
                <w:sz w:val="20"/>
                <w:szCs w:val="20"/>
                <w:color w:val="auto"/>
              </w:rPr>
            </w:pPr>
            <w:r>
              <w:rPr>
                <w:rFonts w:ascii="Arial" w:cs="Arial" w:eastAsia="Arial" w:hAnsi="Arial"/>
                <w:sz w:val="16"/>
                <w:szCs w:val="16"/>
                <w:color w:val="auto"/>
              </w:rPr>
              <w:t>Source: Dealogic as of July 6, 2015.</w:t>
            </w:r>
          </w:p>
        </w:tc>
        <w:tc>
          <w:tcPr>
            <w:tcW w:w="1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42"/>
        </w:trPr>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480" w:type="dxa"/>
            <w:vAlign w:val="bottom"/>
          </w:tcPr>
          <w:p>
            <w:pPr>
              <w:jc w:val="right"/>
              <w:ind w:right="1138"/>
              <w:spacing w:after="0"/>
              <w:rPr>
                <w:sz w:val="20"/>
                <w:szCs w:val="20"/>
                <w:color w:val="auto"/>
              </w:rPr>
            </w:pPr>
            <w:r>
              <w:rPr>
                <w:rFonts w:ascii="Arial" w:cs="Arial" w:eastAsia="Arial" w:hAnsi="Arial"/>
                <w:sz w:val="16"/>
                <w:szCs w:val="16"/>
                <w:color w:val="auto"/>
              </w:rPr>
              <w:t>57</w:t>
            </w: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1420"/>
          </w:cols>
          <w:pgMar w:left="240" w:top="440" w:right="23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140" w:firstLine="457"/>
        <w:spacing w:after="0" w:line="280" w:lineRule="auto"/>
        <w:rPr>
          <w:sz w:val="20"/>
          <w:szCs w:val="20"/>
          <w:color w:val="auto"/>
        </w:rPr>
      </w:pPr>
      <w:r>
        <w:rPr>
          <w:rFonts w:ascii="Arial" w:cs="Arial" w:eastAsia="Arial" w:hAnsi="Arial"/>
          <w:sz w:val="16"/>
          <w:szCs w:val="16"/>
          <w:color w:val="auto"/>
        </w:rPr>
        <w:t>The geographical distribution of Financial Advisory net revenue is set forth below in percentage terms and is based on the Lazard offices that generate Financial Advisory net revenue, which are located in the U.S., Europe (primarily in the U.K., France, Italy, Spain and Germany) and the rest of the world (primarily in Australia) and therefore may not be reflective of the geography in which the clients are located.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940" w:type="dxa"/>
            <w:vAlign w:val="bottom"/>
          </w:tcPr>
          <w:p>
            <w:pPr>
              <w:spacing w:after="0"/>
              <w:rPr>
                <w:sz w:val="13"/>
                <w:szCs w:val="13"/>
                <w:color w:val="auto"/>
              </w:rPr>
            </w:pPr>
          </w:p>
        </w:tc>
        <w:tc>
          <w:tcPr>
            <w:tcW w:w="2520" w:type="dxa"/>
            <w:vAlign w:val="bottom"/>
            <w:gridSpan w:val="5"/>
          </w:tcPr>
          <w:p>
            <w:pPr>
              <w:jc w:val="right"/>
              <w:ind w:right="1060"/>
              <w:spacing w:after="0"/>
              <w:rPr>
                <w:sz w:val="20"/>
                <w:szCs w:val="20"/>
                <w:color w:val="auto"/>
              </w:rPr>
            </w:pPr>
            <w:r>
              <w:rPr>
                <w:rFonts w:ascii="Arial" w:cs="Arial" w:eastAsia="Arial" w:hAnsi="Arial"/>
                <w:sz w:val="13"/>
                <w:szCs w:val="13"/>
                <w:b w:val="1"/>
                <w:bCs w:val="1"/>
                <w:color w:val="auto"/>
              </w:rPr>
              <w:t>Three Months Ended</w:t>
            </w:r>
          </w:p>
        </w:tc>
        <w:tc>
          <w:tcPr>
            <w:tcW w:w="1400" w:type="dxa"/>
            <w:vAlign w:val="bottom"/>
            <w:gridSpan w:val="3"/>
          </w:tcPr>
          <w:p>
            <w:pPr>
              <w:jc w:val="center"/>
              <w:ind w:left="324"/>
              <w:spacing w:after="0"/>
              <w:rPr>
                <w:sz w:val="20"/>
                <w:szCs w:val="20"/>
                <w:color w:val="auto"/>
              </w:rPr>
            </w:pPr>
            <w:r>
              <w:rPr>
                <w:rFonts w:ascii="Arial" w:cs="Arial" w:eastAsia="Arial" w:hAnsi="Arial"/>
                <w:sz w:val="13"/>
                <w:szCs w:val="13"/>
                <w:b w:val="1"/>
                <w:bCs w:val="1"/>
                <w:color w:val="auto"/>
                <w:w w:val="88"/>
              </w:rPr>
              <w:t>Six Months Ended</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80" w:type="dxa"/>
            <w:vAlign w:val="bottom"/>
            <w:gridSpan w:val="3"/>
          </w:tcPr>
          <w:p>
            <w:pPr>
              <w:jc w:val="right"/>
              <w:ind w:right="1420"/>
              <w:spacing w:after="0"/>
              <w:rPr>
                <w:sz w:val="20"/>
                <w:szCs w:val="20"/>
                <w:color w:val="auto"/>
              </w:rPr>
            </w:pPr>
            <w:r>
              <w:rPr>
                <w:rFonts w:ascii="Arial" w:cs="Arial" w:eastAsia="Arial" w:hAnsi="Arial"/>
                <w:sz w:val="13"/>
                <w:szCs w:val="13"/>
                <w:b w:val="1"/>
                <w:bCs w:val="1"/>
                <w:color w:val="auto"/>
                <w:w w:val="84"/>
              </w:rPr>
              <w:t>June 30,</w:t>
            </w:r>
          </w:p>
        </w:tc>
        <w:tc>
          <w:tcPr>
            <w:tcW w:w="520" w:type="dxa"/>
            <w:vAlign w:val="bottom"/>
          </w:tcPr>
          <w:p>
            <w:pPr>
              <w:spacing w:after="0"/>
              <w:rPr>
                <w:sz w:val="13"/>
                <w:szCs w:val="13"/>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June 30,</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6940" w:type="dxa"/>
            <w:vAlign w:val="bottom"/>
            <w:tcBorders>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44"/>
              <w:spacing w:after="0" w:line="132" w:lineRule="exact"/>
              <w:rPr>
                <w:sz w:val="20"/>
                <w:szCs w:val="20"/>
                <w:color w:val="auto"/>
              </w:rPr>
            </w:pPr>
            <w:r>
              <w:rPr>
                <w:rFonts w:ascii="Arial" w:cs="Arial" w:eastAsia="Arial" w:hAnsi="Arial"/>
                <w:sz w:val="13"/>
                <w:szCs w:val="13"/>
                <w:b w:val="1"/>
                <w:bCs w:val="1"/>
                <w:color w:val="auto"/>
              </w:rPr>
              <w:t>2015</w:t>
            </w:r>
          </w:p>
        </w:tc>
        <w:tc>
          <w:tcPr>
            <w:tcW w:w="140" w:type="dxa"/>
            <w:vAlign w:val="bottom"/>
            <w:tcBorders>
              <w:top w:val="single" w:sz="8" w:color="auto"/>
              <w:bottom w:val="single" w:sz="8" w:color="CCEEFF"/>
            </w:tcBorders>
          </w:tcPr>
          <w:p>
            <w:pPr>
              <w:spacing w:after="0"/>
              <w:rPr>
                <w:sz w:val="11"/>
                <w:szCs w:val="11"/>
                <w:color w:val="auto"/>
              </w:rPr>
            </w:pPr>
          </w:p>
        </w:tc>
        <w:tc>
          <w:tcPr>
            <w:tcW w:w="620" w:type="dxa"/>
            <w:vAlign w:val="bottom"/>
            <w:tcBorders>
              <w:top w:val="single" w:sz="8" w:color="auto"/>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47"/>
              <w:spacing w:after="0" w:line="132" w:lineRule="exact"/>
              <w:rPr>
                <w:sz w:val="20"/>
                <w:szCs w:val="20"/>
                <w:color w:val="auto"/>
              </w:rPr>
            </w:pPr>
            <w:r>
              <w:rPr>
                <w:rFonts w:ascii="Arial" w:cs="Arial" w:eastAsia="Arial" w:hAnsi="Arial"/>
                <w:sz w:val="13"/>
                <w:szCs w:val="13"/>
                <w:b w:val="1"/>
                <w:bCs w:val="1"/>
                <w:color w:val="auto"/>
              </w:rPr>
              <w:t>2014</w:t>
            </w:r>
          </w:p>
        </w:tc>
        <w:tc>
          <w:tcPr>
            <w:tcW w:w="76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64"/>
              <w:spacing w:after="0" w:line="132" w:lineRule="exact"/>
              <w:rPr>
                <w:sz w:val="20"/>
                <w:szCs w:val="20"/>
                <w:color w:val="auto"/>
              </w:rPr>
            </w:pPr>
            <w:r>
              <w:rPr>
                <w:rFonts w:ascii="Arial" w:cs="Arial" w:eastAsia="Arial" w:hAnsi="Arial"/>
                <w:sz w:val="13"/>
                <w:szCs w:val="13"/>
                <w:b w:val="1"/>
                <w:bCs w:val="1"/>
                <w:color w:val="auto"/>
              </w:rPr>
              <w:t>2015</w:t>
            </w:r>
          </w:p>
        </w:tc>
        <w:tc>
          <w:tcPr>
            <w:tcW w:w="76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42"/>
              <w:spacing w:after="0" w:line="132" w:lineRule="exact"/>
              <w:rPr>
                <w:sz w:val="20"/>
                <w:szCs w:val="20"/>
                <w:color w:val="auto"/>
              </w:rPr>
            </w:pPr>
            <w:r>
              <w:rPr>
                <w:rFonts w:ascii="Arial" w:cs="Arial" w:eastAsia="Arial" w:hAnsi="Arial"/>
                <w:sz w:val="13"/>
                <w:szCs w:val="13"/>
                <w:b w:val="1"/>
                <w:bCs w:val="1"/>
                <w:color w:val="auto"/>
                <w:w w:val="82"/>
              </w:rPr>
              <w:t>2014</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940" w:type="dxa"/>
            <w:vAlign w:val="bottom"/>
            <w:shd w:val="clear" w:color="auto" w:fill="CCEEFF"/>
          </w:tcPr>
          <w:p>
            <w:pPr>
              <w:spacing w:after="0"/>
              <w:rPr>
                <w:sz w:val="20"/>
                <w:szCs w:val="20"/>
                <w:color w:val="auto"/>
              </w:rPr>
            </w:pPr>
            <w:r>
              <w:rPr>
                <w:rFonts w:ascii="Arial" w:cs="Arial" w:eastAsia="Arial" w:hAnsi="Arial"/>
                <w:sz w:val="16"/>
                <w:szCs w:val="16"/>
                <w:color w:val="auto"/>
              </w:rPr>
              <w:t>United States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6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48%</w:t>
            </w:r>
          </w:p>
        </w:tc>
        <w:tc>
          <w:tcPr>
            <w:tcW w:w="1280" w:type="dxa"/>
            <w:vAlign w:val="bottom"/>
            <w:gridSpan w:val="2"/>
            <w:shd w:val="clear" w:color="auto" w:fill="CCEEFF"/>
          </w:tcPr>
          <w:p>
            <w:pPr>
              <w:jc w:val="right"/>
              <w:ind w:right="577"/>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2"/>
        </w:trPr>
        <w:tc>
          <w:tcPr>
            <w:tcW w:w="6940" w:type="dxa"/>
            <w:vAlign w:val="bottom"/>
          </w:tcPr>
          <w:p>
            <w:pPr>
              <w:spacing w:after="0"/>
              <w:rPr>
                <w:sz w:val="20"/>
                <w:szCs w:val="20"/>
                <w:color w:val="auto"/>
              </w:rPr>
            </w:pPr>
            <w:r>
              <w:rPr>
                <w:rFonts w:ascii="Arial" w:cs="Arial" w:eastAsia="Arial" w:hAnsi="Arial"/>
                <w:sz w:val="16"/>
                <w:szCs w:val="16"/>
                <w:color w:val="auto"/>
              </w:rPr>
              <w:t>Europe</w:t>
            </w: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29</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43</w:t>
            </w:r>
          </w:p>
        </w:tc>
        <w:tc>
          <w:tcPr>
            <w:tcW w:w="7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34</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2"/>
        </w:trPr>
        <w:tc>
          <w:tcPr>
            <w:tcW w:w="6940" w:type="dxa"/>
            <w:vAlign w:val="bottom"/>
            <w:shd w:val="clear" w:color="auto" w:fill="CCEEFF"/>
          </w:tcPr>
          <w:p>
            <w:pPr>
              <w:spacing w:after="0"/>
              <w:rPr>
                <w:sz w:val="20"/>
                <w:szCs w:val="20"/>
                <w:color w:val="auto"/>
              </w:rPr>
            </w:pPr>
            <w:r>
              <w:rPr>
                <w:rFonts w:ascii="Arial" w:cs="Arial" w:eastAsia="Arial" w:hAnsi="Arial"/>
                <w:sz w:val="16"/>
                <w:szCs w:val="16"/>
                <w:color w:val="auto"/>
              </w:rPr>
              <w:t>Rest of World</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6"/>
                <w:szCs w:val="16"/>
                <w:color w:val="auto"/>
              </w:rPr>
              <w:t>Total</w:t>
            </w: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940" w:type="dxa"/>
            <w:vAlign w:val="bottom"/>
            <w:vMerge w:val="continue"/>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1880" w:type="dxa"/>
            <w:vAlign w:val="bottom"/>
            <w:gridSpan w:val="3"/>
          </w:tcPr>
          <w:p>
            <w:pPr>
              <w:jc w:val="right"/>
              <w:ind w:right="620"/>
              <w:spacing w:after="0"/>
              <w:rPr>
                <w:sz w:val="20"/>
                <w:szCs w:val="20"/>
                <w:color w:val="auto"/>
              </w:rPr>
            </w:pPr>
            <w:r>
              <w:rPr>
                <w:rFonts w:ascii="Arial" w:cs="Arial" w:eastAsia="Arial" w:hAnsi="Arial"/>
                <w:sz w:val="16"/>
                <w:szCs w:val="16"/>
                <w:color w:val="auto"/>
              </w:rPr>
              <w:t>100%</w:t>
            </w:r>
          </w:p>
        </w:tc>
        <w:tc>
          <w:tcPr>
            <w:tcW w:w="1280" w:type="dxa"/>
            <w:vAlign w:val="bottom"/>
            <w:gridSpan w:val="2"/>
          </w:tcPr>
          <w:p>
            <w:pPr>
              <w:jc w:val="right"/>
              <w:ind w:right="577"/>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right="40" w:firstLine="457"/>
        <w:spacing w:after="0" w:line="272"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operating revenue and operating income margins.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Financial Advisory Results of Operations</w:t>
      </w:r>
    </w:p>
    <w:p>
      <w:pPr>
        <w:spacing w:after="0" w:line="90" w:lineRule="exact"/>
        <w:rPr>
          <w:sz w:val="20"/>
          <w:szCs w:val="20"/>
          <w:color w:val="auto"/>
        </w:rPr>
      </w:pPr>
    </w:p>
    <w:p>
      <w:pPr>
        <w:ind w:right="60" w:firstLine="457"/>
        <w:spacing w:after="0" w:line="309" w:lineRule="auto"/>
        <w:rPr>
          <w:sz w:val="20"/>
          <w:szCs w:val="20"/>
          <w:color w:val="auto"/>
        </w:rPr>
      </w:pPr>
      <w:r>
        <w:rPr>
          <w:rFonts w:ascii="Arial" w:cs="Arial" w:eastAsia="Arial" w:hAnsi="Arial"/>
          <w:sz w:val="15"/>
          <w:szCs w:val="15"/>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Three Months Ended June 30, 2015 versus June 30, 2014</w:t>
      </w:r>
    </w:p>
    <w:p>
      <w:pPr>
        <w:spacing w:after="0" w:line="94" w:lineRule="exact"/>
        <w:rPr>
          <w:sz w:val="20"/>
          <w:szCs w:val="20"/>
          <w:color w:val="auto"/>
        </w:rPr>
      </w:pPr>
    </w:p>
    <w:p>
      <w:pPr>
        <w:ind w:right="80" w:firstLine="457"/>
        <w:spacing w:after="0" w:line="280" w:lineRule="auto"/>
        <w:rPr>
          <w:sz w:val="20"/>
          <w:szCs w:val="20"/>
          <w:color w:val="auto"/>
        </w:rPr>
      </w:pPr>
      <w:r>
        <w:rPr>
          <w:rFonts w:ascii="Arial" w:cs="Arial" w:eastAsia="Arial" w:hAnsi="Arial"/>
          <w:sz w:val="16"/>
          <w:szCs w:val="16"/>
          <w:color w:val="auto"/>
        </w:rPr>
        <w:t>Financial Advisory net revenue increased $36 million, or 13%, as compared to the 2014 period. Total Strategic Advisory net revenue, representing fees from our M&amp;A and Other Advisory and Capital Raising businesses, increased $31 million, or 12%, and Restructuring revenue increased $5 million, or 24%, as compared to the 2014 period.</w:t>
      </w:r>
    </w:p>
    <w:p>
      <w:pPr>
        <w:spacing w:after="0" w:line="115" w:lineRule="exact"/>
        <w:rPr>
          <w:sz w:val="20"/>
          <w:szCs w:val="20"/>
          <w:color w:val="auto"/>
        </w:rPr>
      </w:pPr>
    </w:p>
    <w:p>
      <w:pPr>
        <w:ind w:right="40" w:firstLine="457"/>
        <w:spacing w:after="0" w:line="298" w:lineRule="auto"/>
        <w:rPr>
          <w:sz w:val="20"/>
          <w:szCs w:val="20"/>
          <w:color w:val="auto"/>
        </w:rPr>
      </w:pPr>
      <w:r>
        <w:rPr>
          <w:rFonts w:ascii="Arial" w:cs="Arial" w:eastAsia="Arial" w:hAnsi="Arial"/>
          <w:sz w:val="15"/>
          <w:szCs w:val="15"/>
          <w:color w:val="auto"/>
        </w:rPr>
        <w:t>M&amp;A and Other Advisory revenue increased $40 million, or 17%, while Capital Raising revenue decreased by $9 million, or 35%, as compared to the 2014 period. The increase in M&amp;A and Other Advisory revenue was primarily due to an increase in the average transaction fee with respect to completed transactions involving fees greater than $1 million as compared to the 2014 period. Our major clients, which in the aggregate represented a significant portion of our M&amp;A and Other Advisory revenue in the 2015 period, included Alexion Pharmaceuticals, Dynegy, Greene King, Integrys Energy Group, Kofax, Reynolds American, Siemens and Toll Holdings.</w:t>
      </w:r>
    </w:p>
    <w:p>
      <w:pPr>
        <w:spacing w:after="0" w:line="105" w:lineRule="exact"/>
        <w:rPr>
          <w:sz w:val="20"/>
          <w:szCs w:val="20"/>
          <w:color w:val="auto"/>
        </w:rPr>
      </w:pPr>
    </w:p>
    <w:p>
      <w:pPr>
        <w:jc w:val="both"/>
        <w:ind w:right="200" w:firstLine="457"/>
        <w:spacing w:after="0" w:line="306" w:lineRule="auto"/>
        <w:rPr>
          <w:sz w:val="20"/>
          <w:szCs w:val="20"/>
          <w:color w:val="auto"/>
        </w:rPr>
      </w:pPr>
      <w:r>
        <w:rPr>
          <w:rFonts w:ascii="Arial" w:cs="Arial" w:eastAsia="Arial" w:hAnsi="Arial"/>
          <w:sz w:val="15"/>
          <w:szCs w:val="15"/>
          <w:color w:val="auto"/>
        </w:rPr>
        <w:t>The increase in Restructuring revenue in the 2015 period was primarily due to the closing of large assignments, but overall was generally in line with the continued industry-wide low level of corporate restructuring activity. Our major clients, which in the aggregate represented a significant portion of our Restructuring revenue for the 2015 period, included Energy Future Holdings, Hercules Offshore, Longview Power, RadioShack, Sabine Oil &amp; Gas and Walter Energy.</w:t>
      </w:r>
    </w:p>
    <w:p>
      <w:pPr>
        <w:spacing w:after="0" w:line="99" w:lineRule="exact"/>
        <w:rPr>
          <w:sz w:val="20"/>
          <w:szCs w:val="20"/>
          <w:color w:val="auto"/>
        </w:rPr>
      </w:pPr>
    </w:p>
    <w:p>
      <w:pPr>
        <w:jc w:val="center"/>
        <w:ind w:right="260"/>
        <w:spacing w:after="0" w:line="477" w:lineRule="auto"/>
        <w:rPr>
          <w:sz w:val="20"/>
          <w:szCs w:val="20"/>
          <w:color w:val="auto"/>
        </w:rPr>
      </w:pPr>
      <w:r>
        <w:rPr>
          <w:rFonts w:ascii="Arial" w:cs="Arial" w:eastAsia="Arial" w:hAnsi="Arial"/>
          <w:sz w:val="16"/>
          <w:szCs w:val="16"/>
          <w:color w:val="auto"/>
        </w:rPr>
        <w:t>Operating expenses remained substantially unchanged as compared to the 2014 period, in both compensation and benefits and non-compensation expenses. 58</w:t>
      </w:r>
    </w:p>
    <w:p>
      <w:pPr>
        <w:sectPr>
          <w:pgSz w:w="11900" w:h="16838" w:orient="portrait"/>
          <w:cols w:equalWidth="0" w:num="1">
            <w:col w:w="11420"/>
          </w:cols>
          <w:pgMar w:left="240" w:top="440" w:right="23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160" w:firstLine="457"/>
        <w:spacing w:after="0" w:line="296" w:lineRule="auto"/>
        <w:rPr>
          <w:sz w:val="20"/>
          <w:szCs w:val="20"/>
          <w:color w:val="auto"/>
        </w:rPr>
      </w:pPr>
      <w:r>
        <w:rPr>
          <w:rFonts w:ascii="Arial" w:cs="Arial" w:eastAsia="Arial" w:hAnsi="Arial"/>
          <w:sz w:val="16"/>
          <w:szCs w:val="16"/>
          <w:color w:val="auto"/>
        </w:rPr>
        <w:t>Financial Advisory operating income was $63 million, an increase of $36 million, or 134%, as compared to operating income of $27 million in the 2014 period and, as a percentage of net revenue, was 20.0%, as compared to 9.6% in the 2014 period.</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Six Months Ended June 30, 2015 versus June 30, 2014</w:t>
      </w:r>
    </w:p>
    <w:p>
      <w:pPr>
        <w:spacing w:after="0" w:line="94" w:lineRule="exact"/>
        <w:rPr>
          <w:sz w:val="20"/>
          <w:szCs w:val="20"/>
          <w:color w:val="auto"/>
        </w:rPr>
      </w:pPr>
    </w:p>
    <w:p>
      <w:pPr>
        <w:ind w:right="140" w:firstLine="457"/>
        <w:spacing w:after="0" w:line="280" w:lineRule="auto"/>
        <w:rPr>
          <w:sz w:val="20"/>
          <w:szCs w:val="20"/>
          <w:color w:val="auto"/>
        </w:rPr>
      </w:pPr>
      <w:r>
        <w:rPr>
          <w:rFonts w:ascii="Arial" w:cs="Arial" w:eastAsia="Arial" w:hAnsi="Arial"/>
          <w:sz w:val="16"/>
          <w:szCs w:val="16"/>
          <w:color w:val="auto"/>
        </w:rPr>
        <w:t>Financial Advisory net revenue increased $62 million, or 11%, as compared to the 2014 period. Total Strategic Advisory net revenue, representing fees from our M&amp;A and Other Advisory and Capital Raising businesses, increased $64 million, or 13%, and Restructuring revenue decreased $2 million, or 4%, as compared to the 2014 period.</w:t>
      </w:r>
    </w:p>
    <w:p>
      <w:pPr>
        <w:spacing w:after="0" w:line="115" w:lineRule="exact"/>
        <w:rPr>
          <w:sz w:val="20"/>
          <w:szCs w:val="20"/>
          <w:color w:val="auto"/>
        </w:rPr>
      </w:pPr>
    </w:p>
    <w:p>
      <w:pPr>
        <w:ind w:firstLine="457"/>
        <w:spacing w:after="0" w:line="274" w:lineRule="auto"/>
        <w:rPr>
          <w:sz w:val="20"/>
          <w:szCs w:val="20"/>
          <w:color w:val="auto"/>
        </w:rPr>
      </w:pPr>
      <w:r>
        <w:rPr>
          <w:rFonts w:ascii="Arial" w:cs="Arial" w:eastAsia="Arial" w:hAnsi="Arial"/>
          <w:sz w:val="16"/>
          <w:szCs w:val="16"/>
          <w:color w:val="auto"/>
        </w:rPr>
        <w:t>M&amp;A and Other Advisory revenue increased $61 million, or 13%, while Capital Raising revenue increased by $2 million, or 6%, as compared to the 2014 period. The increase in M&amp;A and Other Advisory revenue was primarily due to an increase in the average transaction fee with respect to completed transactions involving fees greater than $1 million as compared to the 2014 period. Restructuring revenue in the 2015 period was generally in line with the continued industry-wide low level of corporate restructuring activity.</w:t>
      </w:r>
    </w:p>
    <w:p>
      <w:pPr>
        <w:spacing w:after="0" w:line="121" w:lineRule="exact"/>
        <w:rPr>
          <w:sz w:val="20"/>
          <w:szCs w:val="20"/>
          <w:color w:val="auto"/>
        </w:rPr>
      </w:pPr>
    </w:p>
    <w:p>
      <w:pPr>
        <w:ind w:right="80" w:firstLine="457"/>
        <w:spacing w:after="0" w:line="296" w:lineRule="auto"/>
        <w:rPr>
          <w:sz w:val="20"/>
          <w:szCs w:val="20"/>
          <w:color w:val="auto"/>
        </w:rPr>
      </w:pPr>
      <w:r>
        <w:rPr>
          <w:rFonts w:ascii="Arial" w:cs="Arial" w:eastAsia="Arial" w:hAnsi="Arial"/>
          <w:sz w:val="16"/>
          <w:szCs w:val="16"/>
          <w:color w:val="auto"/>
        </w:rPr>
        <w:t>Operating expenses decreased $3 million, or 1%, as compared to the 2014 period, primarily due to a decrease in compensation and benefits expense primarily related to a decrease in discretionary compensation, partially offset by an increase in amortization of deferred compensation expense.</w:t>
      </w:r>
    </w:p>
    <w:p>
      <w:pPr>
        <w:spacing w:after="0" w:line="103" w:lineRule="exact"/>
        <w:rPr>
          <w:sz w:val="20"/>
          <w:szCs w:val="20"/>
          <w:color w:val="auto"/>
        </w:rPr>
      </w:pPr>
    </w:p>
    <w:p>
      <w:pPr>
        <w:ind w:right="80" w:firstLine="457"/>
        <w:spacing w:after="0" w:line="296" w:lineRule="auto"/>
        <w:rPr>
          <w:sz w:val="20"/>
          <w:szCs w:val="20"/>
          <w:color w:val="auto"/>
        </w:rPr>
      </w:pPr>
      <w:r>
        <w:rPr>
          <w:rFonts w:ascii="Arial" w:cs="Arial" w:eastAsia="Arial" w:hAnsi="Arial"/>
          <w:sz w:val="16"/>
          <w:szCs w:val="16"/>
          <w:color w:val="auto"/>
        </w:rPr>
        <w:t>Financial Advisory operating income was $122 million, an increase of $65 million, or 113%, as compared to operating income of $57 million in the 2014 period and, as a percentage of net revenue, was 19.7%, as compared to 10.3% in the 2014 period.</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 Management</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composition of AUM for the Asset Management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86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center"/>
              <w:ind w:right="117"/>
              <w:spacing w:after="0"/>
              <w:rPr>
                <w:sz w:val="20"/>
                <w:szCs w:val="20"/>
                <w:color w:val="auto"/>
              </w:rPr>
            </w:pPr>
            <w:r>
              <w:rPr>
                <w:rFonts w:ascii="Arial" w:cs="Arial" w:eastAsia="Arial" w:hAnsi="Arial"/>
                <w:sz w:val="13"/>
                <w:szCs w:val="13"/>
                <w:b w:val="1"/>
                <w:bCs w:val="1"/>
                <w:color w:val="auto"/>
                <w:w w:val="86"/>
              </w:rPr>
              <w:t>As of</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86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84"/>
              </w:rPr>
              <w:t>June 30,</w:t>
            </w:r>
          </w:p>
        </w:tc>
        <w:tc>
          <w:tcPr>
            <w:tcW w:w="360" w:type="dxa"/>
            <w:vAlign w:val="bottom"/>
          </w:tcPr>
          <w:p>
            <w:pPr>
              <w:spacing w:after="0"/>
              <w:rPr>
                <w:sz w:val="10"/>
                <w:szCs w:val="10"/>
                <w:color w:val="auto"/>
              </w:rPr>
            </w:pPr>
          </w:p>
        </w:tc>
        <w:tc>
          <w:tcPr>
            <w:tcW w:w="7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85"/>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86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b w:val="1"/>
                <w:bCs w:val="1"/>
                <w:color w:val="auto"/>
              </w:rPr>
              <w:t>2015</w:t>
            </w: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79"/>
              <w:spacing w:after="0"/>
              <w:rPr>
                <w:sz w:val="20"/>
                <w:szCs w:val="20"/>
                <w:color w:val="auto"/>
              </w:rPr>
            </w:pPr>
            <w:r>
              <w:rPr>
                <w:rFonts w:ascii="Arial" w:cs="Arial" w:eastAsia="Arial" w:hAnsi="Arial"/>
                <w:sz w:val="13"/>
                <w:szCs w:val="13"/>
                <w:b w:val="1"/>
                <w:bCs w:val="1"/>
                <w:color w:val="auto"/>
                <w:w w:val="89"/>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86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4"/>
          </w:tcPr>
          <w:p>
            <w:pPr>
              <w:jc w:val="center"/>
              <w:ind w:left="381"/>
              <w:spacing w:after="0" w:line="144" w:lineRule="exact"/>
              <w:rPr>
                <w:sz w:val="20"/>
                <w:szCs w:val="20"/>
                <w:color w:val="auto"/>
              </w:rPr>
            </w:pPr>
            <w:r>
              <w:rPr>
                <w:rFonts w:ascii="Arial" w:cs="Arial" w:eastAsia="Arial" w:hAnsi="Arial"/>
                <w:sz w:val="13"/>
                <w:szCs w:val="13"/>
                <w:b w:val="1"/>
                <w:bCs w:val="1"/>
                <w:color w:val="auto"/>
                <w:w w:val="90"/>
              </w:rPr>
              <w:t>($ in millions)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38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AUM by Asset Class:</w:t>
            </w:r>
          </w:p>
        </w:tc>
        <w:tc>
          <w:tcPr>
            <w:tcW w:w="5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60" w:type="dxa"/>
            <w:vAlign w:val="bottom"/>
          </w:tcPr>
          <w:p>
            <w:pPr>
              <w:spacing w:after="0"/>
              <w:rPr>
                <w:sz w:val="20"/>
                <w:szCs w:val="20"/>
                <w:color w:val="auto"/>
              </w:rPr>
            </w:pPr>
            <w:r>
              <w:rPr>
                <w:rFonts w:ascii="Arial" w:cs="Arial" w:eastAsia="Arial" w:hAnsi="Arial"/>
                <w:sz w:val="16"/>
                <w:szCs w:val="16"/>
                <w:b w:val="1"/>
                <w:bCs w:val="1"/>
                <w:color w:val="auto"/>
              </w:rPr>
              <w:t>Equity:</w:t>
            </w:r>
          </w:p>
        </w:tc>
        <w:tc>
          <w:tcPr>
            <w:tcW w:w="5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Emerging Markets</w:t>
            </w:r>
          </w:p>
        </w:tc>
        <w:tc>
          <w:tcPr>
            <w:tcW w:w="5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47,850</w:t>
            </w: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48,459</w:t>
            </w:r>
          </w:p>
        </w:tc>
        <w:tc>
          <w:tcPr>
            <w:tcW w:w="0" w:type="dxa"/>
            <w:vAlign w:val="bottom"/>
          </w:tcPr>
          <w:p>
            <w:pPr>
              <w:spacing w:after="0"/>
              <w:rPr>
                <w:sz w:val="1"/>
                <w:szCs w:val="1"/>
                <w:color w:val="auto"/>
              </w:rPr>
            </w:pPr>
          </w:p>
        </w:tc>
      </w:tr>
      <w:tr>
        <w:trPr>
          <w:trHeight w:val="202"/>
        </w:trPr>
        <w:tc>
          <w:tcPr>
            <w:tcW w:w="3860" w:type="dxa"/>
            <w:vAlign w:val="bottom"/>
          </w:tcPr>
          <w:p>
            <w:pPr>
              <w:ind w:left="400"/>
              <w:spacing w:after="0"/>
              <w:rPr>
                <w:sz w:val="20"/>
                <w:szCs w:val="20"/>
                <w:color w:val="auto"/>
              </w:rPr>
            </w:pPr>
            <w:r>
              <w:rPr>
                <w:rFonts w:ascii="Arial" w:cs="Arial" w:eastAsia="Arial" w:hAnsi="Arial"/>
                <w:sz w:val="16"/>
                <w:szCs w:val="16"/>
                <w:color w:val="auto"/>
              </w:rPr>
              <w:t>Global</w:t>
            </w:r>
          </w:p>
        </w:tc>
        <w:tc>
          <w:tcPr>
            <w:tcW w:w="5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32,901</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33,982</w:t>
            </w:r>
          </w:p>
        </w:tc>
        <w:tc>
          <w:tcPr>
            <w:tcW w:w="0" w:type="dxa"/>
            <w:vAlign w:val="bottom"/>
          </w:tcPr>
          <w:p>
            <w:pPr>
              <w:spacing w:after="0"/>
              <w:rPr>
                <w:sz w:val="1"/>
                <w:szCs w:val="1"/>
                <w:color w:val="auto"/>
              </w:rPr>
            </w:pPr>
          </w:p>
        </w:tc>
      </w:tr>
      <w:tr>
        <w:trPr>
          <w:trHeight w:val="202"/>
        </w:trPr>
        <w:tc>
          <w:tcPr>
            <w:tcW w:w="38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Local</w:t>
            </w:r>
          </w:p>
        </w:tc>
        <w:tc>
          <w:tcPr>
            <w:tcW w:w="5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33,231</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31,684</w:t>
            </w:r>
          </w:p>
        </w:tc>
        <w:tc>
          <w:tcPr>
            <w:tcW w:w="0" w:type="dxa"/>
            <w:vAlign w:val="bottom"/>
          </w:tcPr>
          <w:p>
            <w:pPr>
              <w:spacing w:after="0"/>
              <w:rPr>
                <w:sz w:val="1"/>
                <w:szCs w:val="1"/>
                <w:color w:val="auto"/>
              </w:rPr>
            </w:pPr>
          </w:p>
        </w:tc>
      </w:tr>
      <w:tr>
        <w:trPr>
          <w:trHeight w:val="202"/>
        </w:trPr>
        <w:tc>
          <w:tcPr>
            <w:tcW w:w="3860" w:type="dxa"/>
            <w:vAlign w:val="bottom"/>
          </w:tcPr>
          <w:p>
            <w:pPr>
              <w:ind w:left="400"/>
              <w:spacing w:after="0"/>
              <w:rPr>
                <w:sz w:val="20"/>
                <w:szCs w:val="20"/>
                <w:color w:val="auto"/>
              </w:rPr>
            </w:pPr>
            <w:r>
              <w:rPr>
                <w:rFonts w:ascii="Arial" w:cs="Arial" w:eastAsia="Arial" w:hAnsi="Arial"/>
                <w:sz w:val="16"/>
                <w:szCs w:val="16"/>
                <w:color w:val="auto"/>
              </w:rPr>
              <w:t>Multi-Regional</w:t>
            </w:r>
          </w:p>
        </w:tc>
        <w:tc>
          <w:tcPr>
            <w:tcW w:w="5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52,420</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46,787</w:t>
            </w: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5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shd w:val="clear" w:color="auto" w:fill="CCEEFF"/>
          </w:tcPr>
          <w:p>
            <w:pPr>
              <w:ind w:left="820"/>
              <w:spacing w:after="0"/>
              <w:rPr>
                <w:sz w:val="20"/>
                <w:szCs w:val="20"/>
                <w:color w:val="auto"/>
              </w:rPr>
            </w:pPr>
            <w:r>
              <w:rPr>
                <w:rFonts w:ascii="Arial" w:cs="Arial" w:eastAsia="Arial" w:hAnsi="Arial"/>
                <w:sz w:val="16"/>
                <w:szCs w:val="16"/>
                <w:color w:val="auto"/>
              </w:rPr>
              <w:t>Total Equity</w:t>
            </w:r>
          </w:p>
        </w:tc>
        <w:tc>
          <w:tcPr>
            <w:tcW w:w="5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3"/>
              </w:rPr>
              <w:t>166,402</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160,912</w:t>
            </w:r>
          </w:p>
        </w:tc>
        <w:tc>
          <w:tcPr>
            <w:tcW w:w="0" w:type="dxa"/>
            <w:vAlign w:val="bottom"/>
          </w:tcPr>
          <w:p>
            <w:pPr>
              <w:spacing w:after="0"/>
              <w:rPr>
                <w:sz w:val="1"/>
                <w:szCs w:val="1"/>
                <w:color w:val="auto"/>
              </w:rPr>
            </w:pPr>
          </w:p>
        </w:tc>
      </w:tr>
      <w:tr>
        <w:trPr>
          <w:trHeight w:val="206"/>
        </w:trPr>
        <w:tc>
          <w:tcPr>
            <w:tcW w:w="3860" w:type="dxa"/>
            <w:vAlign w:val="bottom"/>
          </w:tcPr>
          <w:p>
            <w:pPr>
              <w:spacing w:after="0"/>
              <w:rPr>
                <w:sz w:val="20"/>
                <w:szCs w:val="20"/>
                <w:color w:val="auto"/>
              </w:rPr>
            </w:pPr>
            <w:r>
              <w:rPr>
                <w:rFonts w:ascii="Arial" w:cs="Arial" w:eastAsia="Arial" w:hAnsi="Arial"/>
                <w:sz w:val="16"/>
                <w:szCs w:val="16"/>
                <w:b w:val="1"/>
                <w:bCs w:val="1"/>
                <w:color w:val="auto"/>
              </w:rPr>
              <w:t>Fixed Income:</w:t>
            </w:r>
          </w:p>
        </w:tc>
        <w:tc>
          <w:tcPr>
            <w:tcW w:w="56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8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Emerging Markets</w:t>
            </w:r>
          </w:p>
        </w:tc>
        <w:tc>
          <w:tcPr>
            <w:tcW w:w="5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15,668</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14,227</w:t>
            </w:r>
          </w:p>
        </w:tc>
        <w:tc>
          <w:tcPr>
            <w:tcW w:w="0" w:type="dxa"/>
            <w:vAlign w:val="bottom"/>
          </w:tcPr>
          <w:p>
            <w:pPr>
              <w:spacing w:after="0"/>
              <w:rPr>
                <w:sz w:val="1"/>
                <w:szCs w:val="1"/>
                <w:color w:val="auto"/>
              </w:rPr>
            </w:pPr>
          </w:p>
        </w:tc>
      </w:tr>
      <w:tr>
        <w:trPr>
          <w:trHeight w:val="202"/>
        </w:trPr>
        <w:tc>
          <w:tcPr>
            <w:tcW w:w="3860" w:type="dxa"/>
            <w:vAlign w:val="bottom"/>
          </w:tcPr>
          <w:p>
            <w:pPr>
              <w:ind w:left="400"/>
              <w:spacing w:after="0"/>
              <w:rPr>
                <w:sz w:val="20"/>
                <w:szCs w:val="20"/>
                <w:color w:val="auto"/>
              </w:rPr>
            </w:pPr>
            <w:r>
              <w:rPr>
                <w:rFonts w:ascii="Arial" w:cs="Arial" w:eastAsia="Arial" w:hAnsi="Arial"/>
                <w:sz w:val="16"/>
                <w:szCs w:val="16"/>
                <w:color w:val="auto"/>
              </w:rPr>
              <w:t>Global</w:t>
            </w:r>
          </w:p>
        </w:tc>
        <w:tc>
          <w:tcPr>
            <w:tcW w:w="5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3,946</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3,771</w:t>
            </w:r>
          </w:p>
        </w:tc>
        <w:tc>
          <w:tcPr>
            <w:tcW w:w="0" w:type="dxa"/>
            <w:vAlign w:val="bottom"/>
          </w:tcPr>
          <w:p>
            <w:pPr>
              <w:spacing w:after="0"/>
              <w:rPr>
                <w:sz w:val="1"/>
                <w:szCs w:val="1"/>
                <w:color w:val="auto"/>
              </w:rPr>
            </w:pPr>
          </w:p>
        </w:tc>
      </w:tr>
      <w:tr>
        <w:trPr>
          <w:trHeight w:val="202"/>
        </w:trPr>
        <w:tc>
          <w:tcPr>
            <w:tcW w:w="38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Local</w:t>
            </w:r>
          </w:p>
        </w:tc>
        <w:tc>
          <w:tcPr>
            <w:tcW w:w="5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3,982</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3,676</w:t>
            </w:r>
          </w:p>
        </w:tc>
        <w:tc>
          <w:tcPr>
            <w:tcW w:w="0" w:type="dxa"/>
            <w:vAlign w:val="bottom"/>
          </w:tcPr>
          <w:p>
            <w:pPr>
              <w:spacing w:after="0"/>
              <w:rPr>
                <w:sz w:val="1"/>
                <w:szCs w:val="1"/>
                <w:color w:val="auto"/>
              </w:rPr>
            </w:pPr>
          </w:p>
        </w:tc>
      </w:tr>
      <w:tr>
        <w:trPr>
          <w:trHeight w:val="202"/>
        </w:trPr>
        <w:tc>
          <w:tcPr>
            <w:tcW w:w="3860" w:type="dxa"/>
            <w:vAlign w:val="bottom"/>
          </w:tcPr>
          <w:p>
            <w:pPr>
              <w:ind w:left="400"/>
              <w:spacing w:after="0"/>
              <w:rPr>
                <w:sz w:val="20"/>
                <w:szCs w:val="20"/>
                <w:color w:val="auto"/>
              </w:rPr>
            </w:pPr>
            <w:r>
              <w:rPr>
                <w:rFonts w:ascii="Arial" w:cs="Arial" w:eastAsia="Arial" w:hAnsi="Arial"/>
                <w:sz w:val="16"/>
                <w:szCs w:val="16"/>
                <w:color w:val="auto"/>
              </w:rPr>
              <w:t>Multi-Regional</w:t>
            </w:r>
          </w:p>
        </w:tc>
        <w:tc>
          <w:tcPr>
            <w:tcW w:w="5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8,917</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9,436</w:t>
            </w: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5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shd w:val="clear" w:color="auto" w:fill="CCEEFF"/>
          </w:tcPr>
          <w:p>
            <w:pPr>
              <w:ind w:left="820"/>
              <w:spacing w:after="0"/>
              <w:rPr>
                <w:sz w:val="20"/>
                <w:szCs w:val="20"/>
                <w:color w:val="auto"/>
              </w:rPr>
            </w:pPr>
            <w:r>
              <w:rPr>
                <w:rFonts w:ascii="Arial" w:cs="Arial" w:eastAsia="Arial" w:hAnsi="Arial"/>
                <w:sz w:val="16"/>
                <w:szCs w:val="16"/>
                <w:color w:val="auto"/>
              </w:rPr>
              <w:t>Total Fixed Income</w:t>
            </w:r>
          </w:p>
        </w:tc>
        <w:tc>
          <w:tcPr>
            <w:tcW w:w="5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32,513</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31,110</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6"/>
                <w:szCs w:val="16"/>
                <w:b w:val="1"/>
                <w:bCs w:val="1"/>
                <w:color w:val="auto"/>
              </w:rPr>
              <w:t>Alternative Investments</w:t>
            </w:r>
          </w:p>
        </w:tc>
        <w:tc>
          <w:tcPr>
            <w:tcW w:w="5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860" w:type="dxa"/>
            <w:vAlign w:val="bottom"/>
            <w:vMerge w:val="continue"/>
          </w:tcPr>
          <w:p>
            <w:pPr>
              <w:spacing w:after="0"/>
              <w:rPr>
                <w:sz w:val="17"/>
                <w:szCs w:val="17"/>
                <w:color w:val="auto"/>
              </w:rPr>
            </w:pPr>
          </w:p>
        </w:tc>
        <w:tc>
          <w:tcPr>
            <w:tcW w:w="5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3,123</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3,799</w:t>
            </w:r>
          </w:p>
        </w:tc>
        <w:tc>
          <w:tcPr>
            <w:tcW w:w="0" w:type="dxa"/>
            <w:vAlign w:val="bottom"/>
          </w:tcPr>
          <w:p>
            <w:pPr>
              <w:spacing w:after="0"/>
              <w:rPr>
                <w:sz w:val="1"/>
                <w:szCs w:val="1"/>
                <w:color w:val="auto"/>
              </w:rPr>
            </w:pPr>
          </w:p>
        </w:tc>
      </w:tr>
      <w:tr>
        <w:trPr>
          <w:trHeight w:val="205"/>
        </w:trPr>
        <w:tc>
          <w:tcPr>
            <w:tcW w:w="38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Private Equity</w:t>
            </w:r>
          </w:p>
        </w:tc>
        <w:tc>
          <w:tcPr>
            <w:tcW w:w="5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926</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1,091</w:t>
            </w:r>
          </w:p>
        </w:tc>
        <w:tc>
          <w:tcPr>
            <w:tcW w:w="0" w:type="dxa"/>
            <w:vAlign w:val="bottom"/>
          </w:tcPr>
          <w:p>
            <w:pPr>
              <w:spacing w:after="0"/>
              <w:rPr>
                <w:sz w:val="1"/>
                <w:szCs w:val="1"/>
                <w:color w:val="auto"/>
              </w:rPr>
            </w:pPr>
          </w:p>
        </w:tc>
      </w:tr>
      <w:tr>
        <w:trPr>
          <w:trHeight w:val="202"/>
        </w:trPr>
        <w:tc>
          <w:tcPr>
            <w:tcW w:w="3860" w:type="dxa"/>
            <w:vAlign w:val="bottom"/>
          </w:tcPr>
          <w:p>
            <w:pPr>
              <w:spacing w:after="0"/>
              <w:rPr>
                <w:sz w:val="20"/>
                <w:szCs w:val="20"/>
                <w:color w:val="auto"/>
              </w:rPr>
            </w:pPr>
            <w:r>
              <w:rPr>
                <w:rFonts w:ascii="Arial" w:cs="Arial" w:eastAsia="Arial" w:hAnsi="Arial"/>
                <w:sz w:val="16"/>
                <w:szCs w:val="16"/>
                <w:b w:val="1"/>
                <w:bCs w:val="1"/>
                <w:color w:val="auto"/>
              </w:rPr>
              <w:t>Cash Management</w:t>
            </w:r>
          </w:p>
        </w:tc>
        <w:tc>
          <w:tcPr>
            <w:tcW w:w="5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122</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5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shd w:val="clear" w:color="auto" w:fill="CCEEFF"/>
          </w:tcPr>
          <w:p>
            <w:pPr>
              <w:ind w:left="820"/>
              <w:spacing w:after="0"/>
              <w:rPr>
                <w:sz w:val="20"/>
                <w:szCs w:val="20"/>
                <w:color w:val="auto"/>
              </w:rPr>
            </w:pPr>
            <w:r>
              <w:rPr>
                <w:rFonts w:ascii="Arial" w:cs="Arial" w:eastAsia="Arial" w:hAnsi="Arial"/>
                <w:sz w:val="16"/>
                <w:szCs w:val="16"/>
                <w:color w:val="auto"/>
              </w:rPr>
              <w:t>Total AUM</w:t>
            </w:r>
          </w:p>
        </w:tc>
        <w:tc>
          <w:tcPr>
            <w:tcW w:w="5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3"/>
              </w:rPr>
              <w:t>203,086</w:t>
            </w: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197,103</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5620" w:type="dxa"/>
            <w:vAlign w:val="bottom"/>
            <w:vMerge w:val="restart"/>
          </w:tcPr>
          <w:p>
            <w:pPr>
              <w:jc w:val="right"/>
              <w:ind w:right="3598"/>
              <w:spacing w:after="0"/>
              <w:rPr>
                <w:sz w:val="20"/>
                <w:szCs w:val="20"/>
                <w:color w:val="auto"/>
              </w:rPr>
            </w:pPr>
            <w:r>
              <w:rPr>
                <w:rFonts w:ascii="Arial" w:cs="Arial" w:eastAsia="Arial" w:hAnsi="Arial"/>
                <w:sz w:val="16"/>
                <w:szCs w:val="16"/>
                <w:color w:val="auto"/>
              </w:rPr>
              <w:t>59</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3860" w:type="dxa"/>
            <w:vAlign w:val="bottom"/>
          </w:tcPr>
          <w:p>
            <w:pPr>
              <w:spacing w:after="0"/>
              <w:rPr>
                <w:sz w:val="24"/>
                <w:szCs w:val="24"/>
                <w:color w:val="auto"/>
              </w:rPr>
            </w:pPr>
          </w:p>
        </w:tc>
        <w:tc>
          <w:tcPr>
            <w:tcW w:w="56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0" w:right="23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40" w:firstLine="457"/>
        <w:spacing w:after="0" w:line="280" w:lineRule="auto"/>
        <w:rPr>
          <w:sz w:val="20"/>
          <w:szCs w:val="20"/>
          <w:color w:val="auto"/>
        </w:rPr>
      </w:pPr>
      <w:r>
        <w:rPr>
          <w:rFonts w:ascii="Arial" w:cs="Arial" w:eastAsia="Arial" w:hAnsi="Arial"/>
          <w:sz w:val="16"/>
          <w:szCs w:val="16"/>
          <w:color w:val="auto"/>
        </w:rPr>
        <w:t>Total AUM at June 30, 2015 was $203 billion, an increase of $6 billion, or 3%, as compared to total AUM of $197 billion at December 31, 2014, primarily due to market appreciation and net inflows, partially offset by adverse foreign exchange movements. Average AUM for the three month and six month periods ended June 30, 2015 was 2% and 5% higher than that for the three month and six month periods ended June 30, 2014, respectively.</w:t>
      </w:r>
    </w:p>
    <w:p>
      <w:pPr>
        <w:spacing w:after="0" w:line="115" w:lineRule="exact"/>
        <w:rPr>
          <w:sz w:val="20"/>
          <w:szCs w:val="20"/>
          <w:color w:val="auto"/>
        </w:rPr>
      </w:pPr>
    </w:p>
    <w:p>
      <w:pPr>
        <w:ind w:right="40" w:firstLine="457"/>
        <w:spacing w:after="0" w:line="274" w:lineRule="auto"/>
        <w:rPr>
          <w:sz w:val="20"/>
          <w:szCs w:val="20"/>
          <w:color w:val="auto"/>
        </w:rPr>
      </w:pPr>
      <w:r>
        <w:rPr>
          <w:rFonts w:ascii="Arial" w:cs="Arial" w:eastAsia="Arial" w:hAnsi="Arial"/>
          <w:sz w:val="16"/>
          <w:szCs w:val="16"/>
          <w:color w:val="auto"/>
        </w:rPr>
        <w:t>As of June 30, 2015, approximately 89% of our AUM was managed on behalf of institutional clients, including corporations, labor unions, public pension funds, insurance companies and banks, and through sub-advisory relationships, mutual fund sponsors, broker-dealers and registered advisors, and approximately 11% of our AUM was managed on behalf of individual client relationships, which are principally with family offices and individuals, and was substantially unchanged from the corresponding percentages at December 31, 2014.</w:t>
      </w:r>
    </w:p>
    <w:p>
      <w:pPr>
        <w:spacing w:after="0" w:line="121" w:lineRule="exact"/>
        <w:rPr>
          <w:sz w:val="20"/>
          <w:szCs w:val="20"/>
          <w:color w:val="auto"/>
        </w:rPr>
      </w:pPr>
    </w:p>
    <w:p>
      <w:pPr>
        <w:ind w:right="140" w:firstLine="457"/>
        <w:spacing w:after="0" w:line="280" w:lineRule="auto"/>
        <w:rPr>
          <w:sz w:val="20"/>
          <w:szCs w:val="20"/>
          <w:color w:val="auto"/>
        </w:rPr>
      </w:pPr>
      <w:r>
        <w:rPr>
          <w:rFonts w:ascii="Arial" w:cs="Arial" w:eastAsia="Arial" w:hAnsi="Arial"/>
          <w:sz w:val="16"/>
          <w:szCs w:val="16"/>
          <w:color w:val="auto"/>
        </w:rPr>
        <w:t>As of June 30, 2015 and December 31, 2014, AUM with foreign currency exposure represented approximately 73% of our total AUM for each respective period. AUM with foreign currency exposure generally declines in value with the strengthening of the U.S. Dollar and increases in value as the U.S. Dollar weakens, with all other factors held constant.</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changes in AUM by asset class for the three month and six month periods ended June 30, 2015 and 2014: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4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11"/>
          </w:tcPr>
          <w:p>
            <w:pPr>
              <w:jc w:val="right"/>
              <w:ind w:right="420"/>
              <w:spacing w:after="0"/>
              <w:rPr>
                <w:sz w:val="20"/>
                <w:szCs w:val="20"/>
                <w:color w:val="auto"/>
              </w:rPr>
            </w:pPr>
            <w:r>
              <w:rPr>
                <w:rFonts w:ascii="Arial" w:cs="Arial" w:eastAsia="Arial" w:hAnsi="Arial"/>
                <w:sz w:val="13"/>
                <w:szCs w:val="13"/>
                <w:b w:val="1"/>
                <w:bCs w:val="1"/>
                <w:color w:val="auto"/>
                <w:w w:val="95"/>
              </w:rPr>
              <w:t>Three Months Ended June 30, 2015</w:t>
            </w: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4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w w:val="88"/>
              </w:rPr>
              <w:t>Foreign</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4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gridSpan w:val="2"/>
          </w:tcPr>
          <w:p>
            <w:pPr>
              <w:jc w:val="center"/>
              <w:ind w:right="20"/>
              <w:spacing w:after="0" w:line="139" w:lineRule="exact"/>
              <w:rPr>
                <w:sz w:val="20"/>
                <w:szCs w:val="20"/>
                <w:color w:val="auto"/>
              </w:rPr>
            </w:pPr>
            <w:r>
              <w:rPr>
                <w:rFonts w:ascii="Arial" w:cs="Arial" w:eastAsia="Arial" w:hAnsi="Arial"/>
                <w:sz w:val="13"/>
                <w:szCs w:val="13"/>
                <w:b w:val="1"/>
                <w:bCs w:val="1"/>
                <w:color w:val="auto"/>
              </w:rPr>
              <w:t>AUM</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4"/>
          </w:tcPr>
          <w:p>
            <w:pPr>
              <w:ind w:left="20"/>
              <w:spacing w:after="0" w:line="139" w:lineRule="exact"/>
              <w:rPr>
                <w:sz w:val="20"/>
                <w:szCs w:val="20"/>
                <w:color w:val="auto"/>
              </w:rPr>
            </w:pPr>
            <w:r>
              <w:rPr>
                <w:rFonts w:ascii="Arial" w:cs="Arial" w:eastAsia="Arial" w:hAnsi="Arial"/>
                <w:sz w:val="13"/>
                <w:szCs w:val="13"/>
                <w:b w:val="1"/>
                <w:bCs w:val="1"/>
                <w:color w:val="auto"/>
              </w:rPr>
              <w:t>Market Value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460"/>
              <w:spacing w:after="0" w:line="139" w:lineRule="exact"/>
              <w:rPr>
                <w:sz w:val="20"/>
                <w:szCs w:val="20"/>
                <w:color w:val="auto"/>
              </w:rPr>
            </w:pPr>
            <w:r>
              <w:rPr>
                <w:rFonts w:ascii="Arial" w:cs="Arial" w:eastAsia="Arial" w:hAnsi="Arial"/>
                <w:sz w:val="13"/>
                <w:szCs w:val="13"/>
                <w:b w:val="1"/>
                <w:bCs w:val="1"/>
                <w:color w:val="auto"/>
                <w:w w:val="87"/>
              </w:rPr>
              <w:t>Exchange</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39" w:lineRule="exact"/>
              <w:rPr>
                <w:sz w:val="20"/>
                <w:szCs w:val="20"/>
                <w:color w:val="auto"/>
              </w:rPr>
            </w:pPr>
            <w:r>
              <w:rPr>
                <w:rFonts w:ascii="Arial" w:cs="Arial" w:eastAsia="Arial" w:hAnsi="Arial"/>
                <w:sz w:val="13"/>
                <w:szCs w:val="13"/>
                <w:b w:val="1"/>
                <w:bCs w:val="1"/>
                <w:color w:val="auto"/>
              </w:rPr>
              <w:t>AUM</w:t>
            </w:r>
          </w:p>
        </w:tc>
        <w:tc>
          <w:tcPr>
            <w:tcW w:w="0" w:type="dxa"/>
            <w:vAlign w:val="bottom"/>
          </w:tcPr>
          <w:p>
            <w:pPr>
              <w:spacing w:after="0"/>
              <w:rPr>
                <w:sz w:val="1"/>
                <w:szCs w:val="1"/>
                <w:color w:val="auto"/>
              </w:rPr>
            </w:pPr>
          </w:p>
        </w:tc>
      </w:tr>
      <w:tr>
        <w:trPr>
          <w:trHeight w:val="139"/>
        </w:trPr>
        <w:tc>
          <w:tcPr>
            <w:tcW w:w="24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88"/>
              </w:rPr>
              <w:t>Beginning</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3"/>
          </w:tcPr>
          <w:p>
            <w:pPr>
              <w:ind w:left="140"/>
              <w:spacing w:after="0" w:line="139" w:lineRule="exact"/>
              <w:rPr>
                <w:sz w:val="20"/>
                <w:szCs w:val="20"/>
                <w:color w:val="auto"/>
              </w:rPr>
            </w:pPr>
            <w:r>
              <w:rPr>
                <w:rFonts w:ascii="Arial" w:cs="Arial" w:eastAsia="Arial" w:hAnsi="Arial"/>
                <w:sz w:val="13"/>
                <w:szCs w:val="13"/>
                <w:b w:val="1"/>
                <w:bCs w:val="1"/>
                <w:color w:val="auto"/>
              </w:rPr>
              <w:t>Net</w:t>
            </w:r>
          </w:p>
        </w:tc>
        <w:tc>
          <w:tcPr>
            <w:tcW w:w="180" w:type="dxa"/>
            <w:vAlign w:val="bottom"/>
          </w:tcPr>
          <w:p>
            <w:pPr>
              <w:spacing w:after="0"/>
              <w:rPr>
                <w:sz w:val="12"/>
                <w:szCs w:val="12"/>
                <w:color w:val="auto"/>
              </w:rPr>
            </w:pPr>
          </w:p>
        </w:tc>
        <w:tc>
          <w:tcPr>
            <w:tcW w:w="960" w:type="dxa"/>
            <w:vAlign w:val="bottom"/>
            <w:gridSpan w:val="4"/>
          </w:tcPr>
          <w:p>
            <w:pPr>
              <w:ind w:left="20"/>
              <w:spacing w:after="0" w:line="139" w:lineRule="exact"/>
              <w:rPr>
                <w:sz w:val="20"/>
                <w:szCs w:val="20"/>
                <w:color w:val="auto"/>
              </w:rPr>
            </w:pPr>
            <w:r>
              <w:rPr>
                <w:rFonts w:ascii="Arial" w:cs="Arial" w:eastAsia="Arial" w:hAnsi="Arial"/>
                <w:sz w:val="13"/>
                <w:szCs w:val="13"/>
                <w:b w:val="1"/>
                <w:bCs w:val="1"/>
                <w:color w:val="auto"/>
              </w:rPr>
              <w:t>Appreciation/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4"/>
          </w:tcPr>
          <w:p>
            <w:pPr>
              <w:jc w:val="center"/>
              <w:ind w:right="360"/>
              <w:spacing w:after="0" w:line="139" w:lineRule="exact"/>
              <w:rPr>
                <w:sz w:val="20"/>
                <w:szCs w:val="20"/>
                <w:color w:val="auto"/>
              </w:rPr>
            </w:pPr>
            <w:r>
              <w:rPr>
                <w:rFonts w:ascii="Arial" w:cs="Arial" w:eastAsia="Arial" w:hAnsi="Arial"/>
                <w:sz w:val="13"/>
                <w:szCs w:val="13"/>
                <w:b w:val="1"/>
                <w:bCs w:val="1"/>
                <w:color w:val="auto"/>
                <w:w w:val="89"/>
              </w:rPr>
              <w:t>Appreciation/</w:t>
            </w:r>
          </w:p>
        </w:tc>
        <w:tc>
          <w:tcPr>
            <w:tcW w:w="80" w:type="dxa"/>
            <w:vAlign w:val="bottom"/>
          </w:tcPr>
          <w:p>
            <w:pPr>
              <w:spacing w:after="0"/>
              <w:rPr>
                <w:sz w:val="12"/>
                <w:szCs w:val="12"/>
                <w:color w:val="auto"/>
              </w:rPr>
            </w:pPr>
          </w:p>
        </w:tc>
        <w:tc>
          <w:tcPr>
            <w:tcW w:w="720" w:type="dxa"/>
            <w:vAlign w:val="bottom"/>
            <w:gridSpan w:val="2"/>
          </w:tcPr>
          <w:p>
            <w:pPr>
              <w:ind w:left="120"/>
              <w:spacing w:after="0" w:line="139" w:lineRule="exact"/>
              <w:rPr>
                <w:sz w:val="20"/>
                <w:szCs w:val="20"/>
                <w:color w:val="auto"/>
              </w:rPr>
            </w:pPr>
            <w:r>
              <w:rPr>
                <w:rFonts w:ascii="Arial" w:cs="Arial" w:eastAsia="Arial" w:hAnsi="Arial"/>
                <w:sz w:val="13"/>
                <w:szCs w:val="13"/>
                <w:b w:val="1"/>
                <w:bCs w:val="1"/>
                <w:color w:val="auto"/>
              </w:rPr>
              <w:t>Ending</w:t>
            </w:r>
          </w:p>
        </w:tc>
        <w:tc>
          <w:tcPr>
            <w:tcW w:w="0" w:type="dxa"/>
            <w:vAlign w:val="bottom"/>
          </w:tcPr>
          <w:p>
            <w:pPr>
              <w:spacing w:after="0"/>
              <w:rPr>
                <w:sz w:val="1"/>
                <w:szCs w:val="1"/>
                <w:color w:val="auto"/>
              </w:rPr>
            </w:pPr>
          </w:p>
        </w:tc>
      </w:tr>
      <w:tr>
        <w:trPr>
          <w:trHeight w:val="152"/>
        </w:trPr>
        <w:tc>
          <w:tcPr>
            <w:tcW w:w="24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Balance</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Inflows</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w w:val="86"/>
              </w:rPr>
              <w:t>Outflows</w:t>
            </w:r>
          </w:p>
        </w:tc>
        <w:tc>
          <w:tcPr>
            <w:tcW w:w="180" w:type="dxa"/>
            <w:vAlign w:val="bottom"/>
          </w:tcPr>
          <w:p>
            <w:pPr>
              <w:spacing w:after="0"/>
              <w:rPr>
                <w:sz w:val="13"/>
                <w:szCs w:val="13"/>
                <w:color w:val="auto"/>
              </w:rPr>
            </w:pPr>
          </w:p>
        </w:tc>
        <w:tc>
          <w:tcPr>
            <w:tcW w:w="740" w:type="dxa"/>
            <w:vAlign w:val="bottom"/>
            <w:gridSpan w:val="3"/>
          </w:tcPr>
          <w:p>
            <w:pPr>
              <w:ind w:left="80"/>
              <w:spacing w:after="0"/>
              <w:rPr>
                <w:sz w:val="20"/>
                <w:szCs w:val="20"/>
                <w:color w:val="auto"/>
              </w:rPr>
            </w:pPr>
            <w:r>
              <w:rPr>
                <w:rFonts w:ascii="Arial" w:cs="Arial" w:eastAsia="Arial" w:hAnsi="Arial"/>
                <w:sz w:val="13"/>
                <w:szCs w:val="13"/>
                <w:b w:val="1"/>
                <w:bCs w:val="1"/>
                <w:color w:val="auto"/>
              </w:rPr>
              <w:t>Flows</w:t>
            </w:r>
          </w:p>
        </w:tc>
        <w:tc>
          <w:tcPr>
            <w:tcW w:w="180" w:type="dxa"/>
            <w:vAlign w:val="bottom"/>
          </w:tcPr>
          <w:p>
            <w:pPr>
              <w:spacing w:after="0"/>
              <w:rPr>
                <w:sz w:val="13"/>
                <w:szCs w:val="13"/>
                <w:color w:val="auto"/>
              </w:rPr>
            </w:pPr>
          </w:p>
        </w:tc>
        <w:tc>
          <w:tcPr>
            <w:tcW w:w="960" w:type="dxa"/>
            <w:vAlign w:val="bottom"/>
            <w:gridSpan w:val="4"/>
          </w:tcPr>
          <w:p>
            <w:pPr>
              <w:spacing w:after="0"/>
              <w:rPr>
                <w:sz w:val="20"/>
                <w:szCs w:val="20"/>
                <w:color w:val="auto"/>
              </w:rPr>
            </w:pPr>
            <w:r>
              <w:rPr>
                <w:rFonts w:ascii="Arial" w:cs="Arial" w:eastAsia="Arial" w:hAnsi="Arial"/>
                <w:sz w:val="13"/>
                <w:szCs w:val="13"/>
                <w:b w:val="1"/>
                <w:bCs w:val="1"/>
                <w:color w:val="auto"/>
              </w:rPr>
              <w:t>(Depreciation)</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4"/>
          </w:tcPr>
          <w:p>
            <w:pPr>
              <w:spacing w:after="0"/>
              <w:rPr>
                <w:sz w:val="20"/>
                <w:szCs w:val="20"/>
                <w:color w:val="auto"/>
              </w:rPr>
            </w:pPr>
            <w:r>
              <w:rPr>
                <w:rFonts w:ascii="Arial" w:cs="Arial" w:eastAsia="Arial" w:hAnsi="Arial"/>
                <w:sz w:val="13"/>
                <w:szCs w:val="13"/>
                <w:b w:val="1"/>
                <w:bCs w:val="1"/>
                <w:color w:val="auto"/>
              </w:rPr>
              <w:t>(Depreciation)</w:t>
            </w:r>
          </w:p>
        </w:tc>
        <w:tc>
          <w:tcPr>
            <w:tcW w:w="80" w:type="dxa"/>
            <w:vAlign w:val="bottom"/>
          </w:tcPr>
          <w:p>
            <w:pPr>
              <w:spacing w:after="0"/>
              <w:rPr>
                <w:sz w:val="13"/>
                <w:szCs w:val="13"/>
                <w:color w:val="auto"/>
              </w:rPr>
            </w:pPr>
          </w:p>
        </w:tc>
        <w:tc>
          <w:tcPr>
            <w:tcW w:w="720" w:type="dxa"/>
            <w:vAlign w:val="bottom"/>
            <w:gridSpan w:val="2"/>
          </w:tcPr>
          <w:p>
            <w:pPr>
              <w:ind w:left="100"/>
              <w:spacing w:after="0"/>
              <w:rPr>
                <w:sz w:val="20"/>
                <w:szCs w:val="20"/>
                <w:color w:val="auto"/>
              </w:rPr>
            </w:pPr>
            <w:r>
              <w:rPr>
                <w:rFonts w:ascii="Arial" w:cs="Arial" w:eastAsia="Arial" w:hAnsi="Arial"/>
                <w:sz w:val="13"/>
                <w:szCs w:val="13"/>
                <w:b w:val="1"/>
                <w:bCs w:val="1"/>
                <w:color w:val="auto"/>
              </w:rPr>
              <w:t>Balance</w:t>
            </w:r>
          </w:p>
        </w:tc>
        <w:tc>
          <w:tcPr>
            <w:tcW w:w="0" w:type="dxa"/>
            <w:vAlign w:val="bottom"/>
          </w:tcPr>
          <w:p>
            <w:pPr>
              <w:spacing w:after="0"/>
              <w:rPr>
                <w:sz w:val="1"/>
                <w:szCs w:val="1"/>
                <w:color w:val="auto"/>
              </w:rPr>
            </w:pPr>
          </w:p>
        </w:tc>
      </w:tr>
      <w:tr>
        <w:trPr>
          <w:trHeight w:val="132"/>
        </w:trPr>
        <w:tc>
          <w:tcPr>
            <w:tcW w:w="24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5"/>
          </w:tcPr>
          <w:p>
            <w:pPr>
              <w:ind w:left="120"/>
              <w:spacing w:after="0" w:line="132" w:lineRule="exact"/>
              <w:rPr>
                <w:sz w:val="20"/>
                <w:szCs w:val="20"/>
                <w:color w:val="auto"/>
              </w:rPr>
            </w:pPr>
            <w:r>
              <w:rPr>
                <w:rFonts w:ascii="Arial" w:cs="Arial" w:eastAsia="Arial" w:hAnsi="Arial"/>
                <w:sz w:val="13"/>
                <w:szCs w:val="13"/>
                <w:b w:val="1"/>
                <w:bCs w:val="1"/>
                <w:color w:val="auto"/>
              </w:rPr>
              <w:t>($ in millions)</w:t>
            </w:r>
          </w:p>
        </w:tc>
        <w:tc>
          <w:tcPr>
            <w:tcW w:w="4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440" w:type="dxa"/>
            <w:vAlign w:val="bottom"/>
            <w:shd w:val="clear" w:color="auto" w:fill="CCEEFF"/>
          </w:tcPr>
          <w:p>
            <w:pPr>
              <w:spacing w:after="0"/>
              <w:rPr>
                <w:sz w:val="20"/>
                <w:szCs w:val="20"/>
                <w:color w:val="auto"/>
              </w:rPr>
            </w:pPr>
            <w:r>
              <w:rPr>
                <w:rFonts w:ascii="Arial" w:cs="Arial" w:eastAsia="Arial" w:hAnsi="Arial"/>
                <w:sz w:val="16"/>
                <w:szCs w:val="16"/>
                <w:color w:val="auto"/>
              </w:rPr>
              <w:t>Equity</w:t>
            </w:r>
          </w:p>
        </w:tc>
        <w:tc>
          <w:tcPr>
            <w:tcW w:w="25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$162,852</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$ 7,761</w:t>
            </w:r>
          </w:p>
        </w:tc>
        <w:tc>
          <w:tcPr>
            <w:tcW w:w="1220" w:type="dxa"/>
            <w:vAlign w:val="bottom"/>
            <w:gridSpan w:val="5"/>
            <w:shd w:val="clear" w:color="auto" w:fill="CCEEFF"/>
          </w:tcPr>
          <w:p>
            <w:pPr>
              <w:jc w:val="right"/>
              <w:ind w:right="200"/>
              <w:spacing w:after="0"/>
              <w:rPr>
                <w:sz w:val="20"/>
                <w:szCs w:val="20"/>
                <w:color w:val="auto"/>
              </w:rPr>
            </w:pPr>
            <w:r>
              <w:rPr>
                <w:rFonts w:ascii="Arial" w:cs="Arial" w:eastAsia="Arial" w:hAnsi="Arial"/>
                <w:sz w:val="16"/>
                <w:szCs w:val="16"/>
                <w:color w:val="auto"/>
              </w:rPr>
              <w:t>$ (6,711)</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$1,050</w:t>
            </w:r>
          </w:p>
        </w:tc>
        <w:tc>
          <w:tcPr>
            <w:tcW w:w="2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755</w:t>
            </w:r>
          </w:p>
        </w:tc>
        <w:tc>
          <w:tcPr>
            <w:tcW w:w="36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w w:val="89"/>
              </w:rPr>
              <w:t>$</w:t>
            </w:r>
          </w:p>
        </w:tc>
        <w:tc>
          <w:tcPr>
            <w:tcW w:w="104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1,745</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$166,402</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40" w:type="dxa"/>
            <w:vAlign w:val="bottom"/>
          </w:tcPr>
          <w:p>
            <w:pPr>
              <w:spacing w:after="0"/>
              <w:rPr>
                <w:sz w:val="20"/>
                <w:szCs w:val="20"/>
                <w:color w:val="auto"/>
              </w:rPr>
            </w:pPr>
            <w:r>
              <w:rPr>
                <w:rFonts w:ascii="Arial" w:cs="Arial" w:eastAsia="Arial" w:hAnsi="Arial"/>
                <w:sz w:val="16"/>
                <w:szCs w:val="16"/>
                <w:color w:val="auto"/>
              </w:rPr>
              <w:t>Fixed Income</w:t>
            </w:r>
          </w:p>
        </w:tc>
        <w:tc>
          <w:tcPr>
            <w:tcW w:w="2540" w:type="dxa"/>
            <w:vAlign w:val="bottom"/>
            <w:gridSpan w:val="4"/>
          </w:tcPr>
          <w:p>
            <w:pPr>
              <w:jc w:val="right"/>
              <w:spacing w:after="0"/>
              <w:rPr>
                <w:sz w:val="20"/>
                <w:szCs w:val="20"/>
                <w:color w:val="auto"/>
              </w:rPr>
            </w:pPr>
            <w:r>
              <w:rPr>
                <w:rFonts w:ascii="Arial" w:cs="Arial" w:eastAsia="Arial" w:hAnsi="Arial"/>
                <w:sz w:val="16"/>
                <w:szCs w:val="16"/>
                <w:color w:val="auto"/>
              </w:rPr>
              <w:t>31,722</w:t>
            </w:r>
          </w:p>
        </w:tc>
        <w:tc>
          <w:tcPr>
            <w:tcW w:w="960" w:type="dxa"/>
            <w:vAlign w:val="bottom"/>
            <w:gridSpan w:val="4"/>
          </w:tcPr>
          <w:p>
            <w:pPr>
              <w:jc w:val="right"/>
              <w:spacing w:after="0"/>
              <w:rPr>
                <w:sz w:val="20"/>
                <w:szCs w:val="20"/>
                <w:color w:val="auto"/>
              </w:rPr>
            </w:pPr>
            <w:r>
              <w:rPr>
                <w:rFonts w:ascii="Arial" w:cs="Arial" w:eastAsia="Arial" w:hAnsi="Arial"/>
                <w:sz w:val="16"/>
                <w:szCs w:val="16"/>
                <w:color w:val="auto"/>
              </w:rPr>
              <w:t>2,365</w:t>
            </w:r>
          </w:p>
        </w:tc>
        <w:tc>
          <w:tcPr>
            <w:tcW w:w="1220" w:type="dxa"/>
            <w:vAlign w:val="bottom"/>
            <w:gridSpan w:val="5"/>
          </w:tcPr>
          <w:p>
            <w:pPr>
              <w:jc w:val="right"/>
              <w:ind w:right="200"/>
              <w:spacing w:after="0"/>
              <w:rPr>
                <w:sz w:val="20"/>
                <w:szCs w:val="20"/>
                <w:color w:val="auto"/>
              </w:rPr>
            </w:pPr>
            <w:r>
              <w:rPr>
                <w:rFonts w:ascii="Arial" w:cs="Arial" w:eastAsia="Arial" w:hAnsi="Arial"/>
                <w:sz w:val="16"/>
                <w:szCs w:val="16"/>
                <w:color w:val="auto"/>
              </w:rPr>
              <w:t>(1,394)</w:t>
            </w:r>
          </w:p>
        </w:tc>
        <w:tc>
          <w:tcPr>
            <w:tcW w:w="640" w:type="dxa"/>
            <w:vAlign w:val="bottom"/>
            <w:gridSpan w:val="3"/>
          </w:tcPr>
          <w:p>
            <w:pPr>
              <w:jc w:val="right"/>
              <w:spacing w:after="0"/>
              <w:rPr>
                <w:sz w:val="20"/>
                <w:szCs w:val="20"/>
                <w:color w:val="auto"/>
              </w:rPr>
            </w:pPr>
            <w:r>
              <w:rPr>
                <w:rFonts w:ascii="Arial" w:cs="Arial" w:eastAsia="Arial" w:hAnsi="Arial"/>
                <w:sz w:val="16"/>
                <w:szCs w:val="16"/>
                <w:color w:val="auto"/>
              </w:rPr>
              <w:t>971</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6"/>
                <w:szCs w:val="16"/>
                <w:color w:val="auto"/>
              </w:rPr>
              <w:t>(670)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6"/>
                <w:szCs w:val="16"/>
                <w:color w:val="auto"/>
              </w:rPr>
              <w:t>490</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32,513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4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900" w:type="dxa"/>
            <w:vAlign w:val="bottom"/>
            <w:gridSpan w:val="2"/>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4,607</w:t>
            </w:r>
          </w:p>
        </w:tc>
        <w:tc>
          <w:tcPr>
            <w:tcW w:w="420" w:type="dxa"/>
            <w:vAlign w:val="bottom"/>
            <w:gridSpan w:val="2"/>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440" w:type="dxa"/>
            <w:vAlign w:val="bottom"/>
            <w:gridSpan w:val="2"/>
            <w:shd w:val="clear" w:color="auto" w:fill="CCEEFF"/>
          </w:tcPr>
          <w:p>
            <w:pPr>
              <w:spacing w:after="0"/>
              <w:rPr>
                <w:sz w:val="17"/>
                <w:szCs w:val="17"/>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(713)</w:t>
            </w:r>
          </w:p>
        </w:tc>
        <w:tc>
          <w:tcPr>
            <w:tcW w:w="920" w:type="dxa"/>
            <w:vAlign w:val="bottom"/>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(473)</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4,171</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40" w:type="dxa"/>
            <w:vAlign w:val="bottom"/>
            <w:vMerge w:val="restart"/>
          </w:tcPr>
          <w:p>
            <w:pPr>
              <w:spacing w:after="0"/>
              <w:rPr>
                <w:sz w:val="20"/>
                <w:szCs w:val="20"/>
                <w:color w:val="auto"/>
              </w:rPr>
            </w:pPr>
            <w:r>
              <w:rPr>
                <w:rFonts w:ascii="Arial" w:cs="Arial" w:eastAsia="Arial" w:hAnsi="Arial"/>
                <w:sz w:val="16"/>
                <w:szCs w:val="16"/>
                <w:color w:val="auto"/>
              </w:rPr>
              <w:t>Total</w:t>
            </w:r>
          </w:p>
        </w:tc>
        <w:tc>
          <w:tcPr>
            <w:tcW w:w="1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440" w:type="dxa"/>
            <w:vAlign w:val="bottom"/>
            <w:vMerge w:val="continue"/>
          </w:tcPr>
          <w:p>
            <w:pPr>
              <w:spacing w:after="0"/>
              <w:rPr>
                <w:sz w:val="17"/>
                <w:szCs w:val="17"/>
                <w:color w:val="auto"/>
              </w:rPr>
            </w:pPr>
          </w:p>
        </w:tc>
        <w:tc>
          <w:tcPr>
            <w:tcW w:w="1900" w:type="dxa"/>
            <w:vAlign w:val="bottom"/>
            <w:gridSpan w:val="2"/>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199,181</w:t>
            </w:r>
          </w:p>
        </w:tc>
        <w:tc>
          <w:tcPr>
            <w:tcW w:w="420" w:type="dxa"/>
            <w:vAlign w:val="bottom"/>
            <w:gridSpan w:val="2"/>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10,366</w:t>
            </w:r>
          </w:p>
        </w:tc>
        <w:tc>
          <w:tcPr>
            <w:tcW w:w="1220" w:type="dxa"/>
            <w:vAlign w:val="bottom"/>
            <w:gridSpan w:val="5"/>
          </w:tcPr>
          <w:p>
            <w:pPr>
              <w:jc w:val="right"/>
              <w:ind w:right="20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(8,818)</w:t>
            </w:r>
          </w:p>
        </w:tc>
        <w:tc>
          <w:tcPr>
            <w:tcW w:w="640" w:type="dxa"/>
            <w:vAlign w:val="bottom"/>
            <w:gridSpan w:val="3"/>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1,548</w:t>
            </w:r>
          </w:p>
        </w:tc>
        <w:tc>
          <w:tcPr>
            <w:tcW w:w="280" w:type="dxa"/>
            <w:vAlign w:val="bottom"/>
          </w:tcPr>
          <w:p>
            <w:pPr>
              <w:spacing w:after="0"/>
              <w:rPr>
                <w:sz w:val="17"/>
                <w:szCs w:val="17"/>
                <w:color w:val="auto"/>
              </w:rPr>
            </w:pPr>
          </w:p>
        </w:tc>
        <w:tc>
          <w:tcPr>
            <w:tcW w:w="34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ind w:right="180"/>
              <w:spacing w:after="0"/>
              <w:rPr>
                <w:sz w:val="20"/>
                <w:szCs w:val="20"/>
                <w:color w:val="auto"/>
              </w:rPr>
            </w:pPr>
            <w:r>
              <w:rPr>
                <w:rFonts w:ascii="Arial" w:cs="Arial" w:eastAsia="Arial" w:hAnsi="Arial"/>
                <w:sz w:val="16"/>
                <w:szCs w:val="16"/>
                <w:color w:val="auto"/>
              </w:rPr>
              <w:t>160</w:t>
            </w:r>
          </w:p>
        </w:tc>
        <w:tc>
          <w:tcPr>
            <w:tcW w:w="360" w:type="dxa"/>
            <w:vAlign w:val="bottom"/>
            <w:gridSpan w:val="3"/>
          </w:tcPr>
          <w:p>
            <w:pPr>
              <w:ind w:left="260"/>
              <w:spacing w:after="0"/>
              <w:rPr>
                <w:sz w:val="20"/>
                <w:szCs w:val="20"/>
                <w:color w:val="auto"/>
              </w:rPr>
            </w:pPr>
            <w:r>
              <w:rPr>
                <w:rFonts w:ascii="Arial" w:cs="Arial" w:eastAsia="Arial" w:hAnsi="Arial"/>
                <w:sz w:val="16"/>
                <w:szCs w:val="16"/>
                <w:color w:val="auto"/>
                <w:w w:val="89"/>
              </w:rPr>
              <w:t>$</w:t>
            </w:r>
          </w:p>
        </w:tc>
        <w:tc>
          <w:tcPr>
            <w:tcW w:w="1040" w:type="dxa"/>
            <w:vAlign w:val="bottom"/>
            <w:gridSpan w:val="3"/>
          </w:tcPr>
          <w:p>
            <w:pPr>
              <w:jc w:val="right"/>
              <w:ind w:right="360"/>
              <w:spacing w:after="0"/>
              <w:rPr>
                <w:sz w:val="20"/>
                <w:szCs w:val="20"/>
                <w:color w:val="auto"/>
              </w:rPr>
            </w:pPr>
            <w:r>
              <w:rPr>
                <w:rFonts w:ascii="Arial" w:cs="Arial" w:eastAsia="Arial" w:hAnsi="Arial"/>
                <w:sz w:val="16"/>
                <w:szCs w:val="16"/>
                <w:color w:val="auto"/>
              </w:rPr>
              <w:t>2,197</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203,086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2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11"/>
          </w:tcPr>
          <w:p>
            <w:pPr>
              <w:jc w:val="right"/>
              <w:ind w:right="680"/>
              <w:spacing w:after="0"/>
              <w:rPr>
                <w:sz w:val="20"/>
                <w:szCs w:val="20"/>
                <w:color w:val="auto"/>
              </w:rPr>
            </w:pPr>
            <w:r>
              <w:rPr>
                <w:rFonts w:ascii="Arial" w:cs="Arial" w:eastAsia="Arial" w:hAnsi="Arial"/>
                <w:sz w:val="13"/>
                <w:szCs w:val="13"/>
                <w:b w:val="1"/>
                <w:bCs w:val="1"/>
                <w:color w:val="auto"/>
                <w:w w:val="90"/>
              </w:rPr>
              <w:t>Six Months Ended June 30, 2015</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4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4"/>
          </w:tcPr>
          <w:p>
            <w:pPr>
              <w:jc w:val="center"/>
              <w:ind w:right="600"/>
              <w:spacing w:after="0" w:line="119" w:lineRule="exact"/>
              <w:rPr>
                <w:sz w:val="20"/>
                <w:szCs w:val="20"/>
                <w:color w:val="auto"/>
              </w:rPr>
            </w:pPr>
            <w:r>
              <w:rPr>
                <w:rFonts w:ascii="Arial" w:cs="Arial" w:eastAsia="Arial" w:hAnsi="Arial"/>
                <w:sz w:val="13"/>
                <w:szCs w:val="13"/>
                <w:b w:val="1"/>
                <w:bCs w:val="1"/>
                <w:color w:val="auto"/>
                <w:w w:val="88"/>
              </w:rPr>
              <w:t>Foreign</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4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0" w:type="dxa"/>
            <w:vAlign w:val="bottom"/>
            <w:gridSpan w:val="3"/>
          </w:tcPr>
          <w:p>
            <w:pPr>
              <w:jc w:val="center"/>
              <w:ind w:right="340"/>
              <w:spacing w:after="0" w:line="139" w:lineRule="exact"/>
              <w:rPr>
                <w:sz w:val="20"/>
                <w:szCs w:val="20"/>
                <w:color w:val="auto"/>
              </w:rPr>
            </w:pPr>
            <w:r>
              <w:rPr>
                <w:rFonts w:ascii="Arial" w:cs="Arial" w:eastAsia="Arial" w:hAnsi="Arial"/>
                <w:sz w:val="13"/>
                <w:szCs w:val="13"/>
                <w:b w:val="1"/>
                <w:bCs w:val="1"/>
                <w:color w:val="auto"/>
              </w:rPr>
              <w:t>AUM</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5"/>
          </w:tcPr>
          <w:p>
            <w:pPr>
              <w:ind w:left="40"/>
              <w:spacing w:after="0" w:line="139" w:lineRule="exact"/>
              <w:rPr>
                <w:sz w:val="20"/>
                <w:szCs w:val="20"/>
                <w:color w:val="auto"/>
              </w:rPr>
            </w:pPr>
            <w:r>
              <w:rPr>
                <w:rFonts w:ascii="Arial" w:cs="Arial" w:eastAsia="Arial" w:hAnsi="Arial"/>
                <w:sz w:val="13"/>
                <w:szCs w:val="13"/>
                <w:b w:val="1"/>
                <w:bCs w:val="1"/>
                <w:color w:val="auto"/>
              </w:rPr>
              <w:t>Market Value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4"/>
          </w:tcPr>
          <w:p>
            <w:pPr>
              <w:ind w:left="20"/>
              <w:spacing w:after="0" w:line="139" w:lineRule="exact"/>
              <w:rPr>
                <w:sz w:val="20"/>
                <w:szCs w:val="20"/>
                <w:color w:val="auto"/>
              </w:rPr>
            </w:pPr>
            <w:r>
              <w:rPr>
                <w:rFonts w:ascii="Arial" w:cs="Arial" w:eastAsia="Arial" w:hAnsi="Arial"/>
                <w:sz w:val="13"/>
                <w:szCs w:val="13"/>
                <w:b w:val="1"/>
                <w:bCs w:val="1"/>
                <w:color w:val="auto"/>
              </w:rPr>
              <w:t>Exchange</w:t>
            </w:r>
          </w:p>
        </w:tc>
        <w:tc>
          <w:tcPr>
            <w:tcW w:w="80" w:type="dxa"/>
            <w:vAlign w:val="bottom"/>
          </w:tcPr>
          <w:p>
            <w:pPr>
              <w:spacing w:after="0"/>
              <w:rPr>
                <w:sz w:val="12"/>
                <w:szCs w:val="12"/>
                <w:color w:val="auto"/>
              </w:rPr>
            </w:pPr>
          </w:p>
        </w:tc>
        <w:tc>
          <w:tcPr>
            <w:tcW w:w="720" w:type="dxa"/>
            <w:vAlign w:val="bottom"/>
            <w:gridSpan w:val="2"/>
          </w:tcPr>
          <w:p>
            <w:pPr>
              <w:ind w:left="120"/>
              <w:spacing w:after="0" w:line="139" w:lineRule="exact"/>
              <w:rPr>
                <w:sz w:val="20"/>
                <w:szCs w:val="20"/>
                <w:color w:val="auto"/>
              </w:rPr>
            </w:pPr>
            <w:r>
              <w:rPr>
                <w:rFonts w:ascii="Arial" w:cs="Arial" w:eastAsia="Arial" w:hAnsi="Arial"/>
                <w:sz w:val="13"/>
                <w:szCs w:val="13"/>
                <w:b w:val="1"/>
                <w:bCs w:val="1"/>
                <w:color w:val="auto"/>
              </w:rPr>
              <w:t>AUM</w:t>
            </w:r>
          </w:p>
        </w:tc>
        <w:tc>
          <w:tcPr>
            <w:tcW w:w="0" w:type="dxa"/>
            <w:vAlign w:val="bottom"/>
          </w:tcPr>
          <w:p>
            <w:pPr>
              <w:spacing w:after="0"/>
              <w:rPr>
                <w:sz w:val="1"/>
                <w:szCs w:val="1"/>
                <w:color w:val="auto"/>
              </w:rPr>
            </w:pPr>
          </w:p>
        </w:tc>
      </w:tr>
      <w:tr>
        <w:trPr>
          <w:trHeight w:val="139"/>
        </w:trPr>
        <w:tc>
          <w:tcPr>
            <w:tcW w:w="24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0" w:type="dxa"/>
            <w:vAlign w:val="bottom"/>
            <w:gridSpan w:val="3"/>
          </w:tcPr>
          <w:p>
            <w:pPr>
              <w:jc w:val="center"/>
              <w:ind w:right="320"/>
              <w:spacing w:after="0" w:line="139" w:lineRule="exact"/>
              <w:rPr>
                <w:sz w:val="20"/>
                <w:szCs w:val="20"/>
                <w:color w:val="auto"/>
              </w:rPr>
            </w:pPr>
            <w:r>
              <w:rPr>
                <w:rFonts w:ascii="Arial" w:cs="Arial" w:eastAsia="Arial" w:hAnsi="Arial"/>
                <w:sz w:val="13"/>
                <w:szCs w:val="13"/>
                <w:b w:val="1"/>
                <w:bCs w:val="1"/>
                <w:color w:val="auto"/>
                <w:w w:val="88"/>
              </w:rPr>
              <w:t>Beginning</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4"/>
          </w:tcPr>
          <w:p>
            <w:pPr>
              <w:ind w:left="140"/>
              <w:spacing w:after="0" w:line="139" w:lineRule="exact"/>
              <w:rPr>
                <w:sz w:val="20"/>
                <w:szCs w:val="20"/>
                <w:color w:val="auto"/>
              </w:rPr>
            </w:pPr>
            <w:r>
              <w:rPr>
                <w:rFonts w:ascii="Arial" w:cs="Arial" w:eastAsia="Arial" w:hAnsi="Arial"/>
                <w:sz w:val="13"/>
                <w:szCs w:val="13"/>
                <w:b w:val="1"/>
                <w:bCs w:val="1"/>
                <w:color w:val="auto"/>
              </w:rPr>
              <w:t>Net</w:t>
            </w:r>
          </w:p>
        </w:tc>
        <w:tc>
          <w:tcPr>
            <w:tcW w:w="1140" w:type="dxa"/>
            <w:vAlign w:val="bottom"/>
            <w:gridSpan w:val="5"/>
          </w:tcPr>
          <w:p>
            <w:pPr>
              <w:ind w:left="40"/>
              <w:spacing w:after="0" w:line="139" w:lineRule="exact"/>
              <w:rPr>
                <w:sz w:val="20"/>
                <w:szCs w:val="20"/>
                <w:color w:val="auto"/>
              </w:rPr>
            </w:pPr>
            <w:r>
              <w:rPr>
                <w:rFonts w:ascii="Arial" w:cs="Arial" w:eastAsia="Arial" w:hAnsi="Arial"/>
                <w:sz w:val="13"/>
                <w:szCs w:val="13"/>
                <w:b w:val="1"/>
                <w:bCs w:val="1"/>
                <w:color w:val="auto"/>
              </w:rPr>
              <w:t>Appreciation/</w:t>
            </w:r>
          </w:p>
        </w:tc>
        <w:tc>
          <w:tcPr>
            <w:tcW w:w="120" w:type="dxa"/>
            <w:vAlign w:val="bottom"/>
          </w:tcPr>
          <w:p>
            <w:pPr>
              <w:spacing w:after="0"/>
              <w:rPr>
                <w:sz w:val="12"/>
                <w:szCs w:val="12"/>
                <w:color w:val="auto"/>
              </w:rPr>
            </w:pPr>
          </w:p>
        </w:tc>
        <w:tc>
          <w:tcPr>
            <w:tcW w:w="1280" w:type="dxa"/>
            <w:vAlign w:val="bottom"/>
            <w:gridSpan w:val="5"/>
          </w:tcPr>
          <w:p>
            <w:pPr>
              <w:jc w:val="center"/>
              <w:ind w:right="460"/>
              <w:spacing w:after="0" w:line="139" w:lineRule="exact"/>
              <w:rPr>
                <w:sz w:val="20"/>
                <w:szCs w:val="20"/>
                <w:color w:val="auto"/>
              </w:rPr>
            </w:pPr>
            <w:r>
              <w:rPr>
                <w:rFonts w:ascii="Arial" w:cs="Arial" w:eastAsia="Arial" w:hAnsi="Arial"/>
                <w:sz w:val="13"/>
                <w:szCs w:val="13"/>
                <w:b w:val="1"/>
                <w:bCs w:val="1"/>
                <w:color w:val="auto"/>
                <w:w w:val="89"/>
              </w:rPr>
              <w:t>Appreciation/</w:t>
            </w:r>
          </w:p>
        </w:tc>
        <w:tc>
          <w:tcPr>
            <w:tcW w:w="80" w:type="dxa"/>
            <w:vAlign w:val="bottom"/>
          </w:tcPr>
          <w:p>
            <w:pPr>
              <w:spacing w:after="0"/>
              <w:rPr>
                <w:sz w:val="12"/>
                <w:szCs w:val="12"/>
                <w:color w:val="auto"/>
              </w:rPr>
            </w:pPr>
          </w:p>
        </w:tc>
        <w:tc>
          <w:tcPr>
            <w:tcW w:w="720" w:type="dxa"/>
            <w:vAlign w:val="bottom"/>
            <w:gridSpan w:val="2"/>
          </w:tcPr>
          <w:p>
            <w:pPr>
              <w:jc w:val="right"/>
              <w:ind w:right="260"/>
              <w:spacing w:after="0" w:line="139" w:lineRule="exact"/>
              <w:rPr>
                <w:sz w:val="20"/>
                <w:szCs w:val="20"/>
                <w:color w:val="auto"/>
              </w:rPr>
            </w:pPr>
            <w:r>
              <w:rPr>
                <w:rFonts w:ascii="Arial" w:cs="Arial" w:eastAsia="Arial" w:hAnsi="Arial"/>
                <w:sz w:val="13"/>
                <w:szCs w:val="13"/>
                <w:b w:val="1"/>
                <w:bCs w:val="1"/>
                <w:color w:val="auto"/>
                <w:w w:val="99"/>
              </w:rPr>
              <w:t>Ending</w:t>
            </w:r>
          </w:p>
        </w:tc>
        <w:tc>
          <w:tcPr>
            <w:tcW w:w="0" w:type="dxa"/>
            <w:vAlign w:val="bottom"/>
          </w:tcPr>
          <w:p>
            <w:pPr>
              <w:spacing w:after="0"/>
              <w:rPr>
                <w:sz w:val="1"/>
                <w:szCs w:val="1"/>
                <w:color w:val="auto"/>
              </w:rPr>
            </w:pPr>
          </w:p>
        </w:tc>
      </w:tr>
      <w:tr>
        <w:trPr>
          <w:trHeight w:val="152"/>
        </w:trPr>
        <w:tc>
          <w:tcPr>
            <w:tcW w:w="24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88"/>
              </w:rPr>
              <w:t>Balance</w:t>
            </w:r>
          </w:p>
        </w:tc>
        <w:tc>
          <w:tcPr>
            <w:tcW w:w="100" w:type="dxa"/>
            <w:vAlign w:val="bottom"/>
          </w:tcPr>
          <w:p>
            <w:pPr>
              <w:spacing w:after="0"/>
              <w:rPr>
                <w:sz w:val="13"/>
                <w:szCs w:val="13"/>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3"/>
                <w:szCs w:val="13"/>
                <w:b w:val="1"/>
                <w:bCs w:val="1"/>
                <w:color w:val="auto"/>
              </w:rPr>
              <w:t>Inflows</w:t>
            </w:r>
          </w:p>
        </w:tc>
        <w:tc>
          <w:tcPr>
            <w:tcW w:w="140" w:type="dxa"/>
            <w:vAlign w:val="bottom"/>
          </w:tcPr>
          <w:p>
            <w:pPr>
              <w:spacing w:after="0"/>
              <w:rPr>
                <w:sz w:val="13"/>
                <w:szCs w:val="13"/>
                <w:color w:val="auto"/>
              </w:rPr>
            </w:pPr>
          </w:p>
        </w:tc>
        <w:tc>
          <w:tcPr>
            <w:tcW w:w="1080" w:type="dxa"/>
            <w:vAlign w:val="bottom"/>
            <w:gridSpan w:val="4"/>
          </w:tcPr>
          <w:p>
            <w:pPr>
              <w:jc w:val="right"/>
              <w:ind w:right="520"/>
              <w:spacing w:after="0"/>
              <w:rPr>
                <w:sz w:val="20"/>
                <w:szCs w:val="20"/>
                <w:color w:val="auto"/>
              </w:rPr>
            </w:pPr>
            <w:r>
              <w:rPr>
                <w:rFonts w:ascii="Arial" w:cs="Arial" w:eastAsia="Arial" w:hAnsi="Arial"/>
                <w:sz w:val="13"/>
                <w:szCs w:val="13"/>
                <w:b w:val="1"/>
                <w:bCs w:val="1"/>
                <w:color w:val="auto"/>
                <w:w w:val="97"/>
              </w:rPr>
              <w:t>Outflows</w:t>
            </w:r>
          </w:p>
        </w:tc>
        <w:tc>
          <w:tcPr>
            <w:tcW w:w="920" w:type="dxa"/>
            <w:vAlign w:val="bottom"/>
            <w:gridSpan w:val="4"/>
          </w:tcPr>
          <w:p>
            <w:pPr>
              <w:ind w:left="80"/>
              <w:spacing w:after="0"/>
              <w:rPr>
                <w:sz w:val="20"/>
                <w:szCs w:val="20"/>
                <w:color w:val="auto"/>
              </w:rPr>
            </w:pPr>
            <w:r>
              <w:rPr>
                <w:rFonts w:ascii="Arial" w:cs="Arial" w:eastAsia="Arial" w:hAnsi="Arial"/>
                <w:sz w:val="13"/>
                <w:szCs w:val="13"/>
                <w:b w:val="1"/>
                <w:bCs w:val="1"/>
                <w:color w:val="auto"/>
              </w:rPr>
              <w:t>Flows</w:t>
            </w:r>
          </w:p>
        </w:tc>
        <w:tc>
          <w:tcPr>
            <w:tcW w:w="1140" w:type="dxa"/>
            <w:vAlign w:val="bottom"/>
            <w:gridSpan w:val="5"/>
          </w:tcPr>
          <w:p>
            <w:pPr>
              <w:ind w:left="20"/>
              <w:spacing w:after="0"/>
              <w:rPr>
                <w:sz w:val="20"/>
                <w:szCs w:val="20"/>
                <w:color w:val="auto"/>
              </w:rPr>
            </w:pPr>
            <w:r>
              <w:rPr>
                <w:rFonts w:ascii="Arial" w:cs="Arial" w:eastAsia="Arial" w:hAnsi="Arial"/>
                <w:sz w:val="13"/>
                <w:szCs w:val="13"/>
                <w:b w:val="1"/>
                <w:bCs w:val="1"/>
                <w:color w:val="auto"/>
              </w:rPr>
              <w:t>(Depreciation)</w:t>
            </w:r>
          </w:p>
        </w:tc>
        <w:tc>
          <w:tcPr>
            <w:tcW w:w="120" w:type="dxa"/>
            <w:vAlign w:val="bottom"/>
          </w:tcPr>
          <w:p>
            <w:pPr>
              <w:spacing w:after="0"/>
              <w:rPr>
                <w:sz w:val="13"/>
                <w:szCs w:val="13"/>
                <w:color w:val="auto"/>
              </w:rPr>
            </w:pPr>
          </w:p>
        </w:tc>
        <w:tc>
          <w:tcPr>
            <w:tcW w:w="1280" w:type="dxa"/>
            <w:vAlign w:val="bottom"/>
            <w:gridSpan w:val="5"/>
          </w:tcPr>
          <w:p>
            <w:pPr>
              <w:jc w:val="center"/>
              <w:ind w:right="460"/>
              <w:spacing w:after="0"/>
              <w:rPr>
                <w:sz w:val="20"/>
                <w:szCs w:val="20"/>
                <w:color w:val="auto"/>
              </w:rPr>
            </w:pPr>
            <w:r>
              <w:rPr>
                <w:rFonts w:ascii="Arial" w:cs="Arial" w:eastAsia="Arial" w:hAnsi="Arial"/>
                <w:sz w:val="13"/>
                <w:szCs w:val="13"/>
                <w:b w:val="1"/>
                <w:bCs w:val="1"/>
                <w:color w:val="auto"/>
                <w:w w:val="89"/>
              </w:rPr>
              <w:t>(Depreciation)</w:t>
            </w:r>
          </w:p>
        </w:tc>
        <w:tc>
          <w:tcPr>
            <w:tcW w:w="80" w:type="dxa"/>
            <w:vAlign w:val="bottom"/>
          </w:tcPr>
          <w:p>
            <w:pPr>
              <w:spacing w:after="0"/>
              <w:rPr>
                <w:sz w:val="13"/>
                <w:szCs w:val="1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2"/>
              </w:rPr>
              <w:t>Balance</w:t>
            </w:r>
          </w:p>
        </w:tc>
        <w:tc>
          <w:tcPr>
            <w:tcW w:w="0" w:type="dxa"/>
            <w:vAlign w:val="bottom"/>
          </w:tcPr>
          <w:p>
            <w:pPr>
              <w:spacing w:after="0"/>
              <w:rPr>
                <w:sz w:val="1"/>
                <w:szCs w:val="1"/>
                <w:color w:val="auto"/>
              </w:rPr>
            </w:pPr>
          </w:p>
        </w:tc>
      </w:tr>
      <w:tr>
        <w:trPr>
          <w:trHeight w:val="132"/>
        </w:trPr>
        <w:tc>
          <w:tcPr>
            <w:tcW w:w="24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4"/>
          </w:tcPr>
          <w:p>
            <w:pPr>
              <w:ind w:left="120"/>
              <w:spacing w:after="0" w:line="132" w:lineRule="exact"/>
              <w:rPr>
                <w:sz w:val="20"/>
                <w:szCs w:val="20"/>
                <w:color w:val="auto"/>
              </w:rPr>
            </w:pPr>
            <w:r>
              <w:rPr>
                <w:rFonts w:ascii="Arial" w:cs="Arial" w:eastAsia="Arial" w:hAnsi="Arial"/>
                <w:sz w:val="13"/>
                <w:szCs w:val="13"/>
                <w:b w:val="1"/>
                <w:bCs w:val="1"/>
                <w:color w:val="auto"/>
                <w:w w:val="93"/>
              </w:rPr>
              <w:t>($ in millions)</w:t>
            </w:r>
          </w:p>
        </w:tc>
        <w:tc>
          <w:tcPr>
            <w:tcW w:w="1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440" w:type="dxa"/>
            <w:vAlign w:val="bottom"/>
            <w:shd w:val="clear" w:color="auto" w:fill="CCEEFF"/>
          </w:tcPr>
          <w:p>
            <w:pPr>
              <w:spacing w:after="0"/>
              <w:rPr>
                <w:sz w:val="20"/>
                <w:szCs w:val="20"/>
                <w:color w:val="auto"/>
              </w:rPr>
            </w:pPr>
            <w:r>
              <w:rPr>
                <w:rFonts w:ascii="Arial" w:cs="Arial" w:eastAsia="Arial" w:hAnsi="Arial"/>
                <w:sz w:val="16"/>
                <w:szCs w:val="16"/>
                <w:color w:val="auto"/>
              </w:rPr>
              <w:t>Equity</w:t>
            </w:r>
          </w:p>
        </w:tc>
        <w:tc>
          <w:tcPr>
            <w:tcW w:w="2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$ 160,912</w:t>
            </w:r>
          </w:p>
        </w:tc>
        <w:tc>
          <w:tcPr>
            <w:tcW w:w="34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$ 13,911</w:t>
            </w:r>
          </w:p>
        </w:tc>
        <w:tc>
          <w:tcPr>
            <w:tcW w:w="30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ind w:right="77"/>
              <w:spacing w:after="0"/>
              <w:rPr>
                <w:sz w:val="20"/>
                <w:szCs w:val="20"/>
                <w:color w:val="auto"/>
              </w:rPr>
            </w:pPr>
            <w:r>
              <w:rPr>
                <w:rFonts w:ascii="Arial" w:cs="Arial" w:eastAsia="Arial" w:hAnsi="Arial"/>
                <w:sz w:val="16"/>
                <w:szCs w:val="16"/>
                <w:color w:val="auto"/>
              </w:rPr>
              <w:t>$ (13,641)</w:t>
            </w:r>
          </w:p>
        </w:tc>
        <w:tc>
          <w:tcPr>
            <w:tcW w:w="26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  270</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9,290</w:t>
            </w:r>
          </w:p>
        </w:tc>
        <w:tc>
          <w:tcPr>
            <w:tcW w:w="1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(4,070)</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166,402</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40" w:type="dxa"/>
            <w:vAlign w:val="bottom"/>
          </w:tcPr>
          <w:p>
            <w:pPr>
              <w:spacing w:after="0"/>
              <w:rPr>
                <w:sz w:val="20"/>
                <w:szCs w:val="20"/>
                <w:color w:val="auto"/>
              </w:rPr>
            </w:pPr>
            <w:r>
              <w:rPr>
                <w:rFonts w:ascii="Arial" w:cs="Arial" w:eastAsia="Arial" w:hAnsi="Arial"/>
                <w:sz w:val="16"/>
                <w:szCs w:val="16"/>
                <w:color w:val="auto"/>
              </w:rPr>
              <w:t>Fixed Income</w:t>
            </w:r>
          </w:p>
        </w:tc>
        <w:tc>
          <w:tcPr>
            <w:tcW w:w="2200" w:type="dxa"/>
            <w:vAlign w:val="bottom"/>
            <w:gridSpan w:val="3"/>
          </w:tcPr>
          <w:p>
            <w:pPr>
              <w:jc w:val="right"/>
              <w:spacing w:after="0"/>
              <w:rPr>
                <w:sz w:val="20"/>
                <w:szCs w:val="20"/>
                <w:color w:val="auto"/>
              </w:rPr>
            </w:pPr>
            <w:r>
              <w:rPr>
                <w:rFonts w:ascii="Arial" w:cs="Arial" w:eastAsia="Arial" w:hAnsi="Arial"/>
                <w:sz w:val="16"/>
                <w:szCs w:val="16"/>
                <w:color w:val="auto"/>
              </w:rPr>
              <w:t>31,110</w:t>
            </w:r>
          </w:p>
        </w:tc>
        <w:tc>
          <w:tcPr>
            <w:tcW w:w="34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5,768</w:t>
            </w:r>
          </w:p>
        </w:tc>
        <w:tc>
          <w:tcPr>
            <w:tcW w:w="300" w:type="dxa"/>
            <w:vAlign w:val="bottom"/>
          </w:tcPr>
          <w:p>
            <w:pPr>
              <w:spacing w:after="0"/>
              <w:rPr>
                <w:sz w:val="17"/>
                <w:szCs w:val="17"/>
                <w:color w:val="auto"/>
              </w:rPr>
            </w:pPr>
          </w:p>
        </w:tc>
        <w:tc>
          <w:tcPr>
            <w:tcW w:w="960" w:type="dxa"/>
            <w:vAlign w:val="bottom"/>
            <w:gridSpan w:val="4"/>
          </w:tcPr>
          <w:p>
            <w:pPr>
              <w:jc w:val="right"/>
              <w:ind w:right="77"/>
              <w:spacing w:after="0"/>
              <w:rPr>
                <w:sz w:val="20"/>
                <w:szCs w:val="20"/>
                <w:color w:val="auto"/>
              </w:rPr>
            </w:pPr>
            <w:r>
              <w:rPr>
                <w:rFonts w:ascii="Arial" w:cs="Arial" w:eastAsia="Arial" w:hAnsi="Arial"/>
                <w:sz w:val="16"/>
                <w:szCs w:val="16"/>
                <w:color w:val="auto"/>
              </w:rPr>
              <w:t>(2,625)</w:t>
            </w:r>
          </w:p>
        </w:tc>
        <w:tc>
          <w:tcPr>
            <w:tcW w:w="260" w:type="dxa"/>
            <w:vAlign w:val="bottom"/>
          </w:tcPr>
          <w:p>
            <w:pPr>
              <w:spacing w:after="0"/>
              <w:rPr>
                <w:sz w:val="17"/>
                <w:szCs w:val="17"/>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6"/>
                <w:szCs w:val="16"/>
                <w:color w:val="auto"/>
              </w:rPr>
              <w:t>3,143</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(153)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(1,587)</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32,513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4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5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5,081</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77"/>
              <w:spacing w:after="0"/>
              <w:rPr>
                <w:sz w:val="20"/>
                <w:szCs w:val="20"/>
                <w:color w:val="auto"/>
              </w:rPr>
            </w:pPr>
            <w:r>
              <w:rPr>
                <w:rFonts w:ascii="Arial" w:cs="Arial" w:eastAsia="Arial" w:hAnsi="Arial"/>
                <w:sz w:val="16"/>
                <w:szCs w:val="16"/>
                <w:color w:val="auto"/>
              </w:rPr>
              <w:t>(1,147)</w:t>
            </w:r>
          </w:p>
        </w:tc>
        <w:tc>
          <w:tcPr>
            <w:tcW w:w="26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(824)</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(58)</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4,171</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40" w:type="dxa"/>
            <w:vAlign w:val="bottom"/>
            <w:vMerge w:val="restart"/>
          </w:tcPr>
          <w:p>
            <w:pPr>
              <w:spacing w:after="0"/>
              <w:rPr>
                <w:sz w:val="20"/>
                <w:szCs w:val="20"/>
                <w:color w:val="auto"/>
              </w:rPr>
            </w:pPr>
            <w:r>
              <w:rPr>
                <w:rFonts w:ascii="Arial" w:cs="Arial" w:eastAsia="Arial" w:hAnsi="Arial"/>
                <w:sz w:val="16"/>
                <w:szCs w:val="16"/>
                <w:color w:val="auto"/>
              </w:rPr>
              <w:t>Total</w:t>
            </w:r>
          </w:p>
        </w:tc>
        <w:tc>
          <w:tcPr>
            <w:tcW w:w="154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440" w:type="dxa"/>
            <w:vAlign w:val="bottom"/>
            <w:vMerge w:val="continue"/>
          </w:tcPr>
          <w:p>
            <w:pPr>
              <w:spacing w:after="0"/>
              <w:rPr>
                <w:sz w:val="17"/>
                <w:szCs w:val="17"/>
                <w:color w:val="auto"/>
              </w:rPr>
            </w:pPr>
          </w:p>
        </w:tc>
        <w:tc>
          <w:tcPr>
            <w:tcW w:w="154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w w:val="89"/>
              </w:rPr>
              <w:t>$ 197,103</w:t>
            </w:r>
          </w:p>
        </w:tc>
        <w:tc>
          <w:tcPr>
            <w:tcW w:w="34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$ 20,002</w:t>
            </w:r>
          </w:p>
        </w:tc>
        <w:tc>
          <w:tcPr>
            <w:tcW w:w="300" w:type="dxa"/>
            <w:vAlign w:val="bottom"/>
          </w:tcPr>
          <w:p>
            <w:pPr>
              <w:spacing w:after="0"/>
              <w:rPr>
                <w:sz w:val="17"/>
                <w:szCs w:val="17"/>
                <w:color w:val="auto"/>
              </w:rPr>
            </w:pPr>
          </w:p>
        </w:tc>
        <w:tc>
          <w:tcPr>
            <w:tcW w:w="960" w:type="dxa"/>
            <w:vAlign w:val="bottom"/>
            <w:gridSpan w:val="4"/>
          </w:tcPr>
          <w:p>
            <w:pPr>
              <w:jc w:val="right"/>
              <w:ind w:right="77"/>
              <w:spacing w:after="0"/>
              <w:rPr>
                <w:sz w:val="20"/>
                <w:szCs w:val="20"/>
                <w:color w:val="auto"/>
              </w:rPr>
            </w:pPr>
            <w:r>
              <w:rPr>
                <w:rFonts w:ascii="Arial" w:cs="Arial" w:eastAsia="Arial" w:hAnsi="Arial"/>
                <w:sz w:val="16"/>
                <w:szCs w:val="16"/>
                <w:color w:val="auto"/>
              </w:rPr>
              <w:t>$ (17,413)</w:t>
            </w:r>
          </w:p>
        </w:tc>
        <w:tc>
          <w:tcPr>
            <w:tcW w:w="260" w:type="dxa"/>
            <w:vAlign w:val="bottom"/>
          </w:tcPr>
          <w:p>
            <w:pPr>
              <w:spacing w:after="0"/>
              <w:rPr>
                <w:sz w:val="17"/>
                <w:szCs w:val="17"/>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6"/>
                <w:szCs w:val="16"/>
                <w:color w:val="auto"/>
                <w:w w:val="86"/>
              </w:rPr>
              <w:t>$ 2,589</w:t>
            </w:r>
          </w:p>
        </w:tc>
        <w:tc>
          <w:tcPr>
            <w:tcW w:w="28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9,109</w:t>
            </w:r>
          </w:p>
        </w:tc>
        <w:tc>
          <w:tcPr>
            <w:tcW w:w="18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(5,715)</w:t>
            </w:r>
          </w:p>
        </w:tc>
        <w:tc>
          <w:tcPr>
            <w:tcW w:w="3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203,086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gridSpan w:val="4"/>
          </w:tcPr>
          <w:p>
            <w:pPr>
              <w:jc w:val="right"/>
              <w:ind w:right="140"/>
              <w:spacing w:after="0"/>
              <w:rPr>
                <w:sz w:val="20"/>
                <w:szCs w:val="20"/>
                <w:color w:val="auto"/>
              </w:rPr>
            </w:pPr>
            <w:r>
              <w:rPr>
                <w:rFonts w:ascii="Arial" w:cs="Arial" w:eastAsia="Arial" w:hAnsi="Arial"/>
                <w:sz w:val="16"/>
                <w:szCs w:val="16"/>
                <w:color w:val="auto"/>
              </w:rPr>
              <w:t>60</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0" w:right="23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jc w:val="both"/>
        <w:ind w:right="20" w:firstLine="457"/>
        <w:spacing w:after="0" w:line="280" w:lineRule="auto"/>
        <w:rPr>
          <w:sz w:val="20"/>
          <w:szCs w:val="20"/>
          <w:color w:val="auto"/>
        </w:rPr>
      </w:pPr>
      <w:r>
        <w:rPr>
          <w:rFonts w:ascii="Arial" w:cs="Arial" w:eastAsia="Arial" w:hAnsi="Arial"/>
          <w:sz w:val="16"/>
          <w:szCs w:val="16"/>
          <w:color w:val="auto"/>
        </w:rPr>
        <w:t>Inflows in the Equity and Fixed Income asset classes were primarily attributable to the Emerging Markets and Multi-Regional platforms. Outflows in the Equity asset class were primarily attributable to the Emerging Markets and Global equity platforms, and outflows in the Fixed Income asset class were primarily attributable to the Multi-Regional and Emerging Markets platforms.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4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10"/>
          </w:tcPr>
          <w:p>
            <w:pPr>
              <w:jc w:val="center"/>
              <w:ind w:right="100"/>
              <w:spacing w:after="0"/>
              <w:rPr>
                <w:sz w:val="20"/>
                <w:szCs w:val="20"/>
                <w:color w:val="auto"/>
              </w:rPr>
            </w:pPr>
            <w:r>
              <w:rPr>
                <w:rFonts w:ascii="Arial" w:cs="Arial" w:eastAsia="Arial" w:hAnsi="Arial"/>
                <w:sz w:val="13"/>
                <w:szCs w:val="13"/>
                <w:b w:val="1"/>
                <w:bCs w:val="1"/>
                <w:color w:val="auto"/>
                <w:w w:val="88"/>
              </w:rPr>
              <w:t>Three Months Ended June 30, 2014</w:t>
            </w: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w w:val="88"/>
              </w:rPr>
              <w:t>Foreign</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4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tcPr>
          <w:p>
            <w:pPr>
              <w:ind w:left="140"/>
              <w:spacing w:after="0" w:line="139" w:lineRule="exact"/>
              <w:rPr>
                <w:sz w:val="20"/>
                <w:szCs w:val="20"/>
                <w:color w:val="auto"/>
              </w:rPr>
            </w:pPr>
            <w:r>
              <w:rPr>
                <w:rFonts w:ascii="Arial" w:cs="Arial" w:eastAsia="Arial" w:hAnsi="Arial"/>
                <w:sz w:val="13"/>
                <w:szCs w:val="13"/>
                <w:b w:val="1"/>
                <w:bCs w:val="1"/>
                <w:color w:val="auto"/>
              </w:rPr>
              <w:t>AUM</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rPr>
              <w:t>Market Value</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460"/>
              <w:spacing w:after="0" w:line="139" w:lineRule="exact"/>
              <w:rPr>
                <w:sz w:val="20"/>
                <w:szCs w:val="20"/>
                <w:color w:val="auto"/>
              </w:rPr>
            </w:pPr>
            <w:r>
              <w:rPr>
                <w:rFonts w:ascii="Arial" w:cs="Arial" w:eastAsia="Arial" w:hAnsi="Arial"/>
                <w:sz w:val="13"/>
                <w:szCs w:val="13"/>
                <w:b w:val="1"/>
                <w:bCs w:val="1"/>
                <w:color w:val="auto"/>
                <w:w w:val="87"/>
              </w:rPr>
              <w:t>Exchange</w:t>
            </w: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39" w:lineRule="exact"/>
              <w:rPr>
                <w:sz w:val="20"/>
                <w:szCs w:val="20"/>
                <w:color w:val="auto"/>
              </w:rPr>
            </w:pPr>
            <w:r>
              <w:rPr>
                <w:rFonts w:ascii="Arial" w:cs="Arial" w:eastAsia="Arial" w:hAnsi="Arial"/>
                <w:sz w:val="13"/>
                <w:szCs w:val="13"/>
                <w:b w:val="1"/>
                <w:bCs w:val="1"/>
                <w:color w:val="auto"/>
              </w:rPr>
              <w:t>AUM</w:t>
            </w:r>
          </w:p>
        </w:tc>
        <w:tc>
          <w:tcPr>
            <w:tcW w:w="0" w:type="dxa"/>
            <w:vAlign w:val="bottom"/>
          </w:tcPr>
          <w:p>
            <w:pPr>
              <w:spacing w:after="0"/>
              <w:rPr>
                <w:sz w:val="1"/>
                <w:szCs w:val="1"/>
                <w:color w:val="auto"/>
              </w:rPr>
            </w:pPr>
          </w:p>
        </w:tc>
      </w:tr>
      <w:tr>
        <w:trPr>
          <w:trHeight w:val="139"/>
        </w:trPr>
        <w:tc>
          <w:tcPr>
            <w:tcW w:w="4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tcPr>
          <w:p>
            <w:pPr>
              <w:jc w:val="right"/>
              <w:ind w:right="440"/>
              <w:spacing w:after="0" w:line="139" w:lineRule="exact"/>
              <w:rPr>
                <w:sz w:val="20"/>
                <w:szCs w:val="20"/>
                <w:color w:val="auto"/>
              </w:rPr>
            </w:pPr>
            <w:r>
              <w:rPr>
                <w:rFonts w:ascii="Arial" w:cs="Arial" w:eastAsia="Arial" w:hAnsi="Arial"/>
                <w:sz w:val="13"/>
                <w:szCs w:val="13"/>
                <w:b w:val="1"/>
                <w:bCs w:val="1"/>
                <w:color w:val="auto"/>
                <w:w w:val="84"/>
              </w:rPr>
              <w:t>Beginning</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center"/>
              <w:ind w:right="560"/>
              <w:spacing w:after="0" w:line="139" w:lineRule="exact"/>
              <w:rPr>
                <w:sz w:val="20"/>
                <w:szCs w:val="20"/>
                <w:color w:val="auto"/>
              </w:rPr>
            </w:pPr>
            <w:r>
              <w:rPr>
                <w:rFonts w:ascii="Arial" w:cs="Arial" w:eastAsia="Arial" w:hAnsi="Arial"/>
                <w:sz w:val="13"/>
                <w:szCs w:val="13"/>
                <w:b w:val="1"/>
                <w:bCs w:val="1"/>
                <w:color w:val="auto"/>
                <w:w w:val="85"/>
              </w:rPr>
              <w:t>Net</w:t>
            </w:r>
          </w:p>
        </w:tc>
        <w:tc>
          <w:tcPr>
            <w:tcW w:w="84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w w:val="98"/>
              </w:rPr>
              <w:t>Appreciation/</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4"/>
          </w:tcPr>
          <w:p>
            <w:pPr>
              <w:jc w:val="center"/>
              <w:ind w:right="360"/>
              <w:spacing w:after="0" w:line="139" w:lineRule="exact"/>
              <w:rPr>
                <w:sz w:val="20"/>
                <w:szCs w:val="20"/>
                <w:color w:val="auto"/>
              </w:rPr>
            </w:pPr>
            <w:r>
              <w:rPr>
                <w:rFonts w:ascii="Arial" w:cs="Arial" w:eastAsia="Arial" w:hAnsi="Arial"/>
                <w:sz w:val="13"/>
                <w:szCs w:val="13"/>
                <w:b w:val="1"/>
                <w:bCs w:val="1"/>
                <w:color w:val="auto"/>
                <w:w w:val="89"/>
              </w:rPr>
              <w:t>Appreciation/</w:t>
            </w:r>
          </w:p>
        </w:tc>
        <w:tc>
          <w:tcPr>
            <w:tcW w:w="80" w:type="dxa"/>
            <w:vAlign w:val="bottom"/>
          </w:tcPr>
          <w:p>
            <w:pPr>
              <w:spacing w:after="0"/>
              <w:rPr>
                <w:sz w:val="12"/>
                <w:szCs w:val="12"/>
                <w:color w:val="auto"/>
              </w:rPr>
            </w:pPr>
          </w:p>
        </w:tc>
        <w:tc>
          <w:tcPr>
            <w:tcW w:w="720" w:type="dxa"/>
            <w:vAlign w:val="bottom"/>
            <w:gridSpan w:val="2"/>
          </w:tcPr>
          <w:p>
            <w:pPr>
              <w:ind w:left="120"/>
              <w:spacing w:after="0" w:line="139" w:lineRule="exact"/>
              <w:rPr>
                <w:sz w:val="20"/>
                <w:szCs w:val="20"/>
                <w:color w:val="auto"/>
              </w:rPr>
            </w:pPr>
            <w:r>
              <w:rPr>
                <w:rFonts w:ascii="Arial" w:cs="Arial" w:eastAsia="Arial" w:hAnsi="Arial"/>
                <w:sz w:val="13"/>
                <w:szCs w:val="13"/>
                <w:b w:val="1"/>
                <w:bCs w:val="1"/>
                <w:color w:val="auto"/>
              </w:rPr>
              <w:t>Ending</w:t>
            </w:r>
          </w:p>
        </w:tc>
        <w:tc>
          <w:tcPr>
            <w:tcW w:w="0" w:type="dxa"/>
            <w:vAlign w:val="bottom"/>
          </w:tcPr>
          <w:p>
            <w:pPr>
              <w:spacing w:after="0"/>
              <w:rPr>
                <w:sz w:val="1"/>
                <w:szCs w:val="1"/>
                <w:color w:val="auto"/>
              </w:rPr>
            </w:pPr>
          </w:p>
        </w:tc>
      </w:tr>
      <w:tr>
        <w:trPr>
          <w:trHeight w:val="152"/>
        </w:trPr>
        <w:tc>
          <w:tcPr>
            <w:tcW w:w="4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4"/>
          </w:tcPr>
          <w:p>
            <w:pPr>
              <w:jc w:val="right"/>
              <w:ind w:right="500"/>
              <w:spacing w:after="0"/>
              <w:rPr>
                <w:sz w:val="20"/>
                <w:szCs w:val="20"/>
                <w:color w:val="auto"/>
              </w:rPr>
            </w:pPr>
            <w:r>
              <w:rPr>
                <w:rFonts w:ascii="Arial" w:cs="Arial" w:eastAsia="Arial" w:hAnsi="Arial"/>
                <w:sz w:val="13"/>
                <w:szCs w:val="13"/>
                <w:b w:val="1"/>
                <w:bCs w:val="1"/>
                <w:color w:val="auto"/>
                <w:w w:val="96"/>
              </w:rPr>
              <w:t>Balance</w:t>
            </w:r>
          </w:p>
        </w:tc>
        <w:tc>
          <w:tcPr>
            <w:tcW w:w="120" w:type="dxa"/>
            <w:vAlign w:val="bottom"/>
          </w:tcPr>
          <w:p>
            <w:pPr>
              <w:spacing w:after="0"/>
              <w:rPr>
                <w:sz w:val="13"/>
                <w:szCs w:val="13"/>
                <w:color w:val="auto"/>
              </w:rPr>
            </w:pPr>
          </w:p>
        </w:tc>
        <w:tc>
          <w:tcPr>
            <w:tcW w:w="980" w:type="dxa"/>
            <w:vAlign w:val="bottom"/>
            <w:gridSpan w:val="4"/>
          </w:tcPr>
          <w:p>
            <w:pPr>
              <w:ind w:left="60"/>
              <w:spacing w:after="0"/>
              <w:rPr>
                <w:sz w:val="20"/>
                <w:szCs w:val="20"/>
                <w:color w:val="auto"/>
              </w:rPr>
            </w:pPr>
            <w:r>
              <w:rPr>
                <w:rFonts w:ascii="Arial" w:cs="Arial" w:eastAsia="Arial" w:hAnsi="Arial"/>
                <w:sz w:val="13"/>
                <w:szCs w:val="13"/>
                <w:b w:val="1"/>
                <w:bCs w:val="1"/>
                <w:color w:val="auto"/>
              </w:rPr>
              <w:t>Inflows</w:t>
            </w:r>
          </w:p>
        </w:tc>
        <w:tc>
          <w:tcPr>
            <w:tcW w:w="960" w:type="dxa"/>
            <w:vAlign w:val="bottom"/>
            <w:gridSpan w:val="4"/>
          </w:tcPr>
          <w:p>
            <w:pPr>
              <w:jc w:val="right"/>
              <w:ind w:right="460"/>
              <w:spacing w:after="0"/>
              <w:rPr>
                <w:sz w:val="20"/>
                <w:szCs w:val="20"/>
                <w:color w:val="auto"/>
              </w:rPr>
            </w:pPr>
            <w:r>
              <w:rPr>
                <w:rFonts w:ascii="Arial" w:cs="Arial" w:eastAsia="Arial" w:hAnsi="Arial"/>
                <w:sz w:val="13"/>
                <w:szCs w:val="13"/>
                <w:b w:val="1"/>
                <w:bCs w:val="1"/>
                <w:color w:val="auto"/>
                <w:w w:val="86"/>
              </w:rPr>
              <w:t>Outflows</w:t>
            </w:r>
          </w:p>
        </w:tc>
        <w:tc>
          <w:tcPr>
            <w:tcW w:w="920" w:type="dxa"/>
            <w:vAlign w:val="bottom"/>
            <w:gridSpan w:val="4"/>
          </w:tcPr>
          <w:p>
            <w:pPr>
              <w:jc w:val="center"/>
              <w:ind w:right="480"/>
              <w:spacing w:after="0"/>
              <w:rPr>
                <w:sz w:val="20"/>
                <w:szCs w:val="20"/>
                <w:color w:val="auto"/>
              </w:rPr>
            </w:pPr>
            <w:r>
              <w:rPr>
                <w:rFonts w:ascii="Arial" w:cs="Arial" w:eastAsia="Arial" w:hAnsi="Arial"/>
                <w:sz w:val="13"/>
                <w:szCs w:val="13"/>
                <w:b w:val="1"/>
                <w:bCs w:val="1"/>
                <w:color w:val="auto"/>
                <w:w w:val="86"/>
              </w:rPr>
              <w:t>Flows</w:t>
            </w:r>
          </w:p>
        </w:tc>
        <w:tc>
          <w:tcPr>
            <w:tcW w:w="840" w:type="dxa"/>
            <w:vAlign w:val="bottom"/>
            <w:gridSpan w:val="3"/>
          </w:tcPr>
          <w:p>
            <w:pPr>
              <w:spacing w:after="0"/>
              <w:rPr>
                <w:sz w:val="20"/>
                <w:szCs w:val="20"/>
                <w:color w:val="auto"/>
              </w:rPr>
            </w:pPr>
            <w:r>
              <w:rPr>
                <w:rFonts w:ascii="Arial" w:cs="Arial" w:eastAsia="Arial" w:hAnsi="Arial"/>
                <w:sz w:val="13"/>
                <w:szCs w:val="13"/>
                <w:b w:val="1"/>
                <w:bCs w:val="1"/>
                <w:color w:val="auto"/>
                <w:w w:val="93"/>
              </w:rPr>
              <w:t>(Depreciation)</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4"/>
          </w:tcPr>
          <w:p>
            <w:pPr>
              <w:jc w:val="center"/>
              <w:ind w:right="360"/>
              <w:spacing w:after="0"/>
              <w:rPr>
                <w:sz w:val="20"/>
                <w:szCs w:val="20"/>
                <w:color w:val="auto"/>
              </w:rPr>
            </w:pPr>
            <w:r>
              <w:rPr>
                <w:rFonts w:ascii="Arial" w:cs="Arial" w:eastAsia="Arial" w:hAnsi="Arial"/>
                <w:sz w:val="13"/>
                <w:szCs w:val="13"/>
                <w:b w:val="1"/>
                <w:bCs w:val="1"/>
                <w:color w:val="auto"/>
                <w:w w:val="89"/>
              </w:rPr>
              <w:t>(Depreciation)</w:t>
            </w:r>
          </w:p>
        </w:tc>
        <w:tc>
          <w:tcPr>
            <w:tcW w:w="80" w:type="dxa"/>
            <w:vAlign w:val="bottom"/>
          </w:tcPr>
          <w:p>
            <w:pPr>
              <w:spacing w:after="0"/>
              <w:rPr>
                <w:sz w:val="13"/>
                <w:szCs w:val="13"/>
                <w:color w:val="auto"/>
              </w:rPr>
            </w:pPr>
          </w:p>
        </w:tc>
        <w:tc>
          <w:tcPr>
            <w:tcW w:w="720" w:type="dxa"/>
            <w:vAlign w:val="bottom"/>
            <w:gridSpan w:val="2"/>
          </w:tcPr>
          <w:p>
            <w:pPr>
              <w:ind w:left="100"/>
              <w:spacing w:after="0"/>
              <w:rPr>
                <w:sz w:val="20"/>
                <w:szCs w:val="20"/>
                <w:color w:val="auto"/>
              </w:rPr>
            </w:pPr>
            <w:r>
              <w:rPr>
                <w:rFonts w:ascii="Arial" w:cs="Arial" w:eastAsia="Arial" w:hAnsi="Arial"/>
                <w:sz w:val="13"/>
                <w:szCs w:val="13"/>
                <w:b w:val="1"/>
                <w:bCs w:val="1"/>
                <w:color w:val="auto"/>
              </w:rPr>
              <w:t>Balance</w:t>
            </w:r>
          </w:p>
        </w:tc>
        <w:tc>
          <w:tcPr>
            <w:tcW w:w="0" w:type="dxa"/>
            <w:vAlign w:val="bottom"/>
          </w:tcPr>
          <w:p>
            <w:pPr>
              <w:spacing w:after="0"/>
              <w:rPr>
                <w:sz w:val="1"/>
                <w:szCs w:val="1"/>
                <w:color w:val="auto"/>
              </w:rPr>
            </w:pPr>
          </w:p>
        </w:tc>
      </w:tr>
      <w:tr>
        <w:trPr>
          <w:trHeight w:val="132"/>
        </w:trPr>
        <w:tc>
          <w:tcPr>
            <w:tcW w:w="4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4"/>
          </w:tcPr>
          <w:p>
            <w:pPr>
              <w:jc w:val="center"/>
              <w:ind w:right="100"/>
              <w:spacing w:after="0" w:line="132" w:lineRule="exact"/>
              <w:rPr>
                <w:sz w:val="20"/>
                <w:szCs w:val="20"/>
                <w:color w:val="auto"/>
              </w:rPr>
            </w:pPr>
            <w:r>
              <w:rPr>
                <w:rFonts w:ascii="Arial" w:cs="Arial" w:eastAsia="Arial" w:hAnsi="Arial"/>
                <w:sz w:val="13"/>
                <w:szCs w:val="13"/>
                <w:b w:val="1"/>
                <w:bCs w:val="1"/>
                <w:color w:val="auto"/>
                <w:w w:val="88"/>
              </w:rPr>
              <w:t>($ in millions)</w:t>
            </w:r>
          </w:p>
        </w:tc>
        <w:tc>
          <w:tcPr>
            <w:tcW w:w="2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Equity</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155,259</w:t>
            </w:r>
          </w:p>
        </w:tc>
        <w:tc>
          <w:tcPr>
            <w:tcW w:w="32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$ 7,529</w:t>
            </w:r>
          </w:p>
        </w:tc>
        <w:tc>
          <w:tcPr>
            <w:tcW w:w="2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97"/>
              <w:spacing w:after="0"/>
              <w:rPr>
                <w:sz w:val="20"/>
                <w:szCs w:val="20"/>
                <w:color w:val="auto"/>
              </w:rPr>
            </w:pPr>
            <w:r>
              <w:rPr>
                <w:rFonts w:ascii="Arial" w:cs="Arial" w:eastAsia="Arial" w:hAnsi="Arial"/>
                <w:sz w:val="16"/>
                <w:szCs w:val="16"/>
                <w:color w:val="auto"/>
                <w:w w:val="90"/>
              </w:rPr>
              <w:t>$(5,305)</w:t>
            </w:r>
          </w:p>
        </w:tc>
        <w:tc>
          <w:tcPr>
            <w:tcW w:w="24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w w:val="89"/>
              </w:rPr>
              <w:t>$2,224</w:t>
            </w:r>
          </w:p>
        </w:tc>
        <w:tc>
          <w:tcPr>
            <w:tcW w:w="3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9,036</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855</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$167,374</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tcPr>
          <w:p>
            <w:pPr>
              <w:spacing w:after="0"/>
              <w:rPr>
                <w:sz w:val="20"/>
                <w:szCs w:val="20"/>
                <w:color w:val="auto"/>
              </w:rPr>
            </w:pPr>
            <w:r>
              <w:rPr>
                <w:rFonts w:ascii="Arial" w:cs="Arial" w:eastAsia="Arial" w:hAnsi="Arial"/>
                <w:sz w:val="16"/>
                <w:szCs w:val="16"/>
                <w:color w:val="auto"/>
              </w:rPr>
              <w:t>Fixed Income</w:t>
            </w:r>
          </w:p>
        </w:tc>
        <w:tc>
          <w:tcPr>
            <w:tcW w:w="120" w:type="dxa"/>
            <w:vAlign w:val="bottom"/>
          </w:tcPr>
          <w:p>
            <w:pPr>
              <w:spacing w:after="0"/>
              <w:rPr>
                <w:sz w:val="17"/>
                <w:szCs w:val="17"/>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28,378</w:t>
            </w:r>
          </w:p>
        </w:tc>
        <w:tc>
          <w:tcPr>
            <w:tcW w:w="320" w:type="dxa"/>
            <w:vAlign w:val="bottom"/>
          </w:tcPr>
          <w:p>
            <w:pPr>
              <w:spacing w:after="0"/>
              <w:rPr>
                <w:sz w:val="17"/>
                <w:szCs w:val="17"/>
                <w:color w:val="auto"/>
              </w:rPr>
            </w:pPr>
          </w:p>
        </w:tc>
        <w:tc>
          <w:tcPr>
            <w:tcW w:w="880" w:type="dxa"/>
            <w:vAlign w:val="bottom"/>
            <w:gridSpan w:val="4"/>
          </w:tcPr>
          <w:p>
            <w:pPr>
              <w:jc w:val="right"/>
              <w:ind w:right="220"/>
              <w:spacing w:after="0"/>
              <w:rPr>
                <w:sz w:val="20"/>
                <w:szCs w:val="20"/>
                <w:color w:val="auto"/>
              </w:rPr>
            </w:pPr>
            <w:r>
              <w:rPr>
                <w:rFonts w:ascii="Arial" w:cs="Arial" w:eastAsia="Arial" w:hAnsi="Arial"/>
                <w:sz w:val="16"/>
                <w:szCs w:val="16"/>
                <w:color w:val="auto"/>
              </w:rPr>
              <w:t>3,384</w:t>
            </w:r>
          </w:p>
        </w:tc>
        <w:tc>
          <w:tcPr>
            <w:tcW w:w="220" w:type="dxa"/>
            <w:vAlign w:val="bottom"/>
          </w:tcPr>
          <w:p>
            <w:pPr>
              <w:spacing w:after="0"/>
              <w:rPr>
                <w:sz w:val="17"/>
                <w:szCs w:val="17"/>
                <w:color w:val="auto"/>
              </w:rPr>
            </w:pPr>
          </w:p>
        </w:tc>
        <w:tc>
          <w:tcPr>
            <w:tcW w:w="720" w:type="dxa"/>
            <w:vAlign w:val="bottom"/>
            <w:gridSpan w:val="3"/>
          </w:tcPr>
          <w:p>
            <w:pPr>
              <w:jc w:val="right"/>
              <w:ind w:right="97"/>
              <w:spacing w:after="0"/>
              <w:rPr>
                <w:sz w:val="20"/>
                <w:szCs w:val="20"/>
                <w:color w:val="auto"/>
              </w:rPr>
            </w:pPr>
            <w:r>
              <w:rPr>
                <w:rFonts w:ascii="Arial" w:cs="Arial" w:eastAsia="Arial" w:hAnsi="Arial"/>
                <w:sz w:val="16"/>
                <w:szCs w:val="16"/>
                <w:color w:val="auto"/>
              </w:rPr>
              <w:t>(966)</w:t>
            </w:r>
          </w:p>
        </w:tc>
        <w:tc>
          <w:tcPr>
            <w:tcW w:w="240" w:type="dxa"/>
            <w:vAlign w:val="bottom"/>
          </w:tcPr>
          <w:p>
            <w:pPr>
              <w:spacing w:after="0"/>
              <w:rPr>
                <w:sz w:val="17"/>
                <w:szCs w:val="17"/>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6"/>
                <w:szCs w:val="16"/>
                <w:color w:val="auto"/>
              </w:rPr>
              <w:t>2,418</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555</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6"/>
                <w:szCs w:val="16"/>
                <w:color w:val="auto"/>
              </w:rPr>
              <w:t>(87)</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31,264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5,816</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465</w:t>
            </w:r>
          </w:p>
        </w:tc>
        <w:tc>
          <w:tcPr>
            <w:tcW w:w="2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97"/>
              <w:spacing w:after="0"/>
              <w:rPr>
                <w:sz w:val="20"/>
                <w:szCs w:val="20"/>
                <w:color w:val="auto"/>
              </w:rPr>
            </w:pPr>
            <w:r>
              <w:rPr>
                <w:rFonts w:ascii="Arial" w:cs="Arial" w:eastAsia="Arial" w:hAnsi="Arial"/>
                <w:sz w:val="16"/>
                <w:szCs w:val="16"/>
                <w:color w:val="auto"/>
              </w:rPr>
              <w:t>(398)</w:t>
            </w:r>
          </w:p>
        </w:tc>
        <w:tc>
          <w:tcPr>
            <w:tcW w:w="24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67</w:t>
            </w:r>
          </w:p>
        </w:tc>
        <w:tc>
          <w:tcPr>
            <w:tcW w:w="3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5,887</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18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189,453</w:t>
            </w:r>
          </w:p>
        </w:tc>
        <w:tc>
          <w:tcPr>
            <w:tcW w:w="320" w:type="dxa"/>
            <w:vAlign w:val="bottom"/>
          </w:tcPr>
          <w:p>
            <w:pPr>
              <w:spacing w:after="0"/>
              <w:rPr>
                <w:sz w:val="17"/>
                <w:szCs w:val="17"/>
                <w:color w:val="auto"/>
              </w:rPr>
            </w:pPr>
          </w:p>
        </w:tc>
        <w:tc>
          <w:tcPr>
            <w:tcW w:w="880" w:type="dxa"/>
            <w:vAlign w:val="bottom"/>
            <w:gridSpan w:val="4"/>
          </w:tcPr>
          <w:p>
            <w:pPr>
              <w:jc w:val="right"/>
              <w:ind w:right="22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11,378</w:t>
            </w:r>
          </w:p>
        </w:tc>
        <w:tc>
          <w:tcPr>
            <w:tcW w:w="220" w:type="dxa"/>
            <w:vAlign w:val="bottom"/>
          </w:tcPr>
          <w:p>
            <w:pPr>
              <w:spacing w:after="0"/>
              <w:rPr>
                <w:sz w:val="17"/>
                <w:szCs w:val="17"/>
                <w:color w:val="auto"/>
              </w:rPr>
            </w:pPr>
          </w:p>
        </w:tc>
        <w:tc>
          <w:tcPr>
            <w:tcW w:w="720" w:type="dxa"/>
            <w:vAlign w:val="bottom"/>
            <w:gridSpan w:val="3"/>
          </w:tcPr>
          <w:p>
            <w:pPr>
              <w:jc w:val="right"/>
              <w:ind w:right="97"/>
              <w:spacing w:after="0"/>
              <w:rPr>
                <w:sz w:val="20"/>
                <w:szCs w:val="20"/>
                <w:color w:val="auto"/>
              </w:rPr>
            </w:pPr>
            <w:r>
              <w:rPr>
                <w:rFonts w:ascii="Arial" w:cs="Arial" w:eastAsia="Arial" w:hAnsi="Arial"/>
                <w:sz w:val="16"/>
                <w:szCs w:val="16"/>
                <w:u w:val="single" w:color="auto"/>
                <w:color w:val="auto"/>
                <w:w w:val="90"/>
              </w:rPr>
              <w:t>$</w:t>
            </w:r>
            <w:r>
              <w:rPr>
                <w:rFonts w:ascii="Arial" w:cs="Arial" w:eastAsia="Arial" w:hAnsi="Arial"/>
                <w:sz w:val="16"/>
                <w:szCs w:val="16"/>
                <w:color w:val="auto"/>
                <w:w w:val="90"/>
              </w:rPr>
              <w:t>(6,669)</w:t>
            </w:r>
          </w:p>
        </w:tc>
        <w:tc>
          <w:tcPr>
            <w:tcW w:w="240" w:type="dxa"/>
            <w:vAlign w:val="bottom"/>
          </w:tcPr>
          <w:p>
            <w:pPr>
              <w:spacing w:after="0"/>
              <w:rPr>
                <w:sz w:val="17"/>
                <w:szCs w:val="17"/>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4,709</w:t>
            </w:r>
          </w:p>
        </w:tc>
        <w:tc>
          <w:tcPr>
            <w:tcW w:w="34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9,589</w:t>
            </w:r>
          </w:p>
        </w:tc>
        <w:tc>
          <w:tcPr>
            <w:tcW w:w="4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774</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204,525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4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9"/>
          </w:tcPr>
          <w:p>
            <w:pPr>
              <w:jc w:val="center"/>
              <w:ind w:right="240"/>
              <w:spacing w:after="0"/>
              <w:rPr>
                <w:sz w:val="20"/>
                <w:szCs w:val="20"/>
                <w:color w:val="auto"/>
              </w:rPr>
            </w:pPr>
            <w:r>
              <w:rPr>
                <w:rFonts w:ascii="Arial" w:cs="Arial" w:eastAsia="Arial" w:hAnsi="Arial"/>
                <w:sz w:val="13"/>
                <w:szCs w:val="13"/>
                <w:b w:val="1"/>
                <w:bCs w:val="1"/>
                <w:color w:val="auto"/>
                <w:w w:val="88"/>
              </w:rPr>
              <w:t>Six Months Ended June 30, 2014</w:t>
            </w: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3"/>
          </w:tcPr>
          <w:p>
            <w:pPr>
              <w:jc w:val="center"/>
              <w:ind w:right="500"/>
              <w:spacing w:after="0" w:line="119" w:lineRule="exact"/>
              <w:rPr>
                <w:sz w:val="20"/>
                <w:szCs w:val="20"/>
                <w:color w:val="auto"/>
              </w:rPr>
            </w:pPr>
            <w:r>
              <w:rPr>
                <w:rFonts w:ascii="Arial" w:cs="Arial" w:eastAsia="Arial" w:hAnsi="Arial"/>
                <w:sz w:val="13"/>
                <w:szCs w:val="13"/>
                <w:b w:val="1"/>
                <w:bCs w:val="1"/>
                <w:color w:val="auto"/>
                <w:w w:val="88"/>
              </w:rPr>
              <w:t>Foreign</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4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39" w:lineRule="exact"/>
              <w:rPr>
                <w:sz w:val="20"/>
                <w:szCs w:val="20"/>
                <w:color w:val="auto"/>
              </w:rPr>
            </w:pPr>
            <w:r>
              <w:rPr>
                <w:rFonts w:ascii="Arial" w:cs="Arial" w:eastAsia="Arial" w:hAnsi="Arial"/>
                <w:sz w:val="13"/>
                <w:szCs w:val="13"/>
                <w:b w:val="1"/>
                <w:bCs w:val="1"/>
                <w:color w:val="auto"/>
              </w:rPr>
              <w:t>AUM</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gridSpan w:val="3"/>
          </w:tcPr>
          <w:p>
            <w:pPr>
              <w:ind w:left="40"/>
              <w:spacing w:after="0" w:line="139" w:lineRule="exact"/>
              <w:rPr>
                <w:sz w:val="20"/>
                <w:szCs w:val="20"/>
                <w:color w:val="auto"/>
              </w:rPr>
            </w:pPr>
            <w:r>
              <w:rPr>
                <w:rFonts w:ascii="Arial" w:cs="Arial" w:eastAsia="Arial" w:hAnsi="Arial"/>
                <w:sz w:val="13"/>
                <w:szCs w:val="13"/>
                <w:b w:val="1"/>
                <w:bCs w:val="1"/>
                <w:color w:val="auto"/>
                <w:w w:val="97"/>
              </w:rPr>
              <w:t>Market Value</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480"/>
              <w:spacing w:after="0" w:line="139" w:lineRule="exact"/>
              <w:rPr>
                <w:sz w:val="20"/>
                <w:szCs w:val="20"/>
                <w:color w:val="auto"/>
              </w:rPr>
            </w:pPr>
            <w:r>
              <w:rPr>
                <w:rFonts w:ascii="Arial" w:cs="Arial" w:eastAsia="Arial" w:hAnsi="Arial"/>
                <w:sz w:val="13"/>
                <w:szCs w:val="13"/>
                <w:b w:val="1"/>
                <w:bCs w:val="1"/>
                <w:color w:val="auto"/>
                <w:w w:val="84"/>
              </w:rPr>
              <w:t>Exchange</w:t>
            </w:r>
          </w:p>
        </w:tc>
        <w:tc>
          <w:tcPr>
            <w:tcW w:w="80" w:type="dxa"/>
            <w:vAlign w:val="bottom"/>
          </w:tcPr>
          <w:p>
            <w:pPr>
              <w:spacing w:after="0"/>
              <w:rPr>
                <w:sz w:val="12"/>
                <w:szCs w:val="12"/>
                <w:color w:val="auto"/>
              </w:rPr>
            </w:pPr>
          </w:p>
        </w:tc>
        <w:tc>
          <w:tcPr>
            <w:tcW w:w="720" w:type="dxa"/>
            <w:vAlign w:val="bottom"/>
            <w:gridSpan w:val="2"/>
          </w:tcPr>
          <w:p>
            <w:pPr>
              <w:ind w:left="120"/>
              <w:spacing w:after="0" w:line="139" w:lineRule="exact"/>
              <w:rPr>
                <w:sz w:val="20"/>
                <w:szCs w:val="20"/>
                <w:color w:val="auto"/>
              </w:rPr>
            </w:pPr>
            <w:r>
              <w:rPr>
                <w:rFonts w:ascii="Arial" w:cs="Arial" w:eastAsia="Arial" w:hAnsi="Arial"/>
                <w:sz w:val="13"/>
                <w:szCs w:val="13"/>
                <w:b w:val="1"/>
                <w:bCs w:val="1"/>
                <w:color w:val="auto"/>
              </w:rPr>
              <w:t>AUM</w:t>
            </w:r>
          </w:p>
        </w:tc>
        <w:tc>
          <w:tcPr>
            <w:tcW w:w="0" w:type="dxa"/>
            <w:vAlign w:val="bottom"/>
          </w:tcPr>
          <w:p>
            <w:pPr>
              <w:spacing w:after="0"/>
              <w:rPr>
                <w:sz w:val="1"/>
                <w:szCs w:val="1"/>
                <w:color w:val="auto"/>
              </w:rPr>
            </w:pPr>
          </w:p>
        </w:tc>
      </w:tr>
      <w:tr>
        <w:trPr>
          <w:trHeight w:val="139"/>
        </w:trPr>
        <w:tc>
          <w:tcPr>
            <w:tcW w:w="4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39" w:lineRule="exact"/>
              <w:rPr>
                <w:sz w:val="20"/>
                <w:szCs w:val="20"/>
                <w:color w:val="auto"/>
              </w:rPr>
            </w:pPr>
            <w:r>
              <w:rPr>
                <w:rFonts w:ascii="Arial" w:cs="Arial" w:eastAsia="Arial" w:hAnsi="Arial"/>
                <w:sz w:val="13"/>
                <w:szCs w:val="13"/>
                <w:b w:val="1"/>
                <w:bCs w:val="1"/>
                <w:color w:val="auto"/>
                <w:w w:val="84"/>
              </w:rPr>
              <w:t>Beginning</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center"/>
              <w:ind w:right="340"/>
              <w:spacing w:after="0" w:line="139" w:lineRule="exact"/>
              <w:rPr>
                <w:sz w:val="20"/>
                <w:szCs w:val="20"/>
                <w:color w:val="auto"/>
              </w:rPr>
            </w:pPr>
            <w:r>
              <w:rPr>
                <w:rFonts w:ascii="Arial" w:cs="Arial" w:eastAsia="Arial" w:hAnsi="Arial"/>
                <w:sz w:val="13"/>
                <w:szCs w:val="13"/>
                <w:b w:val="1"/>
                <w:bCs w:val="1"/>
                <w:color w:val="auto"/>
                <w:w w:val="95"/>
              </w:rPr>
              <w:t>Net</w:t>
            </w:r>
          </w:p>
        </w:tc>
        <w:tc>
          <w:tcPr>
            <w:tcW w:w="840" w:type="dxa"/>
            <w:vAlign w:val="bottom"/>
            <w:gridSpan w:val="3"/>
          </w:tcPr>
          <w:p>
            <w:pPr>
              <w:ind w:left="40"/>
              <w:spacing w:after="0" w:line="139" w:lineRule="exact"/>
              <w:rPr>
                <w:sz w:val="20"/>
                <w:szCs w:val="20"/>
                <w:color w:val="auto"/>
              </w:rPr>
            </w:pPr>
            <w:r>
              <w:rPr>
                <w:rFonts w:ascii="Arial" w:cs="Arial" w:eastAsia="Arial" w:hAnsi="Arial"/>
                <w:sz w:val="13"/>
                <w:szCs w:val="13"/>
                <w:b w:val="1"/>
                <w:bCs w:val="1"/>
                <w:color w:val="auto"/>
                <w:w w:val="93"/>
              </w:rPr>
              <w:t>Appreciation/</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4"/>
          </w:tcPr>
          <w:p>
            <w:pPr>
              <w:jc w:val="center"/>
              <w:ind w:right="400"/>
              <w:spacing w:after="0" w:line="139" w:lineRule="exact"/>
              <w:rPr>
                <w:sz w:val="20"/>
                <w:szCs w:val="20"/>
                <w:color w:val="auto"/>
              </w:rPr>
            </w:pPr>
            <w:r>
              <w:rPr>
                <w:rFonts w:ascii="Arial" w:cs="Arial" w:eastAsia="Arial" w:hAnsi="Arial"/>
                <w:sz w:val="13"/>
                <w:szCs w:val="13"/>
                <w:b w:val="1"/>
                <w:bCs w:val="1"/>
                <w:color w:val="auto"/>
                <w:w w:val="89"/>
              </w:rPr>
              <w:t>Appreciation/</w:t>
            </w:r>
          </w:p>
        </w:tc>
        <w:tc>
          <w:tcPr>
            <w:tcW w:w="80" w:type="dxa"/>
            <w:vAlign w:val="bottom"/>
          </w:tcPr>
          <w:p>
            <w:pPr>
              <w:spacing w:after="0"/>
              <w:rPr>
                <w:sz w:val="12"/>
                <w:szCs w:val="12"/>
                <w:color w:val="auto"/>
              </w:rPr>
            </w:pPr>
          </w:p>
        </w:tc>
        <w:tc>
          <w:tcPr>
            <w:tcW w:w="720" w:type="dxa"/>
            <w:vAlign w:val="bottom"/>
            <w:gridSpan w:val="2"/>
          </w:tcPr>
          <w:p>
            <w:pPr>
              <w:jc w:val="right"/>
              <w:ind w:right="260"/>
              <w:spacing w:after="0" w:line="139" w:lineRule="exact"/>
              <w:rPr>
                <w:sz w:val="20"/>
                <w:szCs w:val="20"/>
                <w:color w:val="auto"/>
              </w:rPr>
            </w:pPr>
            <w:r>
              <w:rPr>
                <w:rFonts w:ascii="Arial" w:cs="Arial" w:eastAsia="Arial" w:hAnsi="Arial"/>
                <w:sz w:val="13"/>
                <w:szCs w:val="13"/>
                <w:b w:val="1"/>
                <w:bCs w:val="1"/>
                <w:color w:val="auto"/>
                <w:w w:val="99"/>
              </w:rPr>
              <w:t>Ending</w:t>
            </w:r>
          </w:p>
        </w:tc>
        <w:tc>
          <w:tcPr>
            <w:tcW w:w="0" w:type="dxa"/>
            <w:vAlign w:val="bottom"/>
          </w:tcPr>
          <w:p>
            <w:pPr>
              <w:spacing w:after="0"/>
              <w:rPr>
                <w:sz w:val="1"/>
                <w:szCs w:val="1"/>
                <w:color w:val="auto"/>
              </w:rPr>
            </w:pPr>
          </w:p>
        </w:tc>
      </w:tr>
      <w:tr>
        <w:trPr>
          <w:trHeight w:val="152"/>
        </w:trPr>
        <w:tc>
          <w:tcPr>
            <w:tcW w:w="4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Balance</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3"/>
          </w:tcPr>
          <w:p>
            <w:pPr>
              <w:ind w:left="100"/>
              <w:spacing w:after="0"/>
              <w:rPr>
                <w:sz w:val="20"/>
                <w:szCs w:val="20"/>
                <w:color w:val="auto"/>
              </w:rPr>
            </w:pPr>
            <w:r>
              <w:rPr>
                <w:rFonts w:ascii="Arial" w:cs="Arial" w:eastAsia="Arial" w:hAnsi="Arial"/>
                <w:sz w:val="13"/>
                <w:szCs w:val="13"/>
                <w:b w:val="1"/>
                <w:bCs w:val="1"/>
                <w:color w:val="auto"/>
              </w:rPr>
              <w:t>Inflows</w:t>
            </w:r>
          </w:p>
        </w:tc>
        <w:tc>
          <w:tcPr>
            <w:tcW w:w="100" w:type="dxa"/>
            <w:vAlign w:val="bottom"/>
          </w:tcPr>
          <w:p>
            <w:pPr>
              <w:spacing w:after="0"/>
              <w:rPr>
                <w:sz w:val="13"/>
                <w:szCs w:val="13"/>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w w:val="97"/>
              </w:rPr>
              <w:t>Outflows</w:t>
            </w:r>
          </w:p>
        </w:tc>
        <w:tc>
          <w:tcPr>
            <w:tcW w:w="100" w:type="dxa"/>
            <w:vAlign w:val="bottom"/>
          </w:tcPr>
          <w:p>
            <w:pPr>
              <w:spacing w:after="0"/>
              <w:rPr>
                <w:sz w:val="13"/>
                <w:szCs w:val="13"/>
                <w:color w:val="auto"/>
              </w:rPr>
            </w:pPr>
          </w:p>
        </w:tc>
        <w:tc>
          <w:tcPr>
            <w:tcW w:w="82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86"/>
              </w:rPr>
              <w:t>Flows</w:t>
            </w:r>
          </w:p>
        </w:tc>
        <w:tc>
          <w:tcPr>
            <w:tcW w:w="840" w:type="dxa"/>
            <w:vAlign w:val="bottom"/>
            <w:gridSpan w:val="3"/>
          </w:tcPr>
          <w:p>
            <w:pPr>
              <w:ind w:left="20"/>
              <w:spacing w:after="0"/>
              <w:rPr>
                <w:sz w:val="20"/>
                <w:szCs w:val="20"/>
                <w:color w:val="auto"/>
              </w:rPr>
            </w:pPr>
            <w:r>
              <w:rPr>
                <w:rFonts w:ascii="Arial" w:cs="Arial" w:eastAsia="Arial" w:hAnsi="Arial"/>
                <w:sz w:val="13"/>
                <w:szCs w:val="13"/>
                <w:b w:val="1"/>
                <w:bCs w:val="1"/>
                <w:color w:val="auto"/>
                <w:w w:val="91"/>
              </w:rPr>
              <w:t>(Depreciation)</w:t>
            </w:r>
          </w:p>
        </w:tc>
        <w:tc>
          <w:tcPr>
            <w:tcW w:w="300" w:type="dxa"/>
            <w:vAlign w:val="bottom"/>
          </w:tcPr>
          <w:p>
            <w:pPr>
              <w:spacing w:after="0"/>
              <w:rPr>
                <w:sz w:val="13"/>
                <w:szCs w:val="13"/>
                <w:color w:val="auto"/>
              </w:rPr>
            </w:pPr>
          </w:p>
        </w:tc>
        <w:tc>
          <w:tcPr>
            <w:tcW w:w="1200" w:type="dxa"/>
            <w:vAlign w:val="bottom"/>
            <w:gridSpan w:val="5"/>
          </w:tcPr>
          <w:p>
            <w:pPr>
              <w:jc w:val="center"/>
              <w:ind w:right="340"/>
              <w:spacing w:after="0"/>
              <w:rPr>
                <w:sz w:val="20"/>
                <w:szCs w:val="20"/>
                <w:color w:val="auto"/>
              </w:rPr>
            </w:pPr>
            <w:r>
              <w:rPr>
                <w:rFonts w:ascii="Arial" w:cs="Arial" w:eastAsia="Arial" w:hAnsi="Arial"/>
                <w:sz w:val="13"/>
                <w:szCs w:val="13"/>
                <w:b w:val="1"/>
                <w:bCs w:val="1"/>
                <w:color w:val="auto"/>
                <w:w w:val="89"/>
              </w:rPr>
              <w:t>(Depreciation)</w:t>
            </w:r>
          </w:p>
        </w:tc>
        <w:tc>
          <w:tcPr>
            <w:tcW w:w="80" w:type="dxa"/>
            <w:vAlign w:val="bottom"/>
          </w:tcPr>
          <w:p>
            <w:pPr>
              <w:spacing w:after="0"/>
              <w:rPr>
                <w:sz w:val="13"/>
                <w:szCs w:val="1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2"/>
              </w:rPr>
              <w:t>Balance</w:t>
            </w:r>
          </w:p>
        </w:tc>
        <w:tc>
          <w:tcPr>
            <w:tcW w:w="0" w:type="dxa"/>
            <w:vAlign w:val="bottom"/>
          </w:tcPr>
          <w:p>
            <w:pPr>
              <w:spacing w:after="0"/>
              <w:rPr>
                <w:sz w:val="1"/>
                <w:szCs w:val="1"/>
                <w:color w:val="auto"/>
              </w:rPr>
            </w:pPr>
          </w:p>
        </w:tc>
      </w:tr>
      <w:tr>
        <w:trPr>
          <w:trHeight w:val="132"/>
        </w:trPr>
        <w:tc>
          <w:tcPr>
            <w:tcW w:w="4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4"/>
          </w:tcPr>
          <w:p>
            <w:pPr>
              <w:jc w:val="center"/>
              <w:ind w:right="109"/>
              <w:spacing w:after="0" w:line="132" w:lineRule="exact"/>
              <w:rPr>
                <w:sz w:val="20"/>
                <w:szCs w:val="20"/>
                <w:color w:val="auto"/>
              </w:rPr>
            </w:pPr>
            <w:r>
              <w:rPr>
                <w:rFonts w:ascii="Arial" w:cs="Arial" w:eastAsia="Arial" w:hAnsi="Arial"/>
                <w:sz w:val="13"/>
                <w:szCs w:val="13"/>
                <w:b w:val="1"/>
                <w:bCs w:val="1"/>
                <w:color w:val="auto"/>
                <w:w w:val="88"/>
              </w:rPr>
              <w:t>($ in millions)</w:t>
            </w:r>
          </w:p>
        </w:tc>
        <w:tc>
          <w:tcPr>
            <w:tcW w:w="5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Equity</w:t>
            </w: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154,062</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$ 14,370</w:t>
            </w:r>
          </w:p>
        </w:tc>
        <w:tc>
          <w:tcPr>
            <w:tcW w:w="22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 (12,180)</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$ 2,190</w:t>
            </w:r>
          </w:p>
        </w:tc>
        <w:tc>
          <w:tcPr>
            <w:tcW w:w="3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9,553</w:t>
            </w:r>
          </w:p>
        </w:tc>
        <w:tc>
          <w:tcPr>
            <w:tcW w:w="460" w:type="dxa"/>
            <w:vAlign w:val="bottom"/>
            <w:gridSpan w:val="3"/>
            <w:shd w:val="clear" w:color="auto" w:fill="CCEEFF"/>
          </w:tcPr>
          <w:p>
            <w:pPr>
              <w:jc w:val="right"/>
              <w:ind w:right="17"/>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1,569</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167,374</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tcPr>
          <w:p>
            <w:pPr>
              <w:spacing w:after="0"/>
              <w:rPr>
                <w:sz w:val="20"/>
                <w:szCs w:val="20"/>
                <w:color w:val="auto"/>
              </w:rPr>
            </w:pPr>
            <w:r>
              <w:rPr>
                <w:rFonts w:ascii="Arial" w:cs="Arial" w:eastAsia="Arial" w:hAnsi="Arial"/>
                <w:sz w:val="16"/>
                <w:szCs w:val="16"/>
                <w:color w:val="auto"/>
              </w:rPr>
              <w:t>Fixed Income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26,874</w:t>
            </w:r>
          </w:p>
        </w:tc>
        <w:tc>
          <w:tcPr>
            <w:tcW w:w="880" w:type="dxa"/>
            <w:vAlign w:val="bottom"/>
            <w:gridSpan w:val="4"/>
          </w:tcPr>
          <w:p>
            <w:pPr>
              <w:jc w:val="right"/>
              <w:spacing w:after="0"/>
              <w:rPr>
                <w:sz w:val="20"/>
                <w:szCs w:val="20"/>
                <w:color w:val="auto"/>
              </w:rPr>
            </w:pPr>
            <w:r>
              <w:rPr>
                <w:rFonts w:ascii="Arial" w:cs="Arial" w:eastAsia="Arial" w:hAnsi="Arial"/>
                <w:sz w:val="16"/>
                <w:szCs w:val="16"/>
                <w:color w:val="auto"/>
              </w:rPr>
              <w:t>5,069</w:t>
            </w:r>
          </w:p>
        </w:tc>
        <w:tc>
          <w:tcPr>
            <w:tcW w:w="220" w:type="dxa"/>
            <w:vAlign w:val="bottom"/>
          </w:tcPr>
          <w:p>
            <w:pPr>
              <w:spacing w:after="0"/>
              <w:rPr>
                <w:sz w:val="17"/>
                <w:szCs w:val="17"/>
                <w:color w:val="auto"/>
              </w:rPr>
            </w:pPr>
          </w:p>
        </w:tc>
        <w:tc>
          <w:tcPr>
            <w:tcW w:w="960" w:type="dxa"/>
            <w:vAlign w:val="bottom"/>
            <w:gridSpan w:val="4"/>
          </w:tcPr>
          <w:p>
            <w:pPr>
              <w:jc w:val="right"/>
              <w:ind w:right="180"/>
              <w:spacing w:after="0"/>
              <w:rPr>
                <w:sz w:val="20"/>
                <w:szCs w:val="20"/>
                <w:color w:val="auto"/>
              </w:rPr>
            </w:pPr>
            <w:r>
              <w:rPr>
                <w:rFonts w:ascii="Arial" w:cs="Arial" w:eastAsia="Arial" w:hAnsi="Arial"/>
                <w:sz w:val="16"/>
                <w:szCs w:val="16"/>
                <w:color w:val="auto"/>
              </w:rPr>
              <w:t>(1,592)</w:t>
            </w:r>
          </w:p>
        </w:tc>
        <w:tc>
          <w:tcPr>
            <w:tcW w:w="580" w:type="dxa"/>
            <w:vAlign w:val="bottom"/>
            <w:gridSpan w:val="3"/>
          </w:tcPr>
          <w:p>
            <w:pPr>
              <w:jc w:val="right"/>
              <w:spacing w:after="0"/>
              <w:rPr>
                <w:sz w:val="20"/>
                <w:szCs w:val="20"/>
                <w:color w:val="auto"/>
              </w:rPr>
            </w:pPr>
            <w:r>
              <w:rPr>
                <w:rFonts w:ascii="Arial" w:cs="Arial" w:eastAsia="Arial" w:hAnsi="Arial"/>
                <w:sz w:val="16"/>
                <w:szCs w:val="16"/>
                <w:color w:val="auto"/>
              </w:rPr>
              <w:t>3,477</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918</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31,264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5,988</w:t>
            </w:r>
          </w:p>
        </w:tc>
        <w:tc>
          <w:tcPr>
            <w:tcW w:w="300" w:type="dxa"/>
            <w:vAlign w:val="bottom"/>
            <w:gridSpan w:val="2"/>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(889)</w:t>
            </w:r>
          </w:p>
        </w:tc>
        <w:tc>
          <w:tcPr>
            <w:tcW w:w="920" w:type="dxa"/>
            <w:vAlign w:val="bottom"/>
            <w:tcBorders>
              <w:right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6"/>
                <w:szCs w:val="16"/>
                <w:color w:val="auto"/>
              </w:rPr>
              <w:t>(110)</w:t>
            </w: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(45)</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5,887</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6"/>
                <w:szCs w:val="16"/>
                <w:color w:val="auto"/>
              </w:rPr>
              <w:t>Total</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1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gridSpan w:val="2"/>
          </w:tcPr>
          <w:p>
            <w:pPr>
              <w:ind w:left="160"/>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186,924</w:t>
            </w:r>
          </w:p>
        </w:tc>
        <w:tc>
          <w:tcPr>
            <w:tcW w:w="880" w:type="dxa"/>
            <w:vAlign w:val="bottom"/>
            <w:gridSpan w:val="4"/>
          </w:tcPr>
          <w:p>
            <w:pPr>
              <w:jc w:val="right"/>
              <w:spacing w:after="0"/>
              <w:rPr>
                <w:sz w:val="20"/>
                <w:szCs w:val="20"/>
                <w:color w:val="auto"/>
              </w:rPr>
            </w:pPr>
            <w:r>
              <w:rPr>
                <w:rFonts w:ascii="Arial" w:cs="Arial" w:eastAsia="Arial" w:hAnsi="Arial"/>
                <w:sz w:val="16"/>
                <w:szCs w:val="16"/>
                <w:color w:val="auto"/>
              </w:rPr>
              <w:t>$ 20,218</w:t>
            </w:r>
          </w:p>
        </w:tc>
        <w:tc>
          <w:tcPr>
            <w:tcW w:w="220" w:type="dxa"/>
            <w:vAlign w:val="bottom"/>
          </w:tcPr>
          <w:p>
            <w:pPr>
              <w:spacing w:after="0"/>
              <w:rPr>
                <w:sz w:val="17"/>
                <w:szCs w:val="17"/>
                <w:color w:val="auto"/>
              </w:rPr>
            </w:pPr>
          </w:p>
        </w:tc>
        <w:tc>
          <w:tcPr>
            <w:tcW w:w="960" w:type="dxa"/>
            <w:vAlign w:val="bottom"/>
            <w:gridSpan w:val="4"/>
          </w:tcPr>
          <w:p>
            <w:pPr>
              <w:jc w:val="right"/>
              <w:ind w:right="180"/>
              <w:spacing w:after="0"/>
              <w:rPr>
                <w:sz w:val="20"/>
                <w:szCs w:val="20"/>
                <w:color w:val="auto"/>
              </w:rPr>
            </w:pPr>
            <w:r>
              <w:rPr>
                <w:rFonts w:ascii="Arial" w:cs="Arial" w:eastAsia="Arial" w:hAnsi="Arial"/>
                <w:sz w:val="16"/>
                <w:szCs w:val="16"/>
                <w:color w:val="auto"/>
              </w:rPr>
              <w:t>$ (14,661)</w:t>
            </w:r>
          </w:p>
        </w:tc>
        <w:tc>
          <w:tcPr>
            <w:tcW w:w="580" w:type="dxa"/>
            <w:vAlign w:val="bottom"/>
            <w:gridSpan w:val="3"/>
          </w:tcPr>
          <w:p>
            <w:pPr>
              <w:jc w:val="right"/>
              <w:spacing w:after="0"/>
              <w:rPr>
                <w:sz w:val="20"/>
                <w:szCs w:val="20"/>
                <w:color w:val="auto"/>
              </w:rPr>
            </w:pPr>
            <w:r>
              <w:rPr>
                <w:rFonts w:ascii="Arial" w:cs="Arial" w:eastAsia="Arial" w:hAnsi="Arial"/>
                <w:sz w:val="16"/>
                <w:szCs w:val="16"/>
                <w:color w:val="auto"/>
              </w:rPr>
              <w:t>$ 5,557</w:t>
            </w:r>
          </w:p>
        </w:tc>
        <w:tc>
          <w:tcPr>
            <w:tcW w:w="34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10,525</w:t>
            </w:r>
          </w:p>
        </w:tc>
        <w:tc>
          <w:tcPr>
            <w:tcW w:w="460" w:type="dxa"/>
            <w:vAlign w:val="bottom"/>
            <w:gridSpan w:val="3"/>
          </w:tcPr>
          <w:p>
            <w:pPr>
              <w:jc w:val="right"/>
              <w:ind w:right="17"/>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1,519</w:t>
            </w:r>
          </w:p>
        </w:tc>
        <w:tc>
          <w:tcPr>
            <w:tcW w:w="3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204,525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jc w:val="both"/>
        <w:ind w:right="200" w:firstLine="457"/>
        <w:spacing w:after="0" w:line="296" w:lineRule="auto"/>
        <w:rPr>
          <w:sz w:val="20"/>
          <w:szCs w:val="20"/>
          <w:color w:val="auto"/>
        </w:rPr>
      </w:pPr>
      <w:r>
        <w:rPr>
          <w:rFonts w:ascii="Arial" w:cs="Arial" w:eastAsia="Arial" w:hAnsi="Arial"/>
          <w:sz w:val="16"/>
          <w:szCs w:val="16"/>
          <w:color w:val="auto"/>
        </w:rPr>
        <w:t>As of July 17, 2015, AUM was $205.0 billion, a $1.9 billion increase since June 30, 2015. The increase in AUM was due to market appreciation of $3.8 billion and net inflows of $0.4 billion, partially offset by foreign exchange depreciation of $2.3 billion.</w:t>
      </w:r>
    </w:p>
    <w:p>
      <w:pPr>
        <w:spacing w:after="0" w:line="103" w:lineRule="exact"/>
        <w:rPr>
          <w:sz w:val="20"/>
          <w:szCs w:val="20"/>
          <w:color w:val="auto"/>
        </w:rPr>
      </w:pPr>
    </w:p>
    <w:p>
      <w:pPr>
        <w:ind w:right="240" w:firstLine="457"/>
        <w:spacing w:after="0" w:line="296" w:lineRule="auto"/>
        <w:rPr>
          <w:sz w:val="20"/>
          <w:szCs w:val="20"/>
          <w:color w:val="auto"/>
        </w:rPr>
      </w:pPr>
      <w:r>
        <w:rPr>
          <w:rFonts w:ascii="Arial" w:cs="Arial" w:eastAsia="Arial" w:hAnsi="Arial"/>
          <w:sz w:val="16"/>
          <w:szCs w:val="16"/>
          <w:color w:val="auto"/>
        </w:rPr>
        <w:t>Average AUM for the three month and six month periods ended June 30, 2015 and 2014 for each significant asset class is set forth below. Average AUM generally represents the average of the monthly ending AUM balances for the period.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4"/>
          </w:tcPr>
          <w:p>
            <w:pPr>
              <w:jc w:val="right"/>
              <w:ind w:right="203"/>
              <w:spacing w:after="0"/>
              <w:rPr>
                <w:sz w:val="20"/>
                <w:szCs w:val="20"/>
                <w:color w:val="auto"/>
              </w:rPr>
            </w:pPr>
            <w:r>
              <w:rPr>
                <w:rFonts w:ascii="Arial" w:cs="Arial" w:eastAsia="Arial" w:hAnsi="Arial"/>
                <w:sz w:val="13"/>
                <w:szCs w:val="13"/>
                <w:b w:val="1"/>
                <w:bCs w:val="1"/>
                <w:color w:val="auto"/>
                <w:w w:val="99"/>
              </w:rPr>
              <w:t>Three Months Ended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6"/>
          </w:tcPr>
          <w:p>
            <w:pPr>
              <w:ind w:left="26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58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3"/>
                <w:szCs w:val="13"/>
                <w:b w:val="1"/>
                <w:bCs w:val="1"/>
                <w:color w:val="auto"/>
              </w:rPr>
              <w:t>June 30,</w:t>
            </w: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90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44"/>
              <w:spacing w:after="0" w:line="132" w:lineRule="exact"/>
              <w:rPr>
                <w:sz w:val="20"/>
                <w:szCs w:val="20"/>
                <w:color w:val="auto"/>
              </w:rPr>
            </w:pPr>
            <w:r>
              <w:rPr>
                <w:rFonts w:ascii="Arial" w:cs="Arial" w:eastAsia="Arial" w:hAnsi="Arial"/>
                <w:sz w:val="13"/>
                <w:szCs w:val="13"/>
                <w:b w:val="1"/>
                <w:bCs w:val="1"/>
                <w:color w:val="auto"/>
              </w:rPr>
              <w:t>2015</w:t>
            </w:r>
          </w:p>
        </w:tc>
        <w:tc>
          <w:tcPr>
            <w:tcW w:w="3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43"/>
              <w:spacing w:after="0" w:line="132" w:lineRule="exact"/>
              <w:rPr>
                <w:sz w:val="20"/>
                <w:szCs w:val="20"/>
                <w:color w:val="auto"/>
              </w:rPr>
            </w:pPr>
            <w:r>
              <w:rPr>
                <w:rFonts w:ascii="Arial" w:cs="Arial" w:eastAsia="Arial" w:hAnsi="Arial"/>
                <w:sz w:val="13"/>
                <w:szCs w:val="13"/>
                <w:b w:val="1"/>
                <w:bCs w:val="1"/>
                <w:color w:val="auto"/>
              </w:rPr>
              <w:t>2014</w:t>
            </w:r>
          </w:p>
        </w:tc>
        <w:tc>
          <w:tcPr>
            <w:tcW w:w="3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44"/>
              <w:spacing w:after="0" w:line="132" w:lineRule="exact"/>
              <w:rPr>
                <w:sz w:val="20"/>
                <w:szCs w:val="20"/>
                <w:color w:val="auto"/>
              </w:rPr>
            </w:pPr>
            <w:r>
              <w:rPr>
                <w:rFonts w:ascii="Arial" w:cs="Arial" w:eastAsia="Arial" w:hAnsi="Arial"/>
                <w:sz w:val="13"/>
                <w:szCs w:val="13"/>
                <w:b w:val="1"/>
                <w:bCs w:val="1"/>
                <w:color w:val="auto"/>
              </w:rPr>
              <w:t>2015</w:t>
            </w:r>
          </w:p>
        </w:tc>
        <w:tc>
          <w:tcPr>
            <w:tcW w:w="1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60"/>
              <w:spacing w:after="0" w:line="132" w:lineRule="exact"/>
              <w:rPr>
                <w:sz w:val="20"/>
                <w:szCs w:val="20"/>
                <w:color w:val="auto"/>
              </w:rPr>
            </w:pPr>
            <w:r>
              <w:rPr>
                <w:rFonts w:ascii="Arial" w:cs="Arial" w:eastAsia="Arial" w:hAnsi="Arial"/>
                <w:sz w:val="13"/>
                <w:szCs w:val="13"/>
                <w:b w:val="1"/>
                <w:bCs w:val="1"/>
                <w:color w:val="auto"/>
              </w:rPr>
              <w:t>2014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9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5"/>
          </w:tcPr>
          <w:p>
            <w:pPr>
              <w:jc w:val="right"/>
              <w:ind w:right="620"/>
              <w:spacing w:after="0" w:line="144" w:lineRule="exact"/>
              <w:rPr>
                <w:sz w:val="20"/>
                <w:szCs w:val="20"/>
                <w:color w:val="auto"/>
              </w:rPr>
            </w:pPr>
            <w:r>
              <w:rPr>
                <w:rFonts w:ascii="Arial" w:cs="Arial" w:eastAsia="Arial" w:hAnsi="Arial"/>
                <w:sz w:val="13"/>
                <w:szCs w:val="13"/>
                <w:b w:val="1"/>
                <w:bCs w:val="1"/>
                <w:color w:val="auto"/>
              </w:rPr>
              <w:t>($ in millions)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3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Average AUM by Asset Class:</w:t>
            </w:r>
          </w:p>
        </w:tc>
        <w:tc>
          <w:tcPr>
            <w:tcW w:w="3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00" w:type="dxa"/>
            <w:vAlign w:val="bottom"/>
          </w:tcPr>
          <w:p>
            <w:pPr>
              <w:ind w:left="400"/>
              <w:spacing w:after="0"/>
              <w:rPr>
                <w:sz w:val="20"/>
                <w:szCs w:val="20"/>
                <w:color w:val="auto"/>
              </w:rPr>
            </w:pPr>
            <w:r>
              <w:rPr>
                <w:rFonts w:ascii="Arial" w:cs="Arial" w:eastAsia="Arial" w:hAnsi="Arial"/>
                <w:sz w:val="16"/>
                <w:szCs w:val="16"/>
                <w:color w:val="auto"/>
              </w:rPr>
              <w:t>Equity</w:t>
            </w:r>
          </w:p>
        </w:tc>
        <w:tc>
          <w:tcPr>
            <w:tcW w:w="37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6"/>
                <w:szCs w:val="16"/>
                <w:color w:val="auto"/>
                <w:w w:val="93"/>
              </w:rPr>
              <w:t>166,336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162,148</w:t>
            </w:r>
          </w:p>
        </w:tc>
        <w:tc>
          <w:tcPr>
            <w:tcW w:w="4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w w:val="96"/>
              </w:rPr>
              <w:t>164,039</w:t>
            </w:r>
          </w:p>
        </w:tc>
        <w:tc>
          <w:tcPr>
            <w:tcW w:w="3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157,453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Fixed Income</w:t>
            </w:r>
          </w:p>
        </w:tc>
        <w:tc>
          <w:tcPr>
            <w:tcW w:w="3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32,524</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30,496</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32,525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00" w:type="dxa"/>
            <w:vAlign w:val="bottom"/>
          </w:tcPr>
          <w:p>
            <w:pPr>
              <w:ind w:left="400"/>
              <w:spacing w:after="0"/>
              <w:rPr>
                <w:sz w:val="20"/>
                <w:szCs w:val="20"/>
                <w:color w:val="auto"/>
              </w:rPr>
            </w:pPr>
            <w:r>
              <w:rPr>
                <w:rFonts w:ascii="Arial" w:cs="Arial" w:eastAsia="Arial" w:hAnsi="Arial"/>
                <w:sz w:val="16"/>
                <w:szCs w:val="16"/>
                <w:color w:val="auto"/>
              </w:rPr>
              <w:t>Alternative Investments</w:t>
            </w:r>
          </w:p>
        </w:tc>
        <w:tc>
          <w:tcPr>
            <w:tcW w:w="3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6"/>
                <w:szCs w:val="16"/>
                <w:color w:val="auto"/>
              </w:rPr>
              <w:t>3,269</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4,621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3,443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4,580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Private Equity</w:t>
            </w:r>
          </w:p>
        </w:tc>
        <w:tc>
          <w:tcPr>
            <w:tcW w:w="3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926</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1,142</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926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00" w:type="dxa"/>
            <w:vAlign w:val="bottom"/>
          </w:tcPr>
          <w:p>
            <w:pPr>
              <w:ind w:left="400"/>
              <w:spacing w:after="0"/>
              <w:rPr>
                <w:sz w:val="20"/>
                <w:szCs w:val="20"/>
                <w:color w:val="auto"/>
              </w:rPr>
            </w:pPr>
            <w:r>
              <w:rPr>
                <w:rFonts w:ascii="Arial" w:cs="Arial" w:eastAsia="Arial" w:hAnsi="Arial"/>
                <w:sz w:val="16"/>
                <w:szCs w:val="16"/>
                <w:color w:val="auto"/>
              </w:rPr>
              <w:t>Cash Management</w:t>
            </w:r>
          </w:p>
        </w:tc>
        <w:tc>
          <w:tcPr>
            <w:tcW w:w="3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130</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107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39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900" w:type="dxa"/>
            <w:vAlign w:val="bottom"/>
            <w:shd w:val="clear" w:color="auto" w:fill="CCEEFF"/>
          </w:tcPr>
          <w:p>
            <w:pPr>
              <w:ind w:left="820"/>
              <w:spacing w:after="0"/>
              <w:rPr>
                <w:sz w:val="20"/>
                <w:szCs w:val="20"/>
                <w:color w:val="auto"/>
              </w:rPr>
            </w:pPr>
            <w:r>
              <w:rPr>
                <w:rFonts w:ascii="Arial" w:cs="Arial" w:eastAsia="Arial" w:hAnsi="Arial"/>
                <w:sz w:val="16"/>
                <w:szCs w:val="16"/>
                <w:color w:val="auto"/>
              </w:rPr>
              <w:t>Total Average AUM</w:t>
            </w:r>
          </w:p>
        </w:tc>
        <w:tc>
          <w:tcPr>
            <w:tcW w:w="36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93"/>
              </w:rPr>
              <w:t>203,168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198,537</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6"/>
              </w:rPr>
              <w:t>201,040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192,211</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620" w:type="dxa"/>
            <w:vAlign w:val="bottom"/>
            <w:vMerge w:val="restart"/>
          </w:tcPr>
          <w:p>
            <w:pPr>
              <w:jc w:val="right"/>
              <w:ind w:right="1638"/>
              <w:spacing w:after="0"/>
              <w:rPr>
                <w:sz w:val="20"/>
                <w:szCs w:val="20"/>
                <w:color w:val="auto"/>
              </w:rPr>
            </w:pPr>
            <w:r>
              <w:rPr>
                <w:rFonts w:ascii="Arial" w:cs="Arial" w:eastAsia="Arial" w:hAnsi="Arial"/>
                <w:sz w:val="16"/>
                <w:szCs w:val="16"/>
                <w:color w:val="auto"/>
              </w:rPr>
              <w:t>61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390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0" w:right="23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reported operating results attributable to the Asset Management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140" w:type="dxa"/>
            <w:vAlign w:val="bottom"/>
          </w:tcPr>
          <w:p>
            <w:pPr>
              <w:spacing w:after="0"/>
              <w:rPr>
                <w:sz w:val="13"/>
                <w:szCs w:val="13"/>
                <w:color w:val="auto"/>
              </w:rPr>
            </w:pPr>
          </w:p>
        </w:tc>
        <w:tc>
          <w:tcPr>
            <w:tcW w:w="2300" w:type="dxa"/>
            <w:vAlign w:val="bottom"/>
            <w:gridSpan w:val="4"/>
          </w:tcPr>
          <w:p>
            <w:pPr>
              <w:jc w:val="right"/>
              <w:ind w:right="800"/>
              <w:spacing w:after="0"/>
              <w:rPr>
                <w:sz w:val="20"/>
                <w:szCs w:val="20"/>
                <w:color w:val="auto"/>
              </w:rPr>
            </w:pPr>
            <w:r>
              <w:rPr>
                <w:rFonts w:ascii="Arial" w:cs="Arial" w:eastAsia="Arial" w:hAnsi="Arial"/>
                <w:sz w:val="13"/>
                <w:szCs w:val="13"/>
                <w:b w:val="1"/>
                <w:bCs w:val="1"/>
                <w:color w:val="auto"/>
              </w:rPr>
              <w:t>Three Months Ended</w:t>
            </w:r>
          </w:p>
        </w:tc>
        <w:tc>
          <w:tcPr>
            <w:tcW w:w="1960" w:type="dxa"/>
            <w:vAlign w:val="bottom"/>
            <w:gridSpan w:val="4"/>
          </w:tcPr>
          <w:p>
            <w:pPr>
              <w:jc w:val="right"/>
              <w:ind w:right="58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140" w:type="dxa"/>
            <w:vAlign w:val="bottom"/>
          </w:tcPr>
          <w:p>
            <w:pPr>
              <w:spacing w:after="0"/>
              <w:rPr>
                <w:sz w:val="13"/>
                <w:szCs w:val="13"/>
                <w:color w:val="auto"/>
              </w:rPr>
            </w:pPr>
          </w:p>
        </w:tc>
        <w:tc>
          <w:tcPr>
            <w:tcW w:w="11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b w:val="1"/>
                <w:bCs w:val="1"/>
                <w:color w:val="auto"/>
              </w:rPr>
              <w:t>June 30,</w:t>
            </w:r>
          </w:p>
        </w:tc>
        <w:tc>
          <w:tcPr>
            <w:tcW w:w="640" w:type="dxa"/>
            <w:vAlign w:val="bottom"/>
            <w:tcBorders>
              <w:bottom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June 30,</w:t>
            </w:r>
          </w:p>
        </w:tc>
        <w:tc>
          <w:tcPr>
            <w:tcW w:w="6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40" w:type="dxa"/>
            <w:vAlign w:val="bottom"/>
          </w:tcPr>
          <w:p>
            <w:pPr>
              <w:spacing w:after="0"/>
              <w:rPr>
                <w:sz w:val="11"/>
                <w:szCs w:val="11"/>
                <w:color w:val="auto"/>
              </w:rPr>
            </w:pPr>
          </w:p>
        </w:tc>
        <w:tc>
          <w:tcPr>
            <w:tcW w:w="620" w:type="dxa"/>
            <w:vAlign w:val="bottom"/>
            <w:tcBorders>
              <w:bottom w:val="single" w:sz="8" w:color="auto"/>
            </w:tcBorders>
          </w:tcPr>
          <w:p>
            <w:pPr>
              <w:jc w:val="right"/>
              <w:ind w:right="103"/>
              <w:spacing w:after="0" w:line="132" w:lineRule="exact"/>
              <w:rPr>
                <w:sz w:val="20"/>
                <w:szCs w:val="20"/>
                <w:color w:val="auto"/>
              </w:rPr>
            </w:pPr>
            <w:r>
              <w:rPr>
                <w:rFonts w:ascii="Arial" w:cs="Arial" w:eastAsia="Arial" w:hAnsi="Arial"/>
                <w:sz w:val="13"/>
                <w:szCs w:val="13"/>
                <w:b w:val="1"/>
                <w:bCs w:val="1"/>
                <w:color w:val="auto"/>
              </w:rPr>
              <w:t>2015</w:t>
            </w:r>
          </w:p>
        </w:tc>
        <w:tc>
          <w:tcPr>
            <w:tcW w:w="5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22"/>
              <w:spacing w:after="0" w:line="132" w:lineRule="exact"/>
              <w:rPr>
                <w:sz w:val="20"/>
                <w:szCs w:val="20"/>
                <w:color w:val="auto"/>
              </w:rPr>
            </w:pPr>
            <w:r>
              <w:rPr>
                <w:rFonts w:ascii="Arial" w:cs="Arial" w:eastAsia="Arial" w:hAnsi="Arial"/>
                <w:sz w:val="13"/>
                <w:szCs w:val="13"/>
                <w:b w:val="1"/>
                <w:bCs w:val="1"/>
                <w:color w:val="auto"/>
              </w:rPr>
              <w:t>2014</w:t>
            </w: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02"/>
              <w:spacing w:after="0" w:line="132" w:lineRule="exact"/>
              <w:rPr>
                <w:sz w:val="20"/>
                <w:szCs w:val="20"/>
                <w:color w:val="auto"/>
              </w:rPr>
            </w:pPr>
            <w:r>
              <w:rPr>
                <w:rFonts w:ascii="Arial" w:cs="Arial" w:eastAsia="Arial" w:hAnsi="Arial"/>
                <w:sz w:val="13"/>
                <w:szCs w:val="13"/>
                <w:b w:val="1"/>
                <w:bCs w:val="1"/>
                <w:color w:val="auto"/>
              </w:rPr>
              <w:t>2015</w:t>
            </w:r>
          </w:p>
        </w:tc>
        <w:tc>
          <w:tcPr>
            <w:tcW w:w="5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20"/>
              <w:spacing w:after="0" w:line="132" w:lineRule="exact"/>
              <w:rPr>
                <w:sz w:val="20"/>
                <w:szCs w:val="20"/>
                <w:color w:val="auto"/>
              </w:rPr>
            </w:pPr>
            <w:r>
              <w:rPr>
                <w:rFonts w:ascii="Arial" w:cs="Arial" w:eastAsia="Arial" w:hAnsi="Arial"/>
                <w:sz w:val="13"/>
                <w:szCs w:val="13"/>
                <w:b w:val="1"/>
                <w:bCs w:val="1"/>
                <w:color w:val="auto"/>
              </w:rPr>
              <w:t>2014</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300" w:type="dxa"/>
            <w:vAlign w:val="bottom"/>
            <w:gridSpan w:val="4"/>
          </w:tcPr>
          <w:p>
            <w:pPr>
              <w:jc w:val="right"/>
              <w:ind w:right="917"/>
              <w:spacing w:after="0" w:line="144" w:lineRule="exact"/>
              <w:rPr>
                <w:sz w:val="20"/>
                <w:szCs w:val="20"/>
                <w:color w:val="auto"/>
              </w:rPr>
            </w:pPr>
            <w:r>
              <w:rPr>
                <w:rFonts w:ascii="Arial" w:cs="Arial" w:eastAsia="Arial" w:hAnsi="Arial"/>
                <w:sz w:val="13"/>
                <w:szCs w:val="13"/>
                <w:b w:val="1"/>
                <w:bCs w:val="1"/>
                <w:color w:val="auto"/>
              </w:rPr>
              <w:t>($ in thousands)</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40" w:type="dxa"/>
            <w:vAlign w:val="bottom"/>
          </w:tcPr>
          <w:p>
            <w:pPr>
              <w:ind w:left="380"/>
              <w:spacing w:after="0"/>
              <w:rPr>
                <w:sz w:val="20"/>
                <w:szCs w:val="20"/>
                <w:color w:val="auto"/>
              </w:rPr>
            </w:pPr>
            <w:r>
              <w:rPr>
                <w:rFonts w:ascii="Arial" w:cs="Arial" w:eastAsia="Arial" w:hAnsi="Arial"/>
                <w:sz w:val="16"/>
                <w:szCs w:val="16"/>
                <w:color w:val="auto"/>
              </w:rPr>
              <w:t>Management Fees</w:t>
            </w:r>
          </w:p>
        </w:tc>
        <w:tc>
          <w:tcPr>
            <w:tcW w:w="1140" w:type="dxa"/>
            <w:vAlign w:val="bottom"/>
            <w:gridSpan w:val="2"/>
          </w:tcPr>
          <w:p>
            <w:pPr>
              <w:jc w:val="right"/>
              <w:ind w:right="520"/>
              <w:spacing w:after="0"/>
              <w:rPr>
                <w:sz w:val="20"/>
                <w:szCs w:val="20"/>
                <w:color w:val="auto"/>
              </w:rPr>
            </w:pPr>
            <w:r>
              <w:rPr>
                <w:rFonts w:ascii="Arial" w:cs="Arial" w:eastAsia="Arial" w:hAnsi="Arial"/>
                <w:sz w:val="16"/>
                <w:szCs w:val="16"/>
                <w:color w:val="auto"/>
                <w:w w:val="89"/>
              </w:rPr>
              <w:t>$258,401</w:t>
            </w:r>
          </w:p>
        </w:tc>
        <w:tc>
          <w:tcPr>
            <w:tcW w:w="1160" w:type="dxa"/>
            <w:vAlign w:val="bottom"/>
            <w:gridSpan w:val="2"/>
          </w:tcPr>
          <w:p>
            <w:pPr>
              <w:jc w:val="right"/>
              <w:ind w:right="520"/>
              <w:spacing w:after="0"/>
              <w:rPr>
                <w:sz w:val="20"/>
                <w:szCs w:val="20"/>
                <w:color w:val="auto"/>
              </w:rPr>
            </w:pPr>
            <w:r>
              <w:rPr>
                <w:rFonts w:ascii="Arial" w:cs="Arial" w:eastAsia="Arial" w:hAnsi="Arial"/>
                <w:sz w:val="16"/>
                <w:szCs w:val="16"/>
                <w:color w:val="auto"/>
                <w:w w:val="92"/>
              </w:rPr>
              <w:t>$257,507</w:t>
            </w:r>
          </w:p>
        </w:tc>
        <w:tc>
          <w:tcPr>
            <w:tcW w:w="1140" w:type="dxa"/>
            <w:vAlign w:val="bottom"/>
            <w:gridSpan w:val="2"/>
          </w:tcPr>
          <w:p>
            <w:pPr>
              <w:jc w:val="right"/>
              <w:ind w:right="457"/>
              <w:spacing w:after="0"/>
              <w:rPr>
                <w:sz w:val="20"/>
                <w:szCs w:val="20"/>
                <w:color w:val="auto"/>
              </w:rPr>
            </w:pPr>
            <w:r>
              <w:rPr>
                <w:rFonts w:ascii="Arial" w:cs="Arial" w:eastAsia="Arial" w:hAnsi="Arial"/>
                <w:sz w:val="16"/>
                <w:szCs w:val="16"/>
                <w:color w:val="auto"/>
                <w:w w:val="89"/>
              </w:rPr>
              <w:t>$510,488</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w w:val="92"/>
              </w:rPr>
              <w:t>$497,030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Incentive Fees</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6,978</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15,774</w:t>
            </w:r>
          </w:p>
        </w:tc>
        <w:tc>
          <w:tcPr>
            <w:tcW w:w="1140" w:type="dxa"/>
            <w:vAlign w:val="bottom"/>
            <w:gridSpan w:val="2"/>
            <w:shd w:val="clear" w:color="auto" w:fill="CCEEFF"/>
          </w:tcPr>
          <w:p>
            <w:pPr>
              <w:jc w:val="right"/>
              <w:ind w:right="457"/>
              <w:spacing w:after="0"/>
              <w:rPr>
                <w:sz w:val="20"/>
                <w:szCs w:val="20"/>
                <w:color w:val="auto"/>
              </w:rPr>
            </w:pPr>
            <w:r>
              <w:rPr>
                <w:rFonts w:ascii="Arial" w:cs="Arial" w:eastAsia="Arial" w:hAnsi="Arial"/>
                <w:sz w:val="16"/>
                <w:szCs w:val="16"/>
                <w:color w:val="auto"/>
              </w:rPr>
              <w:t>13,261</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26,152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40" w:type="dxa"/>
            <w:vAlign w:val="bottom"/>
          </w:tcPr>
          <w:p>
            <w:pPr>
              <w:ind w:left="380"/>
              <w:spacing w:after="0"/>
              <w:rPr>
                <w:sz w:val="20"/>
                <w:szCs w:val="20"/>
                <w:color w:val="auto"/>
              </w:rPr>
            </w:pPr>
            <w:r>
              <w:rPr>
                <w:rFonts w:ascii="Arial" w:cs="Arial" w:eastAsia="Arial" w:hAnsi="Arial"/>
                <w:sz w:val="16"/>
                <w:szCs w:val="16"/>
                <w:color w:val="auto"/>
              </w:rPr>
              <w:t>Other Revenue</w:t>
            </w:r>
          </w:p>
        </w:tc>
        <w:tc>
          <w:tcPr>
            <w:tcW w:w="1140" w:type="dxa"/>
            <w:vAlign w:val="bottom"/>
            <w:gridSpan w:val="2"/>
          </w:tcPr>
          <w:p>
            <w:pPr>
              <w:jc w:val="right"/>
              <w:ind w:right="520"/>
              <w:spacing w:after="0"/>
              <w:rPr>
                <w:sz w:val="20"/>
                <w:szCs w:val="20"/>
                <w:color w:val="auto"/>
              </w:rPr>
            </w:pPr>
            <w:r>
              <w:rPr>
                <w:rFonts w:ascii="Arial" w:cs="Arial" w:eastAsia="Arial" w:hAnsi="Arial"/>
                <w:sz w:val="16"/>
                <w:szCs w:val="16"/>
                <w:color w:val="auto"/>
              </w:rPr>
              <w:t>40,459</w:t>
            </w:r>
          </w:p>
        </w:tc>
        <w:tc>
          <w:tcPr>
            <w:tcW w:w="1160" w:type="dxa"/>
            <w:vAlign w:val="bottom"/>
            <w:gridSpan w:val="2"/>
          </w:tcPr>
          <w:p>
            <w:pPr>
              <w:jc w:val="right"/>
              <w:ind w:right="520"/>
              <w:spacing w:after="0"/>
              <w:rPr>
                <w:sz w:val="20"/>
                <w:szCs w:val="20"/>
                <w:color w:val="auto"/>
              </w:rPr>
            </w:pPr>
            <w:r>
              <w:rPr>
                <w:rFonts w:ascii="Arial" w:cs="Arial" w:eastAsia="Arial" w:hAnsi="Arial"/>
                <w:sz w:val="16"/>
                <w:szCs w:val="16"/>
                <w:color w:val="auto"/>
              </w:rPr>
              <w:t>14,883</w:t>
            </w:r>
          </w:p>
        </w:tc>
        <w:tc>
          <w:tcPr>
            <w:tcW w:w="1140" w:type="dxa"/>
            <w:vAlign w:val="bottom"/>
            <w:gridSpan w:val="2"/>
          </w:tcPr>
          <w:p>
            <w:pPr>
              <w:jc w:val="right"/>
              <w:ind w:right="457"/>
              <w:spacing w:after="0"/>
              <w:rPr>
                <w:sz w:val="20"/>
                <w:szCs w:val="20"/>
                <w:color w:val="auto"/>
              </w:rPr>
            </w:pPr>
            <w:r>
              <w:rPr>
                <w:rFonts w:ascii="Arial" w:cs="Arial" w:eastAsia="Arial" w:hAnsi="Arial"/>
                <w:sz w:val="16"/>
                <w:szCs w:val="16"/>
                <w:color w:val="auto"/>
              </w:rPr>
              <w:t>61,896</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33,546</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7140" w:type="dxa"/>
            <w:vAlign w:val="bottom"/>
            <w:shd w:val="clear" w:color="auto" w:fill="CCEEFF"/>
          </w:tcPr>
          <w:p>
            <w:pPr>
              <w:ind w:left="800"/>
              <w:spacing w:after="0"/>
              <w:rPr>
                <w:sz w:val="20"/>
                <w:szCs w:val="20"/>
                <w:color w:val="auto"/>
              </w:rPr>
            </w:pPr>
            <w:r>
              <w:rPr>
                <w:rFonts w:ascii="Arial" w:cs="Arial" w:eastAsia="Arial" w:hAnsi="Arial"/>
                <w:sz w:val="16"/>
                <w:szCs w:val="16"/>
                <w:color w:val="auto"/>
              </w:rPr>
              <w:t>Net Revenue</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305,838</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288,164</w:t>
            </w:r>
          </w:p>
        </w:tc>
        <w:tc>
          <w:tcPr>
            <w:tcW w:w="1140" w:type="dxa"/>
            <w:vAlign w:val="bottom"/>
            <w:gridSpan w:val="2"/>
            <w:shd w:val="clear" w:color="auto" w:fill="CCEEFF"/>
          </w:tcPr>
          <w:p>
            <w:pPr>
              <w:jc w:val="right"/>
              <w:ind w:right="457"/>
              <w:spacing w:after="0"/>
              <w:rPr>
                <w:sz w:val="20"/>
                <w:szCs w:val="20"/>
                <w:color w:val="auto"/>
              </w:rPr>
            </w:pPr>
            <w:r>
              <w:rPr>
                <w:rFonts w:ascii="Arial" w:cs="Arial" w:eastAsia="Arial" w:hAnsi="Arial"/>
                <w:sz w:val="16"/>
                <w:szCs w:val="16"/>
                <w:color w:val="auto"/>
              </w:rPr>
              <w:t>585,645</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556,728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40" w:type="dxa"/>
            <w:vAlign w:val="bottom"/>
          </w:tcPr>
          <w:p>
            <w:pPr>
              <w:spacing w:after="0"/>
              <w:rPr>
                <w:sz w:val="20"/>
                <w:szCs w:val="20"/>
                <w:color w:val="auto"/>
              </w:rPr>
            </w:pPr>
            <w:r>
              <w:rPr>
                <w:rFonts w:ascii="Arial" w:cs="Arial" w:eastAsia="Arial" w:hAnsi="Arial"/>
                <w:sz w:val="16"/>
                <w:szCs w:val="16"/>
                <w:color w:val="auto"/>
              </w:rPr>
              <w:t>Operating Expenses</w:t>
            </w:r>
          </w:p>
        </w:tc>
        <w:tc>
          <w:tcPr>
            <w:tcW w:w="1140" w:type="dxa"/>
            <w:vAlign w:val="bottom"/>
            <w:gridSpan w:val="2"/>
          </w:tcPr>
          <w:p>
            <w:pPr>
              <w:jc w:val="right"/>
              <w:ind w:right="520"/>
              <w:spacing w:after="0"/>
              <w:rPr>
                <w:sz w:val="20"/>
                <w:szCs w:val="20"/>
                <w:color w:val="auto"/>
              </w:rPr>
            </w:pPr>
            <w:r>
              <w:rPr>
                <w:rFonts w:ascii="Arial" w:cs="Arial" w:eastAsia="Arial" w:hAnsi="Arial"/>
                <w:sz w:val="16"/>
                <w:szCs w:val="16"/>
                <w:color w:val="auto"/>
              </w:rPr>
              <w:t>193,791</w:t>
            </w:r>
          </w:p>
        </w:tc>
        <w:tc>
          <w:tcPr>
            <w:tcW w:w="1160" w:type="dxa"/>
            <w:vAlign w:val="bottom"/>
            <w:gridSpan w:val="2"/>
          </w:tcPr>
          <w:p>
            <w:pPr>
              <w:jc w:val="right"/>
              <w:ind w:right="520"/>
              <w:spacing w:after="0"/>
              <w:rPr>
                <w:sz w:val="20"/>
                <w:szCs w:val="20"/>
                <w:color w:val="auto"/>
              </w:rPr>
            </w:pPr>
            <w:r>
              <w:rPr>
                <w:rFonts w:ascii="Arial" w:cs="Arial" w:eastAsia="Arial" w:hAnsi="Arial"/>
                <w:sz w:val="16"/>
                <w:szCs w:val="16"/>
                <w:color w:val="auto"/>
              </w:rPr>
              <w:t>185,237</w:t>
            </w:r>
          </w:p>
        </w:tc>
        <w:tc>
          <w:tcPr>
            <w:tcW w:w="1140" w:type="dxa"/>
            <w:vAlign w:val="bottom"/>
            <w:gridSpan w:val="2"/>
          </w:tcPr>
          <w:p>
            <w:pPr>
              <w:jc w:val="right"/>
              <w:ind w:right="457"/>
              <w:spacing w:after="0"/>
              <w:rPr>
                <w:sz w:val="20"/>
                <w:szCs w:val="20"/>
                <w:color w:val="auto"/>
              </w:rPr>
            </w:pPr>
            <w:r>
              <w:rPr>
                <w:rFonts w:ascii="Arial" w:cs="Arial" w:eastAsia="Arial" w:hAnsi="Arial"/>
                <w:sz w:val="16"/>
                <w:szCs w:val="16"/>
                <w:color w:val="auto"/>
              </w:rPr>
              <w:t>375,583</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360,998</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w w:val="84"/>
              </w:rPr>
              <w:t>$ 112,047</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102,927</w:t>
            </w:r>
          </w:p>
        </w:tc>
        <w:tc>
          <w:tcPr>
            <w:tcW w:w="1140" w:type="dxa"/>
            <w:vAlign w:val="bottom"/>
            <w:gridSpan w:val="2"/>
            <w:shd w:val="clear" w:color="auto" w:fill="CCEEFF"/>
          </w:tcPr>
          <w:p>
            <w:pPr>
              <w:jc w:val="right"/>
              <w:ind w:right="457"/>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210,062</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195,730</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6"/>
                <w:szCs w:val="16"/>
                <w:color w:val="auto"/>
              </w:rPr>
              <w:t>Operating Income, as a % of net revenue</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160" w:type="dxa"/>
            <w:vAlign w:val="bottom"/>
            <w:gridSpan w:val="2"/>
            <w:vMerge w:val="continue"/>
          </w:tcPr>
          <w:p>
            <w:pPr>
              <w:spacing w:after="0"/>
              <w:rPr>
                <w:sz w:val="16"/>
                <w:szCs w:val="16"/>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6"/>
                <w:szCs w:val="16"/>
                <w:color w:val="auto"/>
              </w:rPr>
              <w:t>36.6%</w:t>
            </w:r>
          </w:p>
        </w:tc>
        <w:tc>
          <w:tcPr>
            <w:tcW w:w="1160" w:type="dxa"/>
            <w:vAlign w:val="bottom"/>
            <w:gridSpan w:val="2"/>
          </w:tcPr>
          <w:p>
            <w:pPr>
              <w:jc w:val="right"/>
              <w:ind w:right="380"/>
              <w:spacing w:after="0"/>
              <w:rPr>
                <w:sz w:val="20"/>
                <w:szCs w:val="20"/>
                <w:color w:val="auto"/>
              </w:rPr>
            </w:pPr>
            <w:r>
              <w:rPr>
                <w:rFonts w:ascii="Arial" w:cs="Arial" w:eastAsia="Arial" w:hAnsi="Arial"/>
                <w:sz w:val="16"/>
                <w:szCs w:val="16"/>
                <w:color w:val="auto"/>
              </w:rPr>
              <w:t>35.7%</w:t>
            </w:r>
          </w:p>
        </w:tc>
        <w:tc>
          <w:tcPr>
            <w:tcW w:w="1140" w:type="dxa"/>
            <w:vAlign w:val="bottom"/>
            <w:gridSpan w:val="2"/>
          </w:tcPr>
          <w:p>
            <w:pPr>
              <w:jc w:val="right"/>
              <w:ind w:right="317"/>
              <w:spacing w:after="0"/>
              <w:rPr>
                <w:sz w:val="20"/>
                <w:szCs w:val="20"/>
                <w:color w:val="auto"/>
              </w:rPr>
            </w:pPr>
            <w:r>
              <w:rPr>
                <w:rFonts w:ascii="Arial" w:cs="Arial" w:eastAsia="Arial" w:hAnsi="Arial"/>
                <w:sz w:val="16"/>
                <w:szCs w:val="16"/>
                <w:color w:val="auto"/>
              </w:rPr>
              <w:t>35.9%</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right="120" w:firstLine="457"/>
        <w:spacing w:after="0" w:line="296"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20" w:type="dxa"/>
            <w:vAlign w:val="bottom"/>
          </w:tcPr>
          <w:p>
            <w:pPr>
              <w:spacing w:after="0"/>
              <w:rPr>
                <w:sz w:val="13"/>
                <w:szCs w:val="13"/>
                <w:color w:val="auto"/>
              </w:rPr>
            </w:pPr>
          </w:p>
        </w:tc>
        <w:tc>
          <w:tcPr>
            <w:tcW w:w="2760" w:type="dxa"/>
            <w:vAlign w:val="bottom"/>
            <w:gridSpan w:val="5"/>
          </w:tcPr>
          <w:p>
            <w:pPr>
              <w:jc w:val="right"/>
              <w:ind w:right="1180"/>
              <w:spacing w:after="0"/>
              <w:rPr>
                <w:sz w:val="20"/>
                <w:szCs w:val="20"/>
                <w:color w:val="auto"/>
              </w:rPr>
            </w:pPr>
            <w:r>
              <w:rPr>
                <w:rFonts w:ascii="Arial" w:cs="Arial" w:eastAsia="Arial" w:hAnsi="Arial"/>
                <w:sz w:val="13"/>
                <w:szCs w:val="13"/>
                <w:b w:val="1"/>
                <w:bCs w:val="1"/>
                <w:color w:val="auto"/>
              </w:rPr>
              <w:t>Three Months Ended</w:t>
            </w:r>
          </w:p>
        </w:tc>
        <w:tc>
          <w:tcPr>
            <w:tcW w:w="1440" w:type="dxa"/>
            <w:vAlign w:val="bottom"/>
            <w:gridSpan w:val="3"/>
          </w:tcPr>
          <w:p>
            <w:pPr>
              <w:jc w:val="center"/>
              <w:ind w:left="324"/>
              <w:spacing w:after="0"/>
              <w:rPr>
                <w:sz w:val="20"/>
                <w:szCs w:val="20"/>
                <w:color w:val="auto"/>
              </w:rPr>
            </w:pPr>
            <w:r>
              <w:rPr>
                <w:rFonts w:ascii="Arial" w:cs="Arial" w:eastAsia="Arial" w:hAnsi="Arial"/>
                <w:sz w:val="13"/>
                <w:szCs w:val="13"/>
                <w:b w:val="1"/>
                <w:bCs w:val="1"/>
                <w:color w:val="auto"/>
                <w:w w:val="88"/>
              </w:rPr>
              <w:t>Six Months Ended</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gridSpan w:val="3"/>
          </w:tcPr>
          <w:p>
            <w:pPr>
              <w:jc w:val="right"/>
              <w:ind w:right="1640"/>
              <w:spacing w:after="0"/>
              <w:rPr>
                <w:sz w:val="20"/>
                <w:szCs w:val="20"/>
                <w:color w:val="auto"/>
              </w:rPr>
            </w:pPr>
            <w:r>
              <w:rPr>
                <w:rFonts w:ascii="Arial" w:cs="Arial" w:eastAsia="Arial" w:hAnsi="Arial"/>
                <w:sz w:val="13"/>
                <w:szCs w:val="13"/>
                <w:b w:val="1"/>
                <w:bCs w:val="1"/>
                <w:color w:val="auto"/>
                <w:w w:val="84"/>
              </w:rPr>
              <w:t>June 30,</w:t>
            </w:r>
          </w:p>
        </w:tc>
        <w:tc>
          <w:tcPr>
            <w:tcW w:w="500" w:type="dxa"/>
            <w:vAlign w:val="bottom"/>
          </w:tcPr>
          <w:p>
            <w:pPr>
              <w:spacing w:after="0"/>
              <w:rPr>
                <w:sz w:val="13"/>
                <w:szCs w:val="13"/>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June 30,</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6620" w:type="dxa"/>
            <w:vAlign w:val="bottom"/>
            <w:tcBorders>
              <w:bottom w:val="single" w:sz="8" w:color="CCEEFF"/>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64"/>
              <w:spacing w:after="0" w:line="132" w:lineRule="exact"/>
              <w:rPr>
                <w:sz w:val="20"/>
                <w:szCs w:val="20"/>
                <w:color w:val="auto"/>
              </w:rPr>
            </w:pPr>
            <w:r>
              <w:rPr>
                <w:rFonts w:ascii="Arial" w:cs="Arial" w:eastAsia="Arial" w:hAnsi="Arial"/>
                <w:sz w:val="13"/>
                <w:szCs w:val="13"/>
                <w:b w:val="1"/>
                <w:bCs w:val="1"/>
                <w:color w:val="auto"/>
              </w:rPr>
              <w:t>2015</w:t>
            </w:r>
          </w:p>
        </w:tc>
        <w:tc>
          <w:tcPr>
            <w:tcW w:w="120" w:type="dxa"/>
            <w:vAlign w:val="bottom"/>
            <w:tcBorders>
              <w:top w:val="single" w:sz="8" w:color="auto"/>
              <w:bottom w:val="single" w:sz="8" w:color="CCEEFF"/>
            </w:tcBorders>
          </w:tcPr>
          <w:p>
            <w:pPr>
              <w:spacing w:after="0"/>
              <w:rPr>
                <w:sz w:val="11"/>
                <w:szCs w:val="11"/>
                <w:color w:val="auto"/>
              </w:rPr>
            </w:pPr>
          </w:p>
        </w:tc>
        <w:tc>
          <w:tcPr>
            <w:tcW w:w="720" w:type="dxa"/>
            <w:vAlign w:val="bottom"/>
            <w:tcBorders>
              <w:top w:val="single" w:sz="8" w:color="auto"/>
              <w:bottom w:val="single" w:sz="8" w:color="CCEEFF"/>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64"/>
              <w:spacing w:after="0" w:line="132" w:lineRule="exact"/>
              <w:rPr>
                <w:sz w:val="20"/>
                <w:szCs w:val="20"/>
                <w:color w:val="auto"/>
              </w:rPr>
            </w:pPr>
            <w:r>
              <w:rPr>
                <w:rFonts w:ascii="Arial" w:cs="Arial" w:eastAsia="Arial" w:hAnsi="Arial"/>
                <w:sz w:val="13"/>
                <w:szCs w:val="13"/>
                <w:b w:val="1"/>
                <w:bCs w:val="1"/>
                <w:color w:val="auto"/>
              </w:rPr>
              <w:t>2014</w:t>
            </w:r>
          </w:p>
        </w:tc>
        <w:tc>
          <w:tcPr>
            <w:tcW w:w="840" w:type="dxa"/>
            <w:vAlign w:val="bottom"/>
            <w:tcBorders>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44"/>
              <w:spacing w:after="0" w:line="132" w:lineRule="exact"/>
              <w:rPr>
                <w:sz w:val="20"/>
                <w:szCs w:val="20"/>
                <w:color w:val="auto"/>
              </w:rPr>
            </w:pPr>
            <w:r>
              <w:rPr>
                <w:rFonts w:ascii="Arial" w:cs="Arial" w:eastAsia="Arial" w:hAnsi="Arial"/>
                <w:sz w:val="13"/>
                <w:szCs w:val="13"/>
                <w:b w:val="1"/>
                <w:bCs w:val="1"/>
                <w:color w:val="auto"/>
              </w:rPr>
              <w:t>2015</w:t>
            </w:r>
          </w:p>
        </w:tc>
        <w:tc>
          <w:tcPr>
            <w:tcW w:w="84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62"/>
              <w:spacing w:after="0" w:line="132" w:lineRule="exact"/>
              <w:rPr>
                <w:sz w:val="20"/>
                <w:szCs w:val="20"/>
                <w:color w:val="auto"/>
              </w:rPr>
            </w:pPr>
            <w:r>
              <w:rPr>
                <w:rFonts w:ascii="Arial" w:cs="Arial" w:eastAsia="Arial" w:hAnsi="Arial"/>
                <w:sz w:val="13"/>
                <w:szCs w:val="13"/>
                <w:b w:val="1"/>
                <w:bCs w:val="1"/>
                <w:color w:val="auto"/>
                <w:w w:val="89"/>
              </w:rPr>
              <w:t>2014</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United States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7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6"/>
                <w:szCs w:val="16"/>
                <w:color w:val="auto"/>
              </w:rPr>
              <w:t>59%</w:t>
            </w:r>
          </w:p>
        </w:tc>
        <w:tc>
          <w:tcPr>
            <w:tcW w:w="1340" w:type="dxa"/>
            <w:vAlign w:val="bottom"/>
            <w:gridSpan w:val="2"/>
            <w:shd w:val="clear" w:color="auto" w:fill="CCEEFF"/>
          </w:tcPr>
          <w:p>
            <w:pPr>
              <w:jc w:val="right"/>
              <w:ind w:right="637"/>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2"/>
        </w:trPr>
        <w:tc>
          <w:tcPr>
            <w:tcW w:w="6620" w:type="dxa"/>
            <w:vAlign w:val="bottom"/>
          </w:tcPr>
          <w:p>
            <w:pPr>
              <w:spacing w:after="0"/>
              <w:rPr>
                <w:sz w:val="20"/>
                <w:szCs w:val="20"/>
                <w:color w:val="auto"/>
              </w:rPr>
            </w:pPr>
            <w:r>
              <w:rPr>
                <w:rFonts w:ascii="Arial" w:cs="Arial" w:eastAsia="Arial" w:hAnsi="Arial"/>
                <w:sz w:val="16"/>
                <w:szCs w:val="16"/>
                <w:color w:val="auto"/>
              </w:rPr>
              <w:t>Europe</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26</w:t>
            </w:r>
          </w:p>
        </w:tc>
        <w:tc>
          <w:tcPr>
            <w:tcW w:w="2100" w:type="dxa"/>
            <w:vAlign w:val="bottom"/>
            <w:gridSpan w:val="3"/>
          </w:tcPr>
          <w:p>
            <w:pPr>
              <w:jc w:val="right"/>
              <w:ind w:right="840"/>
              <w:spacing w:after="0"/>
              <w:rPr>
                <w:sz w:val="20"/>
                <w:szCs w:val="20"/>
                <w:color w:val="auto"/>
              </w:rPr>
            </w:pPr>
            <w:r>
              <w:rPr>
                <w:rFonts w:ascii="Arial" w:cs="Arial" w:eastAsia="Arial" w:hAnsi="Arial"/>
                <w:sz w:val="16"/>
                <w:szCs w:val="16"/>
                <w:color w:val="auto"/>
              </w:rPr>
              <w:t>31</w:t>
            </w:r>
          </w:p>
        </w:tc>
        <w:tc>
          <w:tcPr>
            <w:tcW w:w="1340" w:type="dxa"/>
            <w:vAlign w:val="bottom"/>
            <w:gridSpan w:val="2"/>
          </w:tcPr>
          <w:p>
            <w:pPr>
              <w:jc w:val="right"/>
              <w:ind w:right="777"/>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2"/>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Rest of World</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840"/>
              <w:spacing w:after="0"/>
              <w:rPr>
                <w:sz w:val="20"/>
                <w:szCs w:val="20"/>
                <w:color w:val="auto"/>
              </w:rPr>
            </w:pPr>
            <w:r>
              <w:rPr>
                <w:rFonts w:ascii="Arial" w:cs="Arial" w:eastAsia="Arial" w:hAnsi="Arial"/>
                <w:sz w:val="16"/>
                <w:szCs w:val="16"/>
                <w:color w:val="auto"/>
              </w:rPr>
              <w:t>10</w:t>
            </w:r>
          </w:p>
        </w:tc>
        <w:tc>
          <w:tcPr>
            <w:tcW w:w="1340" w:type="dxa"/>
            <w:vAlign w:val="bottom"/>
            <w:gridSpan w:val="2"/>
            <w:shd w:val="clear" w:color="auto" w:fill="CCEEFF"/>
          </w:tcPr>
          <w:p>
            <w:pPr>
              <w:jc w:val="right"/>
              <w:ind w:right="777"/>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6"/>
                <w:szCs w:val="16"/>
                <w:color w:val="auto"/>
              </w:rPr>
              <w:t>Total</w:t>
            </w: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620" w:type="dxa"/>
            <w:vAlign w:val="bottom"/>
            <w:vMerge w:val="continue"/>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2100" w:type="dxa"/>
            <w:vAlign w:val="bottom"/>
            <w:gridSpan w:val="3"/>
          </w:tcPr>
          <w:p>
            <w:pPr>
              <w:jc w:val="right"/>
              <w:ind w:right="700"/>
              <w:spacing w:after="0"/>
              <w:rPr>
                <w:sz w:val="20"/>
                <w:szCs w:val="20"/>
                <w:color w:val="auto"/>
              </w:rPr>
            </w:pPr>
            <w:r>
              <w:rPr>
                <w:rFonts w:ascii="Arial" w:cs="Arial" w:eastAsia="Arial" w:hAnsi="Arial"/>
                <w:sz w:val="16"/>
                <w:szCs w:val="16"/>
                <w:color w:val="auto"/>
              </w:rPr>
              <w:t>100%</w:t>
            </w:r>
          </w:p>
        </w:tc>
        <w:tc>
          <w:tcPr>
            <w:tcW w:w="1340" w:type="dxa"/>
            <w:vAlign w:val="bottom"/>
            <w:gridSpan w:val="2"/>
          </w:tcPr>
          <w:p>
            <w:pPr>
              <w:jc w:val="right"/>
              <w:ind w:right="637"/>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Asset Management Results of Operations</w:t>
      </w:r>
    </w:p>
    <w:p>
      <w:pPr>
        <w:spacing w:after="0" w:line="90" w:lineRule="exact"/>
        <w:rPr>
          <w:sz w:val="20"/>
          <w:szCs w:val="20"/>
          <w:color w:val="auto"/>
        </w:rPr>
      </w:pPr>
    </w:p>
    <w:p>
      <w:pPr>
        <w:jc w:val="both"/>
        <w:ind w:right="220" w:firstLine="457"/>
        <w:spacing w:after="0" w:line="282" w:lineRule="auto"/>
        <w:rPr>
          <w:sz w:val="20"/>
          <w:szCs w:val="20"/>
          <w:color w:val="auto"/>
        </w:rPr>
      </w:pPr>
      <w:r>
        <w:rPr>
          <w:rFonts w:ascii="Arial" w:cs="Arial" w:eastAsia="Arial" w:hAnsi="Arial"/>
          <w:sz w:val="16"/>
          <w:szCs w:val="16"/>
          <w:b w:val="1"/>
          <w:bCs w:val="1"/>
          <w:color w:val="auto"/>
        </w:rPr>
        <w:t>Asset Management’s quarterly revenue and profits in any particular quarter or period may not be indicative of future results and may fluctuate based on the performance of the equity and other capital markets. Lazard management believes that annual results are the most meaningful basis for comparison among present, historical and future periods.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Three Months Ended June 30, 2015 versus June 30, 2014</w:t>
      </w:r>
    </w:p>
    <w:p>
      <w:pPr>
        <w:spacing w:after="0" w:line="94" w:lineRule="exact"/>
        <w:rPr>
          <w:sz w:val="20"/>
          <w:szCs w:val="20"/>
          <w:color w:val="auto"/>
        </w:rPr>
      </w:pPr>
    </w:p>
    <w:p>
      <w:pPr>
        <w:ind w:right="240" w:firstLine="457"/>
        <w:spacing w:after="0" w:line="274" w:lineRule="auto"/>
        <w:rPr>
          <w:sz w:val="20"/>
          <w:szCs w:val="20"/>
          <w:color w:val="auto"/>
        </w:rPr>
      </w:pPr>
      <w:r>
        <w:rPr>
          <w:rFonts w:ascii="Arial" w:cs="Arial" w:eastAsia="Arial" w:hAnsi="Arial"/>
          <w:sz w:val="16"/>
          <w:szCs w:val="16"/>
          <w:color w:val="auto"/>
        </w:rPr>
        <w:t>Asset Management net revenue increased $18 million, or 6%, as compared to the 2014 period. Management fees remained substantially unchanged as compared to the 2014 period. Incentive fees decreased $8 million, or 56%, as compared to the 2014 period, primarily due to incentive fees related to traditional investment products. Other revenue increased $26 million as compared to the 2014 period, primarily due to a $24 million gain on disposal of the Company’s Australian private equity business (which relates primarily to the realization of carried interest at fair value).</w:t>
      </w:r>
    </w:p>
    <w:p>
      <w:pPr>
        <w:spacing w:after="0" w:line="121" w:lineRule="exact"/>
        <w:rPr>
          <w:sz w:val="20"/>
          <w:szCs w:val="20"/>
          <w:color w:val="auto"/>
        </w:rPr>
      </w:pPr>
    </w:p>
    <w:p>
      <w:pPr>
        <w:ind w:right="280" w:firstLine="457"/>
        <w:spacing w:after="0" w:line="296" w:lineRule="auto"/>
        <w:rPr>
          <w:sz w:val="20"/>
          <w:szCs w:val="20"/>
          <w:color w:val="auto"/>
        </w:rPr>
      </w:pPr>
      <w:r>
        <w:rPr>
          <w:rFonts w:ascii="Arial" w:cs="Arial" w:eastAsia="Arial" w:hAnsi="Arial"/>
          <w:sz w:val="16"/>
          <w:szCs w:val="16"/>
          <w:color w:val="auto"/>
        </w:rPr>
        <w:t>Operating expenses increased $9 million, or 5%, as compared to the 2014 period, primarily due to increases in (i) compensation and benefits expense related to an increase in discretionary compensation and (ii) non-compensation expense related to increased AUM and business activity.</w:t>
      </w:r>
    </w:p>
    <w:p>
      <w:pPr>
        <w:spacing w:after="0" w:line="103" w:lineRule="exact"/>
        <w:rPr>
          <w:sz w:val="20"/>
          <w:szCs w:val="20"/>
          <w:color w:val="auto"/>
        </w:rPr>
      </w:pPr>
    </w:p>
    <w:p>
      <w:pPr>
        <w:ind w:right="60" w:firstLine="457"/>
        <w:spacing w:after="0" w:line="296" w:lineRule="auto"/>
        <w:rPr>
          <w:sz w:val="20"/>
          <w:szCs w:val="20"/>
          <w:color w:val="auto"/>
        </w:rPr>
      </w:pPr>
      <w:r>
        <w:rPr>
          <w:rFonts w:ascii="Arial" w:cs="Arial" w:eastAsia="Arial" w:hAnsi="Arial"/>
          <w:sz w:val="16"/>
          <w:szCs w:val="16"/>
          <w:color w:val="auto"/>
        </w:rPr>
        <w:t>Asset Management operating income was $112 million, an increase of $9 million, or 9%, as compared to operating income of $103 million in the 2014 period and, as a percentage of net revenue, was 36.6%, as compared to 35.7% in the 2014 period.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440" w:right="23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Six Months Ended June 30, 2015 versus June 30, 2014</w:t>
      </w:r>
    </w:p>
    <w:p>
      <w:pPr>
        <w:spacing w:after="0" w:line="94" w:lineRule="exact"/>
        <w:rPr>
          <w:sz w:val="20"/>
          <w:szCs w:val="20"/>
          <w:color w:val="auto"/>
        </w:rPr>
      </w:pPr>
    </w:p>
    <w:p>
      <w:pPr>
        <w:ind w:right="180" w:firstLine="457"/>
        <w:spacing w:after="0" w:line="298" w:lineRule="auto"/>
        <w:rPr>
          <w:sz w:val="20"/>
          <w:szCs w:val="20"/>
          <w:color w:val="auto"/>
        </w:rPr>
      </w:pPr>
      <w:r>
        <w:rPr>
          <w:rFonts w:ascii="Arial" w:cs="Arial" w:eastAsia="Arial" w:hAnsi="Arial"/>
          <w:sz w:val="15"/>
          <w:szCs w:val="15"/>
          <w:color w:val="auto"/>
        </w:rPr>
        <w:t>Asset Management net revenue increased $29 million, or 5%, as compared to the 2014 period. Management fees increased $13 million, or 3%, as compared to the 2014 period, reflecting a $9 billion, or 5%, increase in average AUM. Incentive fees decreased $13 million, or 49%, as compared to the 2014 period, primarily due to incentive fees related to traditional investment products. Other revenue increased $28 million, or 85%, as compared to the 2014 period, primarily due to a $24 million gain on disposal of the Company’s Australian private equity business (which relates primarily to the realization of carried interest at fair value).</w:t>
      </w:r>
    </w:p>
    <w:p>
      <w:pPr>
        <w:spacing w:after="0" w:line="105" w:lineRule="exact"/>
        <w:rPr>
          <w:sz w:val="20"/>
          <w:szCs w:val="20"/>
          <w:color w:val="auto"/>
        </w:rPr>
      </w:pPr>
    </w:p>
    <w:p>
      <w:pPr>
        <w:ind w:right="200" w:firstLine="457"/>
        <w:spacing w:after="0" w:line="296" w:lineRule="auto"/>
        <w:rPr>
          <w:sz w:val="20"/>
          <w:szCs w:val="20"/>
          <w:color w:val="auto"/>
        </w:rPr>
      </w:pPr>
      <w:r>
        <w:rPr>
          <w:rFonts w:ascii="Arial" w:cs="Arial" w:eastAsia="Arial" w:hAnsi="Arial"/>
          <w:sz w:val="16"/>
          <w:szCs w:val="16"/>
          <w:color w:val="auto"/>
        </w:rPr>
        <w:t>Operating expenses increased $15 million, or 4%, as compared to the 2014 period, primarily due to increases in (i) compensation and benefits expense related to an increase in discretionary compensation and (ii) non-compensation expense related to increased AUM and business activity.</w:t>
      </w:r>
    </w:p>
    <w:p>
      <w:pPr>
        <w:spacing w:after="0" w:line="103" w:lineRule="exact"/>
        <w:rPr>
          <w:sz w:val="20"/>
          <w:szCs w:val="20"/>
          <w:color w:val="auto"/>
        </w:rPr>
      </w:pPr>
    </w:p>
    <w:p>
      <w:pPr>
        <w:ind w:right="160" w:firstLine="457"/>
        <w:spacing w:after="0" w:line="296" w:lineRule="auto"/>
        <w:rPr>
          <w:sz w:val="20"/>
          <w:szCs w:val="20"/>
          <w:color w:val="auto"/>
        </w:rPr>
      </w:pPr>
      <w:r>
        <w:rPr>
          <w:rFonts w:ascii="Arial" w:cs="Arial" w:eastAsia="Arial" w:hAnsi="Arial"/>
          <w:sz w:val="16"/>
          <w:szCs w:val="16"/>
          <w:color w:val="auto"/>
        </w:rPr>
        <w:t>Asset Management operating income was $210 million, an increase of $14 million, or 7%, as compared to operating income of $196 million in the 2014 period and, as a percentage of net revenue, was 35.9%, as compared to 35.2% in the 2014 period.</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reported operating results attributable to the Corporate segment:</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4"/>
          </w:tcPr>
          <w:p>
            <w:pPr>
              <w:jc w:val="right"/>
              <w:ind w:right="20"/>
              <w:spacing w:after="0"/>
              <w:rPr>
                <w:sz w:val="20"/>
                <w:szCs w:val="20"/>
                <w:color w:val="auto"/>
              </w:rPr>
            </w:pPr>
            <w:r>
              <w:rPr>
                <w:rFonts w:ascii="Arial" w:cs="Arial" w:eastAsia="Arial" w:hAnsi="Arial"/>
                <w:sz w:val="13"/>
                <w:szCs w:val="13"/>
                <w:b w:val="1"/>
                <w:bCs w:val="1"/>
                <w:color w:val="auto"/>
              </w:rPr>
              <w:t>Three Months Ended</w:t>
            </w: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3"/>
          </w:tcPr>
          <w:p>
            <w:pPr>
              <w:jc w:val="right"/>
              <w:spacing w:after="0"/>
              <w:rPr>
                <w:sz w:val="20"/>
                <w:szCs w:val="20"/>
                <w:color w:val="auto"/>
              </w:rPr>
            </w:pPr>
            <w:r>
              <w:rPr>
                <w:rFonts w:ascii="Arial" w:cs="Arial" w:eastAsia="Arial" w:hAnsi="Arial"/>
                <w:sz w:val="13"/>
                <w:szCs w:val="13"/>
                <w:b w:val="1"/>
                <w:bCs w:val="1"/>
                <w:color w:val="auto"/>
              </w:rPr>
              <w:t>Six Months Ended</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3"/>
                <w:szCs w:val="13"/>
                <w:b w:val="1"/>
                <w:bCs w:val="1"/>
                <w:color w:val="auto"/>
                <w:w w:val="88"/>
              </w:rPr>
              <w:t>June 30,</w:t>
            </w:r>
          </w:p>
        </w:tc>
        <w:tc>
          <w:tcPr>
            <w:tcW w:w="52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b w:val="1"/>
                <w:bCs w:val="1"/>
                <w:color w:val="auto"/>
              </w:rPr>
              <w:t>June 30,</w:t>
            </w: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32"/>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62"/>
              <w:spacing w:after="0" w:line="132" w:lineRule="exact"/>
              <w:rPr>
                <w:sz w:val="20"/>
                <w:szCs w:val="20"/>
                <w:color w:val="auto"/>
              </w:rPr>
            </w:pPr>
            <w:r>
              <w:rPr>
                <w:rFonts w:ascii="Arial" w:cs="Arial" w:eastAsia="Arial" w:hAnsi="Arial"/>
                <w:sz w:val="13"/>
                <w:szCs w:val="13"/>
                <w:b w:val="1"/>
                <w:bCs w:val="1"/>
                <w:color w:val="auto"/>
              </w:rPr>
              <w:t>2015</w:t>
            </w: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22"/>
              <w:spacing w:after="0" w:line="132" w:lineRule="exact"/>
              <w:rPr>
                <w:sz w:val="20"/>
                <w:szCs w:val="20"/>
                <w:color w:val="auto"/>
              </w:rPr>
            </w:pPr>
            <w:r>
              <w:rPr>
                <w:rFonts w:ascii="Arial" w:cs="Arial" w:eastAsia="Arial" w:hAnsi="Arial"/>
                <w:sz w:val="13"/>
                <w:szCs w:val="13"/>
                <w:b w:val="1"/>
                <w:bCs w:val="1"/>
                <w:color w:val="auto"/>
              </w:rPr>
              <w:t>2014</w:t>
            </w:r>
          </w:p>
        </w:tc>
        <w:tc>
          <w:tcPr>
            <w:tcW w:w="4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43"/>
              <w:spacing w:after="0" w:line="132" w:lineRule="exact"/>
              <w:rPr>
                <w:sz w:val="20"/>
                <w:szCs w:val="20"/>
                <w:color w:val="auto"/>
              </w:rPr>
            </w:pPr>
            <w:r>
              <w:rPr>
                <w:rFonts w:ascii="Arial" w:cs="Arial" w:eastAsia="Arial" w:hAnsi="Arial"/>
                <w:sz w:val="13"/>
                <w:szCs w:val="13"/>
                <w:b w:val="1"/>
                <w:bCs w:val="1"/>
                <w:color w:val="auto"/>
              </w:rPr>
              <w:t>2015</w:t>
            </w:r>
          </w:p>
        </w:tc>
        <w:tc>
          <w:tcPr>
            <w:tcW w:w="4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40"/>
              <w:spacing w:after="0" w:line="132" w:lineRule="exact"/>
              <w:rPr>
                <w:sz w:val="20"/>
                <w:szCs w:val="20"/>
                <w:color w:val="auto"/>
              </w:rPr>
            </w:pPr>
            <w:r>
              <w:rPr>
                <w:rFonts w:ascii="Arial" w:cs="Arial" w:eastAsia="Arial" w:hAnsi="Arial"/>
                <w:sz w:val="13"/>
                <w:szCs w:val="13"/>
                <w:b w:val="1"/>
                <w:bCs w:val="1"/>
                <w:color w:val="auto"/>
                <w:w w:val="96"/>
              </w:rPr>
              <w:t>2014</w:t>
            </w:r>
          </w:p>
        </w:tc>
        <w:tc>
          <w:tcPr>
            <w:tcW w:w="120" w:type="dxa"/>
            <w:vAlign w:val="bottom"/>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right"/>
              <w:spacing w:after="0" w:line="144" w:lineRule="exact"/>
              <w:rPr>
                <w:sz w:val="20"/>
                <w:szCs w:val="20"/>
                <w:color w:val="auto"/>
              </w:rPr>
            </w:pPr>
            <w:r>
              <w:rPr>
                <w:rFonts w:ascii="Arial" w:cs="Arial" w:eastAsia="Arial" w:hAnsi="Arial"/>
                <w:sz w:val="13"/>
                <w:szCs w:val="13"/>
                <w:b w:val="1"/>
                <w:bCs w:val="1"/>
                <w:color w:val="auto"/>
              </w:rPr>
              <w:t>($ in thousands)</w:t>
            </w: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2"/>
        </w:trPr>
        <w:tc>
          <w:tcPr>
            <w:tcW w:w="20" w:type="dxa"/>
            <w:vAlign w:val="bottom"/>
          </w:tcPr>
          <w:p>
            <w:pPr>
              <w:spacing w:after="0"/>
              <w:rPr>
                <w:sz w:val="17"/>
                <w:szCs w:val="17"/>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24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1,418</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1,982</w:t>
            </w:r>
          </w:p>
        </w:tc>
        <w:tc>
          <w:tcPr>
            <w:tcW w:w="12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4280" w:type="dxa"/>
            <w:vAlign w:val="bottom"/>
            <w:gridSpan w:val="2"/>
          </w:tcPr>
          <w:p>
            <w:pPr>
              <w:spacing w:after="0"/>
              <w:rPr>
                <w:sz w:val="20"/>
                <w:szCs w:val="20"/>
                <w:color w:val="auto"/>
              </w:rPr>
            </w:pPr>
            <w:r>
              <w:rPr>
                <w:rFonts w:ascii="Arial" w:cs="Arial" w:eastAsia="Arial" w:hAnsi="Arial"/>
                <w:sz w:val="16"/>
                <w:szCs w:val="16"/>
                <w:color w:val="auto"/>
              </w:rPr>
              <w:t>Interest Expense</w:t>
            </w:r>
          </w:p>
        </w:tc>
        <w:tc>
          <w:tcPr>
            <w:tcW w:w="2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(11,496)</w:t>
            </w: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6"/>
                <w:szCs w:val="16"/>
                <w:color w:val="auto"/>
                <w:w w:val="93"/>
              </w:rPr>
              <w:t>(15,708)</w:t>
            </w:r>
          </w:p>
        </w:tc>
        <w:tc>
          <w:tcPr>
            <w:tcW w:w="160" w:type="dxa"/>
            <w:vAlign w:val="bottom"/>
          </w:tcPr>
          <w:p>
            <w:pPr>
              <w:spacing w:after="0"/>
              <w:rPr>
                <w:sz w:val="17"/>
                <w:szCs w:val="17"/>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6"/>
                <w:szCs w:val="16"/>
                <w:color w:val="auto"/>
              </w:rPr>
              <w:t>(27,616)</w:t>
            </w:r>
          </w:p>
        </w:tc>
        <w:tc>
          <w:tcPr>
            <w:tcW w:w="16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w w:val="93"/>
              </w:rPr>
              <w:t>(31,660)</w:t>
            </w:r>
          </w:p>
        </w:tc>
      </w:tr>
      <w:tr>
        <w:trPr>
          <w:trHeight w:val="25"/>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2"/>
        </w:trPr>
        <w:tc>
          <w:tcPr>
            <w:tcW w:w="20" w:type="dxa"/>
            <w:vAlign w:val="bottom"/>
          </w:tcPr>
          <w:p>
            <w:pPr>
              <w:spacing w:after="0"/>
              <w:rPr>
                <w:sz w:val="17"/>
                <w:szCs w:val="17"/>
                <w:color w:val="auto"/>
              </w:rPr>
            </w:pPr>
          </w:p>
        </w:tc>
        <w:tc>
          <w:tcPr>
            <w:tcW w:w="42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Net Interest (Expense)</w:t>
            </w:r>
          </w:p>
        </w:tc>
        <w:tc>
          <w:tcPr>
            <w:tcW w:w="2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(10,833)</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w w:val="93"/>
              </w:rPr>
              <w:t>(14,707)</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(26,198)</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3"/>
              </w:rPr>
              <w:t>(29,678)</w:t>
            </w:r>
          </w:p>
        </w:tc>
      </w:tr>
      <w:tr>
        <w:trPr>
          <w:trHeight w:val="202"/>
        </w:trPr>
        <w:tc>
          <w:tcPr>
            <w:tcW w:w="20" w:type="dxa"/>
            <w:vAlign w:val="bottom"/>
          </w:tcPr>
          <w:p>
            <w:pPr>
              <w:spacing w:after="0"/>
              <w:rPr>
                <w:sz w:val="17"/>
                <w:szCs w:val="17"/>
                <w:color w:val="auto"/>
              </w:rPr>
            </w:pPr>
          </w:p>
        </w:tc>
        <w:tc>
          <w:tcPr>
            <w:tcW w:w="4280" w:type="dxa"/>
            <w:vAlign w:val="bottom"/>
            <w:gridSpan w:val="2"/>
          </w:tcPr>
          <w:p>
            <w:pPr>
              <w:spacing w:after="0"/>
              <w:rPr>
                <w:sz w:val="20"/>
                <w:szCs w:val="20"/>
                <w:color w:val="auto"/>
              </w:rPr>
            </w:pPr>
            <w:r>
              <w:rPr>
                <w:rFonts w:ascii="Arial" w:cs="Arial" w:eastAsia="Arial" w:hAnsi="Arial"/>
                <w:sz w:val="16"/>
                <w:szCs w:val="16"/>
                <w:color w:val="auto"/>
              </w:rPr>
              <w:t>Other Revenue</w:t>
            </w:r>
          </w:p>
        </w:tc>
        <w:tc>
          <w:tcPr>
            <w:tcW w:w="2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(2,297)</w:t>
            </w: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12,670</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9,491</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16,981</w:t>
            </w:r>
          </w:p>
        </w:tc>
        <w:tc>
          <w:tcPr>
            <w:tcW w:w="120" w:type="dxa"/>
            <w:vAlign w:val="bottom"/>
          </w:tcPr>
          <w:p>
            <w:pPr>
              <w:spacing w:after="0"/>
              <w:rPr>
                <w:sz w:val="17"/>
                <w:szCs w:val="17"/>
                <w:color w:val="auto"/>
              </w:rPr>
            </w:pPr>
          </w:p>
        </w:tc>
      </w:tr>
      <w:tr>
        <w:trPr>
          <w:trHeight w:val="25"/>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2"/>
        </w:trPr>
        <w:tc>
          <w:tcPr>
            <w:tcW w:w="20" w:type="dxa"/>
            <w:vAlign w:val="bottom"/>
          </w:tcPr>
          <w:p>
            <w:pPr>
              <w:spacing w:after="0"/>
              <w:rPr>
                <w:sz w:val="17"/>
                <w:szCs w:val="17"/>
                <w:color w:val="auto"/>
              </w:rPr>
            </w:pPr>
          </w:p>
        </w:tc>
        <w:tc>
          <w:tcPr>
            <w:tcW w:w="42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Net Revenue (Expense)</w:t>
            </w:r>
          </w:p>
        </w:tc>
        <w:tc>
          <w:tcPr>
            <w:tcW w:w="2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(13,130)</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(2,037)</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(16,707)</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3"/>
              </w:rPr>
              <w:t>(12,697)</w:t>
            </w:r>
          </w:p>
        </w:tc>
      </w:tr>
      <w:tr>
        <w:trPr>
          <w:trHeight w:val="208"/>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6"/>
                <w:szCs w:val="16"/>
                <w:color w:val="auto"/>
              </w:rPr>
              <w:t>Operating Expenses (a)</w:t>
            </w:r>
          </w:p>
        </w:tc>
        <w:tc>
          <w:tcPr>
            <w:tcW w:w="2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963,456</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28,875</w:t>
            </w:r>
          </w:p>
        </w:tc>
        <w:tc>
          <w:tcPr>
            <w:tcW w:w="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1,041,815</w:t>
            </w:r>
          </w:p>
        </w:tc>
        <w:tc>
          <w:tcPr>
            <w:tcW w:w="4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33,919</w:t>
            </w:r>
          </w:p>
        </w:tc>
        <w:tc>
          <w:tcPr>
            <w:tcW w:w="1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Loss</w:t>
            </w:r>
          </w:p>
        </w:tc>
        <w:tc>
          <w:tcPr>
            <w:tcW w:w="24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6"/>
              </w:rPr>
              <w:t>(976,586)</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w w:val="93"/>
              </w:rPr>
              <w:t>(30,912)</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w w:val="95"/>
              </w:rPr>
              <w:t>(1,058,522)</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3"/>
              </w:rPr>
              <w:t>(46,616)</w:t>
            </w: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92"/>
        </w:trPr>
        <w:tc>
          <w:tcPr>
            <w:tcW w:w="20" w:type="dxa"/>
            <w:vAlign w:val="bottom"/>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316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r>
    </w:tbl>
    <w:p>
      <w:pPr>
        <w:spacing w:after="0" w:line="17" w:lineRule="exact"/>
        <w:rPr>
          <w:sz w:val="20"/>
          <w:szCs w:val="20"/>
          <w:color w:val="auto"/>
        </w:rPr>
      </w:pPr>
    </w:p>
    <w:p>
      <w:pPr>
        <w:ind w:left="460" w:right="80" w:hanging="459"/>
        <w:spacing w:after="0" w:line="306" w:lineRule="auto"/>
        <w:tabs>
          <w:tab w:leader="none" w:pos="4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Includes, (i) in the six months ended June 30, 2015, $60,219 relating to the redemption of a substantial majority of the Company’s 2017 Notes, (ii) in the three month and six month periods ended June 30, 2015, $961,948 and $968,483, respectively, relating to the provision pursuant to the tax receivable agreement, and (iii) in the three month and six month periods ended June 30, 2014, $9,240 relating to the provision pursuant to the tax receivable agreement.</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Corporate Results of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Corporate operating results in any particular quarter or period may not be indicative of future results and may fluctuate based on a variety of factors.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Lazard management believes that annual results are the most meaningful basis for comparison among present, historical and future periods.</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Three Months Ended June 30, 2015 versus June 30, 2014</w:t>
      </w:r>
    </w:p>
    <w:p>
      <w:pPr>
        <w:spacing w:after="0" w:line="94" w:lineRule="exact"/>
        <w:rPr>
          <w:sz w:val="20"/>
          <w:szCs w:val="20"/>
          <w:color w:val="auto"/>
        </w:rPr>
      </w:pPr>
    </w:p>
    <w:p>
      <w:pPr>
        <w:ind w:right="60" w:firstLine="457"/>
        <w:spacing w:after="0" w:line="296" w:lineRule="auto"/>
        <w:rPr>
          <w:sz w:val="20"/>
          <w:szCs w:val="20"/>
          <w:color w:val="auto"/>
        </w:rPr>
      </w:pPr>
      <w:r>
        <w:rPr>
          <w:rFonts w:ascii="Arial" w:cs="Arial" w:eastAsia="Arial" w:hAnsi="Arial"/>
          <w:sz w:val="16"/>
          <w:szCs w:val="16"/>
          <w:color w:val="auto"/>
        </w:rPr>
        <w:t>Net interest expense decreased by $4 million, or 26%, as compared to the 2014 period, primarily due to the redemption of $450 million of the 2017 Notes and Lazard Group’s issuance of $400 million of 3.75% senior notes due 2025 (the “2025 Notes”).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revenue decreased $15 million as compared to the 2014 period, primarily due to investment losses in LFI.</w:t>
      </w:r>
    </w:p>
    <w:p>
      <w:pPr>
        <w:spacing w:after="0" w:line="170" w:lineRule="exact"/>
        <w:rPr>
          <w:sz w:val="20"/>
          <w:szCs w:val="20"/>
          <w:color w:val="auto"/>
        </w:rPr>
      </w:pPr>
    </w:p>
    <w:p>
      <w:pPr>
        <w:ind w:right="260" w:firstLine="457"/>
        <w:spacing w:after="0" w:line="280" w:lineRule="auto"/>
        <w:rPr>
          <w:sz w:val="20"/>
          <w:szCs w:val="20"/>
          <w:color w:val="auto"/>
        </w:rPr>
      </w:pPr>
      <w:r>
        <w:rPr>
          <w:rFonts w:ascii="Arial" w:cs="Arial" w:eastAsia="Arial" w:hAnsi="Arial"/>
          <w:sz w:val="16"/>
          <w:szCs w:val="16"/>
          <w:color w:val="auto"/>
        </w:rPr>
        <w:t>Operating expenses increased $935 million as compared to the 2014 period, and included, in the 2015 and 2014 periods, charges of $962 million and $9 million, respectively, related to the provision pursuant to the tax receivable agreement. Excluding the impact of such charges, operating expenses decreased $18 million, primarily relating to decreased compensation and benefits expense relating to deferred compensation plans.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440" w:right="23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Six Months Ended June 30, 2015 versus June 30, 2014</w:t>
      </w:r>
    </w:p>
    <w:p>
      <w:pPr>
        <w:spacing w:after="0" w:line="94" w:lineRule="exact"/>
        <w:rPr>
          <w:sz w:val="20"/>
          <w:szCs w:val="20"/>
          <w:color w:val="auto"/>
        </w:rPr>
      </w:pPr>
    </w:p>
    <w:p>
      <w:pPr>
        <w:ind w:right="320" w:firstLine="457"/>
        <w:spacing w:after="0" w:line="296" w:lineRule="auto"/>
        <w:rPr>
          <w:sz w:val="20"/>
          <w:szCs w:val="20"/>
          <w:color w:val="auto"/>
        </w:rPr>
      </w:pPr>
      <w:r>
        <w:rPr>
          <w:rFonts w:ascii="Arial" w:cs="Arial" w:eastAsia="Arial" w:hAnsi="Arial"/>
          <w:sz w:val="16"/>
          <w:szCs w:val="16"/>
          <w:color w:val="auto"/>
        </w:rPr>
        <w:t>Net interest expense decreased by $3 million, or 12%, as compared to the 2014 period, primarily due to the redemption of $450 million of the 2017 Notes and the issuance of the 2025 Notes.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Other revenue decreased $7 million as compared to the 2014 period, primarily due to lower investment gains recorded in connection with LFI and other investments.</w:t>
      </w:r>
    </w:p>
    <w:p>
      <w:pPr>
        <w:spacing w:after="0" w:line="182" w:lineRule="exact"/>
        <w:rPr>
          <w:sz w:val="20"/>
          <w:szCs w:val="20"/>
          <w:color w:val="auto"/>
        </w:rPr>
      </w:pPr>
    </w:p>
    <w:p>
      <w:pPr>
        <w:ind w:right="80" w:firstLine="457"/>
        <w:spacing w:after="0" w:line="274" w:lineRule="auto"/>
        <w:rPr>
          <w:sz w:val="20"/>
          <w:szCs w:val="20"/>
          <w:color w:val="auto"/>
        </w:rPr>
      </w:pPr>
      <w:r>
        <w:rPr>
          <w:rFonts w:ascii="Arial" w:cs="Arial" w:eastAsia="Arial" w:hAnsi="Arial"/>
          <w:sz w:val="16"/>
          <w:szCs w:val="16"/>
          <w:color w:val="auto"/>
        </w:rPr>
        <w:t>Operating expenses increased $1,008 million as compared to the 2014 period, including, (i) in the 2015 period, a charge of $60 million related to the redemption of a substantial majority of the Company’s 2017 Notes and (ii) in the 2015 and 2014 periods, $968 million and $9 million, respectively, relating to the provision pursuant to the tax receivable agreement. Excluding the impact of such charges, operating expenses decreased $12 million compared to the 2014 period. The decrease was primarily related to decreased compensation and benefits expense related to deferred compensation plans.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98" w:lineRule="exact"/>
        <w:rPr>
          <w:sz w:val="20"/>
          <w:szCs w:val="20"/>
          <w:color w:val="auto"/>
        </w:rPr>
      </w:pPr>
    </w:p>
    <w:p>
      <w:pPr>
        <w:ind w:right="60" w:firstLine="457"/>
        <w:spacing w:after="0" w:line="294" w:lineRule="auto"/>
        <w:rPr>
          <w:sz w:val="20"/>
          <w:szCs w:val="20"/>
          <w:color w:val="auto"/>
        </w:rPr>
      </w:pPr>
      <w:r>
        <w:rPr>
          <w:rFonts w:ascii="Arial" w:cs="Arial" w:eastAsia="Arial" w:hAnsi="Arial"/>
          <w:sz w:val="15"/>
          <w:szCs w:val="15"/>
          <w:color w:val="auto"/>
        </w:rPr>
        <w:t>The Company’s cash flows are influenced primarily by the timing of the receipt of Financial Advisory and Asset Management fees, the timing of distributions to shareholders, payments of incentive compensation to managing directors and employees and purchases of Class A common stock. Cash flows also were affected in the 2015 period by the redemption of $450 million of the 2017 Notes and the issuance of the 2025 Notes. M&amp;A and Other Advisory and Asset Management fees are generally collected within 60 days of billing, while Restructuring fee collections may extend beyond 60 days, particularly those that involve bankruptcies with court-ordered holdbacks. Fees from our Private Fund Advisory activities are generally collected over a four-year period from billing and typically include an interest component.</w:t>
      </w:r>
    </w:p>
    <w:p>
      <w:pPr>
        <w:spacing w:after="0" w:line="108" w:lineRule="exact"/>
        <w:rPr>
          <w:sz w:val="20"/>
          <w:szCs w:val="20"/>
          <w:color w:val="auto"/>
        </w:rPr>
      </w:pPr>
    </w:p>
    <w:p>
      <w:pPr>
        <w:ind w:right="180" w:firstLine="457"/>
        <w:spacing w:after="0" w:line="280" w:lineRule="auto"/>
        <w:rPr>
          <w:sz w:val="20"/>
          <w:szCs w:val="20"/>
          <w:color w:val="auto"/>
        </w:rPr>
      </w:pPr>
      <w:r>
        <w:rPr>
          <w:rFonts w:ascii="Arial" w:cs="Arial" w:eastAsia="Arial" w:hAnsi="Arial"/>
          <w:sz w:val="16"/>
          <w:szCs w:val="16"/>
          <w:color w:val="auto"/>
        </w:rPr>
        <w:t>The Company makes cash payments for, or in respect of, a significant portion of its incentive compensation during the first three months of each calendar year with respect to the prior year’s results. In addition, during the 2014 period, the Company made cash payments, including severance payments, associated with cost saving initiatives. The Company also paid a special dividend in February 2015.</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Cash Flows: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88"/>
              </w:rPr>
              <w:t>Six Months Ended</w:t>
            </w: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center"/>
              <w:ind w:left="303"/>
              <w:spacing w:after="0"/>
              <w:rPr>
                <w:sz w:val="20"/>
                <w:szCs w:val="20"/>
                <w:color w:val="auto"/>
              </w:rPr>
            </w:pPr>
            <w:r>
              <w:rPr>
                <w:rFonts w:ascii="Arial" w:cs="Arial" w:eastAsia="Arial" w:hAnsi="Arial"/>
                <w:sz w:val="13"/>
                <w:szCs w:val="13"/>
                <w:b w:val="1"/>
                <w:bCs w:val="1"/>
                <w:color w:val="auto"/>
                <w:w w:val="84"/>
              </w:rPr>
              <w:t>June 30,</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76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63"/>
              <w:spacing w:after="0" w:line="132" w:lineRule="exact"/>
              <w:rPr>
                <w:sz w:val="20"/>
                <w:szCs w:val="20"/>
                <w:color w:val="auto"/>
              </w:rPr>
            </w:pPr>
            <w:r>
              <w:rPr>
                <w:rFonts w:ascii="Arial" w:cs="Arial" w:eastAsia="Arial" w:hAnsi="Arial"/>
                <w:sz w:val="13"/>
                <w:szCs w:val="13"/>
                <w:b w:val="1"/>
                <w:bCs w:val="1"/>
                <w:color w:val="auto"/>
              </w:rPr>
              <w:t>2015</w:t>
            </w:r>
          </w:p>
        </w:tc>
        <w:tc>
          <w:tcPr>
            <w:tcW w:w="4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59"/>
              <w:spacing w:after="0" w:line="132" w:lineRule="exact"/>
              <w:rPr>
                <w:sz w:val="20"/>
                <w:szCs w:val="20"/>
                <w:color w:val="auto"/>
              </w:rPr>
            </w:pPr>
            <w:r>
              <w:rPr>
                <w:rFonts w:ascii="Arial" w:cs="Arial" w:eastAsia="Arial" w:hAnsi="Arial"/>
                <w:sz w:val="13"/>
                <w:szCs w:val="13"/>
                <w:b w:val="1"/>
                <w:bCs w:val="1"/>
                <w:color w:val="auto"/>
                <w:w w:val="96"/>
              </w:rPr>
              <w:t>2014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6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3"/>
          </w:tcPr>
          <w:p>
            <w:pPr>
              <w:jc w:val="center"/>
              <w:ind w:left="303"/>
              <w:spacing w:after="0" w:line="144" w:lineRule="exact"/>
              <w:rPr>
                <w:sz w:val="20"/>
                <w:szCs w:val="20"/>
                <w:color w:val="auto"/>
              </w:rPr>
            </w:pPr>
            <w:r>
              <w:rPr>
                <w:rFonts w:ascii="Arial" w:cs="Arial" w:eastAsia="Arial" w:hAnsi="Arial"/>
                <w:sz w:val="13"/>
                <w:szCs w:val="13"/>
                <w:b w:val="1"/>
                <w:bCs w:val="1"/>
                <w:color w:val="auto"/>
                <w:w w:val="90"/>
              </w:rPr>
              <w:t>($ in millions)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7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Provided By (Used In):</w:t>
            </w:r>
          </w:p>
        </w:tc>
        <w:tc>
          <w:tcPr>
            <w:tcW w:w="1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60" w:type="dxa"/>
            <w:vAlign w:val="bottom"/>
          </w:tcPr>
          <w:p>
            <w:pPr>
              <w:ind w:left="400"/>
              <w:spacing w:after="0"/>
              <w:rPr>
                <w:sz w:val="20"/>
                <w:szCs w:val="20"/>
                <w:color w:val="auto"/>
              </w:rPr>
            </w:pPr>
            <w:r>
              <w:rPr>
                <w:rFonts w:ascii="Arial" w:cs="Arial" w:eastAsia="Arial" w:hAnsi="Arial"/>
                <w:sz w:val="16"/>
                <w:szCs w:val="16"/>
                <w:color w:val="auto"/>
              </w:rPr>
              <w:t>Operating activities:</w:t>
            </w: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Net income</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437.8</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171.3</w:t>
            </w:r>
          </w:p>
        </w:tc>
        <w:tc>
          <w:tcPr>
            <w:tcW w:w="0" w:type="dxa"/>
            <w:vAlign w:val="bottom"/>
          </w:tcPr>
          <w:p>
            <w:pPr>
              <w:spacing w:after="0"/>
              <w:rPr>
                <w:sz w:val="1"/>
                <w:szCs w:val="1"/>
                <w:color w:val="auto"/>
              </w:rPr>
            </w:pPr>
          </w:p>
        </w:tc>
      </w:tr>
      <w:tr>
        <w:trPr>
          <w:trHeight w:val="202"/>
        </w:trPr>
        <w:tc>
          <w:tcPr>
            <w:tcW w:w="7660" w:type="dxa"/>
            <w:vAlign w:val="bottom"/>
          </w:tcPr>
          <w:p>
            <w:pPr>
              <w:ind w:left="400"/>
              <w:spacing w:after="0"/>
              <w:rPr>
                <w:sz w:val="20"/>
                <w:szCs w:val="20"/>
                <w:color w:val="auto"/>
              </w:rPr>
            </w:pPr>
            <w:r>
              <w:rPr>
                <w:rFonts w:ascii="Arial" w:cs="Arial" w:eastAsia="Arial" w:hAnsi="Arial"/>
                <w:sz w:val="16"/>
                <w:szCs w:val="16"/>
                <w:color w:val="auto"/>
              </w:rPr>
              <w:t>Adjustments to reconcile net income to net cash provided by operating activities (a)</w:t>
            </w: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(0.8)</w:t>
            </w:r>
          </w:p>
        </w:tc>
        <w:tc>
          <w:tcPr>
            <w:tcW w:w="22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189.1</w:t>
            </w:r>
          </w:p>
        </w:tc>
        <w:tc>
          <w:tcPr>
            <w:tcW w:w="0" w:type="dxa"/>
            <w:vAlign w:val="bottom"/>
          </w:tcPr>
          <w:p>
            <w:pPr>
              <w:spacing w:after="0"/>
              <w:rPr>
                <w:sz w:val="1"/>
                <w:szCs w:val="1"/>
                <w:color w:val="auto"/>
              </w:rPr>
            </w:pPr>
          </w:p>
        </w:tc>
      </w:tr>
      <w:tr>
        <w:trPr>
          <w:trHeight w:val="202"/>
        </w:trPr>
        <w:tc>
          <w:tcPr>
            <w:tcW w:w="76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Other operating activities (b)</w:t>
            </w:r>
          </w:p>
        </w:tc>
        <w:tc>
          <w:tcPr>
            <w:tcW w:w="1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(225.7)</w:t>
            </w:r>
          </w:p>
        </w:tc>
        <w:tc>
          <w:tcPr>
            <w:tcW w:w="2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(230.8)</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820"/>
              <w:spacing w:after="0"/>
              <w:rPr>
                <w:sz w:val="20"/>
                <w:szCs w:val="20"/>
                <w:color w:val="auto"/>
              </w:rPr>
            </w:pPr>
            <w:r>
              <w:rPr>
                <w:rFonts w:ascii="Arial" w:cs="Arial" w:eastAsia="Arial" w:hAnsi="Arial"/>
                <w:sz w:val="16"/>
                <w:szCs w:val="16"/>
                <w:color w:val="auto"/>
              </w:rPr>
              <w:t>Net cash provided by operating activities</w:t>
            </w:r>
          </w:p>
        </w:tc>
        <w:tc>
          <w:tcPr>
            <w:tcW w:w="1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660" w:type="dxa"/>
            <w:vAlign w:val="bottom"/>
            <w:vMerge w:val="continue"/>
          </w:tcPr>
          <w:p>
            <w:pPr>
              <w:spacing w:after="0"/>
              <w:rPr>
                <w:sz w:val="17"/>
                <w:szCs w:val="17"/>
                <w:color w:val="auto"/>
              </w:rPr>
            </w:pP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211.3</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129.6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76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Investing activities</w:t>
            </w:r>
          </w:p>
        </w:tc>
        <w:tc>
          <w:tcPr>
            <w:tcW w:w="1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(13.1)</w:t>
            </w:r>
          </w:p>
        </w:tc>
        <w:tc>
          <w:tcPr>
            <w:tcW w:w="2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2"/>
        </w:trPr>
        <w:tc>
          <w:tcPr>
            <w:tcW w:w="7660" w:type="dxa"/>
            <w:vAlign w:val="bottom"/>
          </w:tcPr>
          <w:p>
            <w:pPr>
              <w:ind w:left="400"/>
              <w:spacing w:after="0"/>
              <w:rPr>
                <w:sz w:val="20"/>
                <w:szCs w:val="20"/>
                <w:color w:val="auto"/>
              </w:rPr>
            </w:pPr>
            <w:r>
              <w:rPr>
                <w:rFonts w:ascii="Arial" w:cs="Arial" w:eastAsia="Arial" w:hAnsi="Arial"/>
                <w:sz w:val="16"/>
                <w:szCs w:val="16"/>
                <w:color w:val="auto"/>
              </w:rPr>
              <w:t>Financing activities (c)</w:t>
            </w: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(540.8)</w:t>
            </w:r>
          </w:p>
        </w:tc>
        <w:tc>
          <w:tcPr>
            <w:tcW w:w="22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(283.9)</w:t>
            </w:r>
          </w:p>
        </w:tc>
        <w:tc>
          <w:tcPr>
            <w:tcW w:w="0" w:type="dxa"/>
            <w:vAlign w:val="bottom"/>
          </w:tcPr>
          <w:p>
            <w:pPr>
              <w:spacing w:after="0"/>
              <w:rPr>
                <w:sz w:val="1"/>
                <w:szCs w:val="1"/>
                <w:color w:val="auto"/>
              </w:rPr>
            </w:pPr>
          </w:p>
        </w:tc>
      </w:tr>
      <w:tr>
        <w:trPr>
          <w:trHeight w:val="202"/>
        </w:trPr>
        <w:tc>
          <w:tcPr>
            <w:tcW w:w="76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Effect of exchange rate changes</w:t>
            </w:r>
          </w:p>
        </w:tc>
        <w:tc>
          <w:tcPr>
            <w:tcW w:w="1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(22.8)</w:t>
            </w:r>
          </w:p>
        </w:tc>
        <w:tc>
          <w:tcPr>
            <w:tcW w:w="2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6"/>
                <w:szCs w:val="16"/>
                <w:b w:val="1"/>
                <w:bCs w:val="1"/>
                <w:color w:val="auto"/>
              </w:rPr>
              <w:t>Net Decrease in Cash and Cash Equivalents</w:t>
            </w:r>
          </w:p>
        </w:tc>
        <w:tc>
          <w:tcPr>
            <w:tcW w:w="1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660" w:type="dxa"/>
            <w:vAlign w:val="bottom"/>
            <w:vMerge w:val="continue"/>
          </w:tcPr>
          <w:p>
            <w:pPr>
              <w:spacing w:after="0"/>
              <w:rPr>
                <w:sz w:val="17"/>
                <w:szCs w:val="17"/>
                <w:color w:val="auto"/>
              </w:rPr>
            </w:pP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(365.4)</w:t>
            </w:r>
          </w:p>
        </w:tc>
        <w:tc>
          <w:tcPr>
            <w:tcW w:w="22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(157.0)</w:t>
            </w:r>
          </w:p>
        </w:tc>
        <w:tc>
          <w:tcPr>
            <w:tcW w:w="0" w:type="dxa"/>
            <w:vAlign w:val="bottom"/>
          </w:tcPr>
          <w:p>
            <w:pPr>
              <w:spacing w:after="0"/>
              <w:rPr>
                <w:sz w:val="1"/>
                <w:szCs w:val="1"/>
                <w:color w:val="auto"/>
              </w:rPr>
            </w:pPr>
          </w:p>
        </w:tc>
      </w:tr>
      <w:tr>
        <w:trPr>
          <w:trHeight w:val="205"/>
        </w:trPr>
        <w:tc>
          <w:tcPr>
            <w:tcW w:w="7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and Cash Equivalents:</w:t>
            </w:r>
          </w:p>
        </w:tc>
        <w:tc>
          <w:tcPr>
            <w:tcW w:w="1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60" w:type="dxa"/>
            <w:vAlign w:val="bottom"/>
          </w:tcPr>
          <w:p>
            <w:pPr>
              <w:ind w:left="400"/>
              <w:spacing w:after="0"/>
              <w:rPr>
                <w:sz w:val="20"/>
                <w:szCs w:val="20"/>
                <w:color w:val="auto"/>
              </w:rPr>
            </w:pPr>
            <w:r>
              <w:rPr>
                <w:rFonts w:ascii="Arial" w:cs="Arial" w:eastAsia="Arial" w:hAnsi="Arial"/>
                <w:sz w:val="16"/>
                <w:szCs w:val="16"/>
                <w:b w:val="1"/>
                <w:bCs w:val="1"/>
                <w:color w:val="auto"/>
              </w:rPr>
              <w:t>Beginning of Period</w:t>
            </w: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1,066.6</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841.5</w:t>
            </w:r>
          </w:p>
        </w:tc>
        <w:tc>
          <w:tcPr>
            <w:tcW w:w="0" w:type="dxa"/>
            <w:vAlign w:val="bottom"/>
          </w:tcPr>
          <w:p>
            <w:pPr>
              <w:spacing w:after="0"/>
              <w:rPr>
                <w:sz w:val="1"/>
                <w:szCs w:val="1"/>
                <w:color w:val="auto"/>
              </w:rPr>
            </w:pPr>
          </w:p>
        </w:tc>
      </w:tr>
      <w:tr>
        <w:trPr>
          <w:trHeight w:val="25"/>
        </w:trPr>
        <w:tc>
          <w:tcPr>
            <w:tcW w:w="76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7660" w:type="dxa"/>
            <w:vAlign w:val="bottom"/>
            <w:shd w:val="clear" w:color="auto" w:fill="CCEEFF"/>
          </w:tcPr>
          <w:p>
            <w:pPr>
              <w:ind w:left="400"/>
              <w:spacing w:after="0"/>
              <w:rPr>
                <w:sz w:val="20"/>
                <w:szCs w:val="20"/>
                <w:color w:val="auto"/>
              </w:rPr>
            </w:pPr>
            <w:r>
              <w:rPr>
                <w:rFonts w:ascii="Arial" w:cs="Arial" w:eastAsia="Arial" w:hAnsi="Arial"/>
                <w:sz w:val="16"/>
                <w:szCs w:val="16"/>
                <w:b w:val="1"/>
                <w:bCs w:val="1"/>
                <w:color w:val="auto"/>
              </w:rPr>
              <w:t>End of Period</w:t>
            </w:r>
          </w:p>
        </w:tc>
        <w:tc>
          <w:tcPr>
            <w:tcW w:w="17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701.2</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684.5</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5640"/>
              <w:spacing w:after="0"/>
              <w:rPr>
                <w:sz w:val="20"/>
                <w:szCs w:val="20"/>
                <w:color w:val="auto"/>
              </w:rPr>
            </w:pPr>
            <w:r>
              <w:rPr>
                <w:rFonts w:ascii="Arial" w:cs="Arial" w:eastAsia="Arial" w:hAnsi="Arial"/>
                <w:sz w:val="16"/>
                <w:szCs w:val="16"/>
                <w:color w:val="auto"/>
              </w:rPr>
              <w:t>64</w:t>
            </w:r>
          </w:p>
        </w:tc>
        <w:tc>
          <w:tcPr>
            <w:tcW w:w="1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766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0" w:right="23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255270</wp:posOffset>
            </wp:positionV>
            <wp:extent cx="7232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00" w:type="dxa"/>
            <w:vAlign w:val="bottom"/>
          </w:tcPr>
          <w:p>
            <w:pPr>
              <w:spacing w:after="0"/>
              <w:rPr>
                <w:sz w:val="20"/>
                <w:szCs w:val="20"/>
                <w:color w:val="auto"/>
              </w:rPr>
            </w:pPr>
            <w:r>
              <w:rPr>
                <w:rFonts w:ascii="Arial" w:cs="Arial" w:eastAsia="Arial" w:hAnsi="Arial"/>
                <w:sz w:val="16"/>
                <w:szCs w:val="16"/>
                <w:color w:val="auto"/>
              </w:rPr>
              <w:t>(a)</w:t>
            </w:r>
          </w:p>
        </w:tc>
        <w:tc>
          <w:tcPr>
            <w:tcW w:w="8760" w:type="dxa"/>
            <w:vAlign w:val="bottom"/>
          </w:tcPr>
          <w:p>
            <w:pPr>
              <w:ind w:left="160"/>
              <w:spacing w:after="0"/>
              <w:rPr>
                <w:sz w:val="20"/>
                <w:szCs w:val="20"/>
                <w:color w:val="auto"/>
              </w:rPr>
            </w:pPr>
            <w:r>
              <w:rPr>
                <w:rFonts w:ascii="Arial" w:cs="Arial" w:eastAsia="Arial" w:hAnsi="Arial"/>
                <w:sz w:val="16"/>
                <w:szCs w:val="16"/>
                <w:color w:val="auto"/>
              </w:rPr>
              <w:t>Consists of the following:</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9"/>
        </w:trPr>
        <w:tc>
          <w:tcPr>
            <w:tcW w:w="30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3"/>
          </w:tcPr>
          <w:p>
            <w:pPr>
              <w:jc w:val="center"/>
              <w:ind w:left="322"/>
              <w:spacing w:after="0"/>
              <w:rPr>
                <w:sz w:val="20"/>
                <w:szCs w:val="20"/>
                <w:color w:val="auto"/>
              </w:rPr>
            </w:pPr>
            <w:r>
              <w:rPr>
                <w:rFonts w:ascii="Arial" w:cs="Arial" w:eastAsia="Arial" w:hAnsi="Arial"/>
                <w:sz w:val="13"/>
                <w:szCs w:val="13"/>
                <w:b w:val="1"/>
                <w:bCs w:val="1"/>
                <w:color w:val="auto"/>
                <w:w w:val="88"/>
              </w:rPr>
              <w:t>Six Months Ended</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00" w:type="dxa"/>
            <w:vAlign w:val="bottom"/>
          </w:tcPr>
          <w:p>
            <w:pPr>
              <w:spacing w:after="0"/>
              <w:rPr>
                <w:sz w:val="13"/>
                <w:szCs w:val="13"/>
                <w:color w:val="auto"/>
              </w:rPr>
            </w:pPr>
          </w:p>
        </w:tc>
        <w:tc>
          <w:tcPr>
            <w:tcW w:w="87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June 30,</w:t>
            </w: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rPr>
                <w:sz w:val="11"/>
                <w:szCs w:val="11"/>
                <w:color w:val="auto"/>
              </w:rPr>
            </w:pPr>
          </w:p>
        </w:tc>
        <w:tc>
          <w:tcPr>
            <w:tcW w:w="87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82"/>
              <w:spacing w:after="0" w:line="132" w:lineRule="exact"/>
              <w:rPr>
                <w:sz w:val="20"/>
                <w:szCs w:val="20"/>
                <w:color w:val="auto"/>
              </w:rPr>
            </w:pPr>
            <w:r>
              <w:rPr>
                <w:rFonts w:ascii="Arial" w:cs="Arial" w:eastAsia="Arial" w:hAnsi="Arial"/>
                <w:sz w:val="13"/>
                <w:szCs w:val="13"/>
                <w:b w:val="1"/>
                <w:bCs w:val="1"/>
                <w:color w:val="auto"/>
              </w:rPr>
              <w:t>2015</w:t>
            </w:r>
          </w:p>
        </w:tc>
        <w:tc>
          <w:tcPr>
            <w:tcW w:w="7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80"/>
              <w:spacing w:after="0" w:line="132" w:lineRule="exact"/>
              <w:rPr>
                <w:sz w:val="20"/>
                <w:szCs w:val="20"/>
                <w:color w:val="auto"/>
              </w:rPr>
            </w:pPr>
            <w:r>
              <w:rPr>
                <w:rFonts w:ascii="Arial" w:cs="Arial" w:eastAsia="Arial" w:hAnsi="Arial"/>
                <w:sz w:val="13"/>
                <w:szCs w:val="13"/>
                <w:b w:val="1"/>
                <w:bCs w:val="1"/>
                <w:color w:val="auto"/>
              </w:rPr>
              <w:t>2014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 in millions)</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300" w:type="dxa"/>
            <w:vAlign w:val="bottom"/>
            <w:shd w:val="clear" w:color="auto" w:fill="CCEEFF"/>
          </w:tcPr>
          <w:p>
            <w:pPr>
              <w:spacing w:after="0"/>
              <w:rPr>
                <w:sz w:val="17"/>
                <w:szCs w:val="17"/>
                <w:color w:val="auto"/>
              </w:rPr>
            </w:pPr>
          </w:p>
        </w:tc>
        <w:tc>
          <w:tcPr>
            <w:tcW w:w="8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Depreciation and amortization of property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8760" w:type="dxa"/>
            <w:vAlign w:val="bottom"/>
          </w:tcPr>
          <w:p>
            <w:pPr>
              <w:ind w:left="100"/>
              <w:spacing w:after="0"/>
              <w:rPr>
                <w:sz w:val="20"/>
                <w:szCs w:val="20"/>
                <w:color w:val="auto"/>
              </w:rPr>
            </w:pPr>
            <w:r>
              <w:rPr>
                <w:rFonts w:ascii="Arial" w:cs="Arial" w:eastAsia="Arial" w:hAnsi="Arial"/>
                <w:sz w:val="16"/>
                <w:szCs w:val="16"/>
                <w:color w:val="auto"/>
              </w:rPr>
              <w:t>Amortization of deferred expenses and stock units</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171.4</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158.0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0" w:type="dxa"/>
            <w:vAlign w:val="bottom"/>
            <w:shd w:val="clear" w:color="auto" w:fill="CCEEFF"/>
          </w:tcPr>
          <w:p>
            <w:pPr>
              <w:spacing w:after="0"/>
              <w:rPr>
                <w:sz w:val="17"/>
                <w:szCs w:val="17"/>
                <w:color w:val="auto"/>
              </w:rPr>
            </w:pPr>
          </w:p>
        </w:tc>
        <w:tc>
          <w:tcPr>
            <w:tcW w:w="8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Amortization of intangible assets related to acquisitions</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8760" w:type="dxa"/>
            <w:vAlign w:val="bottom"/>
          </w:tcPr>
          <w:p>
            <w:pPr>
              <w:ind w:left="100"/>
              <w:spacing w:after="0"/>
              <w:rPr>
                <w:sz w:val="20"/>
                <w:szCs w:val="20"/>
                <w:color w:val="auto"/>
              </w:rPr>
            </w:pPr>
            <w:r>
              <w:rPr>
                <w:rFonts w:ascii="Arial" w:cs="Arial" w:eastAsia="Arial" w:hAnsi="Arial"/>
                <w:sz w:val="16"/>
                <w:szCs w:val="16"/>
                <w:color w:val="auto"/>
              </w:rPr>
              <w:t>Deferred tax provision (benefit)</w:t>
            </w:r>
          </w:p>
        </w:tc>
        <w:tc>
          <w:tcPr>
            <w:tcW w:w="140" w:type="dxa"/>
            <w:vAlign w:val="bottom"/>
          </w:tcPr>
          <w:p>
            <w:pPr>
              <w:spacing w:after="0"/>
              <w:rPr>
                <w:sz w:val="17"/>
                <w:szCs w:val="17"/>
                <w:color w:val="auto"/>
              </w:rPr>
            </w:pPr>
          </w:p>
        </w:tc>
        <w:tc>
          <w:tcPr>
            <w:tcW w:w="1380" w:type="dxa"/>
            <w:vAlign w:val="bottom"/>
            <w:gridSpan w:val="2"/>
          </w:tcPr>
          <w:p>
            <w:pPr>
              <w:jc w:val="right"/>
              <w:ind w:right="637"/>
              <w:spacing w:after="0"/>
              <w:rPr>
                <w:sz w:val="20"/>
                <w:szCs w:val="20"/>
                <w:color w:val="auto"/>
              </w:rPr>
            </w:pPr>
            <w:r>
              <w:rPr>
                <w:rFonts w:ascii="Arial" w:cs="Arial" w:eastAsia="Arial" w:hAnsi="Arial"/>
                <w:sz w:val="16"/>
                <w:szCs w:val="16"/>
                <w:color w:val="auto"/>
              </w:rPr>
              <w:t>(1,195.3)</w:t>
            </w: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0" w:type="dxa"/>
            <w:vAlign w:val="bottom"/>
            <w:shd w:val="clear" w:color="auto" w:fill="CCEEFF"/>
          </w:tcPr>
          <w:p>
            <w:pPr>
              <w:spacing w:after="0"/>
              <w:rPr>
                <w:sz w:val="17"/>
                <w:szCs w:val="17"/>
                <w:color w:val="auto"/>
              </w:rPr>
            </w:pPr>
          </w:p>
        </w:tc>
        <w:tc>
          <w:tcPr>
            <w:tcW w:w="8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Provision pursuant to tax receivable agreement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968.5</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8760" w:type="dxa"/>
            <w:vAlign w:val="bottom"/>
          </w:tcPr>
          <w:p>
            <w:pPr>
              <w:ind w:left="100"/>
              <w:spacing w:after="0"/>
              <w:rPr>
                <w:sz w:val="20"/>
                <w:szCs w:val="20"/>
                <w:color w:val="auto"/>
              </w:rPr>
            </w:pPr>
            <w:r>
              <w:rPr>
                <w:rFonts w:ascii="Arial" w:cs="Arial" w:eastAsia="Arial" w:hAnsi="Arial"/>
                <w:sz w:val="16"/>
                <w:szCs w:val="16"/>
                <w:color w:val="auto"/>
              </w:rPr>
              <w:t>Loss on extinguishment of debt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60.2</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00" w:type="dxa"/>
            <w:vAlign w:val="bottom"/>
            <w:shd w:val="clear" w:color="auto" w:fill="CCEEFF"/>
          </w:tcPr>
          <w:p>
            <w:pPr>
              <w:spacing w:after="0"/>
              <w:rPr>
                <w:sz w:val="17"/>
                <w:szCs w:val="17"/>
                <w:color w:val="auto"/>
              </w:rPr>
            </w:pPr>
          </w:p>
        </w:tc>
        <w:tc>
          <w:tcPr>
            <w:tcW w:w="8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Gain on disposal of subsidiaries</w:t>
            </w: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37"/>
              <w:spacing w:after="0"/>
              <w:rPr>
                <w:sz w:val="20"/>
                <w:szCs w:val="20"/>
                <w:color w:val="auto"/>
              </w:rPr>
            </w:pPr>
            <w:r>
              <w:rPr>
                <w:rFonts w:ascii="Arial" w:cs="Arial" w:eastAsia="Arial" w:hAnsi="Arial"/>
                <w:sz w:val="16"/>
                <w:szCs w:val="16"/>
                <w:color w:val="auto"/>
              </w:rPr>
              <w:t>(24.4)</w:t>
            </w: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760" w:type="dxa"/>
            <w:vAlign w:val="bottom"/>
            <w:vMerge w:val="restart"/>
          </w:tcPr>
          <w:p>
            <w:pPr>
              <w:ind w:left="10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00" w:type="dxa"/>
            <w:vAlign w:val="bottom"/>
          </w:tcPr>
          <w:p>
            <w:pPr>
              <w:spacing w:after="0"/>
              <w:rPr>
                <w:sz w:val="17"/>
                <w:szCs w:val="17"/>
                <w:color w:val="auto"/>
              </w:rPr>
            </w:pPr>
          </w:p>
        </w:tc>
        <w:tc>
          <w:tcPr>
            <w:tcW w:w="876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637"/>
              <w:spacing w:after="0"/>
              <w:rPr>
                <w:sz w:val="20"/>
                <w:szCs w:val="20"/>
                <w:color w:val="auto"/>
              </w:rPr>
            </w:pPr>
            <w:r>
              <w:rPr>
                <w:rFonts w:ascii="Arial" w:cs="Arial" w:eastAsia="Arial" w:hAnsi="Arial"/>
                <w:sz w:val="16"/>
                <w:szCs w:val="16"/>
                <w:color w:val="auto"/>
              </w:rPr>
              <w:t>(0.8)</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189.1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hanging="459"/>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net changes in operating assets and liabilities.</w:t>
      </w:r>
    </w:p>
    <w:p>
      <w:pPr>
        <w:spacing w:after="0" w:line="24" w:lineRule="exact"/>
        <w:rPr>
          <w:rFonts w:ascii="Arial" w:cs="Arial" w:eastAsia="Arial" w:hAnsi="Arial"/>
          <w:sz w:val="16"/>
          <w:szCs w:val="16"/>
          <w:color w:val="auto"/>
        </w:rPr>
      </w:pPr>
    </w:p>
    <w:p>
      <w:pPr>
        <w:ind w:left="460" w:right="240" w:hanging="459"/>
        <w:spacing w:after="0" w:line="276"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Consists primarily of purchases of shares of Class A common stock, tax withholdings related to the settlement of vested restricted stock units (“RSUs”) and vested performance-based restricted stock units (“PRSUs”), Class A common stock dividends and distributions to noncontrolling interest holders, and activity relating to borrowings, including, in 2015, the redemption of a majority of the Company’s 2017 Notes and issuance of the 2025 Notes.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liquidity and capital resources are derived from operating activities, financing activities and equity offerings.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94" w:lineRule="exact"/>
        <w:rPr>
          <w:sz w:val="20"/>
          <w:szCs w:val="20"/>
          <w:color w:val="auto"/>
        </w:rPr>
      </w:pPr>
    </w:p>
    <w:p>
      <w:pPr>
        <w:ind w:right="100" w:firstLine="457"/>
        <w:spacing w:after="0" w:line="296" w:lineRule="auto"/>
        <w:rPr>
          <w:sz w:val="20"/>
          <w:szCs w:val="20"/>
          <w:color w:val="auto"/>
        </w:rPr>
      </w:pPr>
      <w:r>
        <w:rPr>
          <w:rFonts w:ascii="Arial" w:cs="Arial" w:eastAsia="Arial" w:hAnsi="Arial"/>
          <w:sz w:val="16"/>
          <w:szCs w:val="16"/>
          <w:color w:val="auto"/>
        </w:rPr>
        <w:t>Net revenue, operating income and cash receipts fluctuate significantly between periods. In the case of Financial Advisory, fee receipts are generally dependent upon the successful completion of client transactions, the occurrence and timing of which is irregular and not subject to Lazard’s control.</w:t>
      </w:r>
    </w:p>
    <w:p>
      <w:pPr>
        <w:spacing w:after="0" w:line="103" w:lineRule="exact"/>
        <w:rPr>
          <w:sz w:val="20"/>
          <w:szCs w:val="20"/>
          <w:color w:val="auto"/>
        </w:rPr>
      </w:pPr>
    </w:p>
    <w:p>
      <w:pPr>
        <w:ind w:right="140" w:firstLine="457"/>
        <w:spacing w:after="0" w:line="274" w:lineRule="auto"/>
        <w:rPr>
          <w:sz w:val="20"/>
          <w:szCs w:val="20"/>
          <w:color w:val="auto"/>
        </w:rPr>
      </w:pPr>
      <w:r>
        <w:rPr>
          <w:rFonts w:ascii="Arial" w:cs="Arial" w:eastAsia="Arial" w:hAnsi="Arial"/>
          <w:sz w:val="16"/>
          <w:szCs w:val="16"/>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w:t>
      </w:r>
    </w:p>
    <w:p>
      <w:pPr>
        <w:spacing w:after="0" w:line="121" w:lineRule="exact"/>
        <w:rPr>
          <w:sz w:val="20"/>
          <w:szCs w:val="20"/>
          <w:color w:val="auto"/>
        </w:rPr>
      </w:pPr>
    </w:p>
    <w:p>
      <w:pPr>
        <w:ind w:right="160" w:firstLine="457"/>
        <w:spacing w:after="0" w:line="270" w:lineRule="auto"/>
        <w:rPr>
          <w:sz w:val="20"/>
          <w:szCs w:val="20"/>
          <w:color w:val="auto"/>
        </w:rPr>
      </w:pPr>
      <w:r>
        <w:rPr>
          <w:rFonts w:ascii="Arial" w:cs="Arial" w:eastAsia="Arial" w:hAnsi="Arial"/>
          <w:sz w:val="16"/>
          <w:szCs w:val="16"/>
          <w:color w:val="auto"/>
        </w:rPr>
        <w:t>Lazard’s condensed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stockholders’ equity. Foreign currency remeasurement gains and losses on transactions in non-functional currencies are included on the condensed consolidated statements of operations.</w:t>
      </w:r>
    </w:p>
    <w:p>
      <w:pPr>
        <w:spacing w:after="0" w:line="125" w:lineRule="exact"/>
        <w:rPr>
          <w:sz w:val="20"/>
          <w:szCs w:val="20"/>
          <w:color w:val="auto"/>
        </w:rPr>
      </w:pPr>
    </w:p>
    <w:p>
      <w:pPr>
        <w:ind w:right="280" w:firstLine="457"/>
        <w:spacing w:after="0" w:line="331" w:lineRule="auto"/>
        <w:rPr>
          <w:sz w:val="20"/>
          <w:szCs w:val="20"/>
          <w:color w:val="auto"/>
        </w:rPr>
      </w:pPr>
      <w:r>
        <w:rPr>
          <w:rFonts w:ascii="Arial" w:cs="Arial" w:eastAsia="Arial" w:hAnsi="Arial"/>
          <w:sz w:val="15"/>
          <w:szCs w:val="15"/>
          <w:color w:val="auto"/>
        </w:rPr>
        <w:t>We regularly monitor our liquidity position, including cash levels, credit lines, principal investment commitments, interest and principal payments on debt, capital expenditures, dividend payments, purchases of shares of Class A common stock and matters relating to liquidity and to compliance with regulatory net capital</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440" w:right="23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requirements. At June 30, 2015, Lazard had approximately $701 million of cash, with such amount including approximately $316 million held at Lazard’s operations outside the U.S. Since Lazard provides for U.S. income taxes on substantially all of its unrepatriated foreign earnings, we expect that no material amount of additional U.S. income taxes would be recognized upon receipt of dividends or distributions of such earnings from our foreign operations.</w:t>
      </w:r>
    </w:p>
    <w:p>
      <w:pPr>
        <w:spacing w:after="0" w:line="115" w:lineRule="exact"/>
        <w:rPr>
          <w:sz w:val="20"/>
          <w:szCs w:val="20"/>
          <w:color w:val="auto"/>
        </w:rPr>
      </w:pPr>
    </w:p>
    <w:p>
      <w:pPr>
        <w:ind w:right="180" w:firstLine="457"/>
        <w:spacing w:after="0" w:line="274" w:lineRule="auto"/>
        <w:rPr>
          <w:sz w:val="20"/>
          <w:szCs w:val="20"/>
          <w:color w:val="auto"/>
        </w:rPr>
      </w:pPr>
      <w:r>
        <w:rPr>
          <w:rFonts w:ascii="Arial" w:cs="Arial" w:eastAsia="Arial" w:hAnsi="Arial"/>
          <w:sz w:val="16"/>
          <w:szCs w:val="16"/>
          <w:color w:val="auto"/>
        </w:rPr>
        <w:t>We maintain lines of credit in excess of anticipated liquidity requirements. As of June 30, 2015, Lazard had approximately $247 million in unused lines of credit available to it, including a $150 million, three-year, senior revolving credit facility with a group of lenders (the “Credit Facility”) (see “—Financing Activities” below) and unused lines of credit available to LFB of approximately $39 million (at June 30, 2015 exchange rates) and Edgewater of $55 million. In addition, LFB has access to the Eurosystem Covered Bond Purchase Program of the Banque de France.</w:t>
      </w:r>
    </w:p>
    <w:p>
      <w:pPr>
        <w:spacing w:after="0" w:line="121" w:lineRule="exact"/>
        <w:rPr>
          <w:sz w:val="20"/>
          <w:szCs w:val="20"/>
          <w:color w:val="auto"/>
        </w:rPr>
      </w:pPr>
    </w:p>
    <w:p>
      <w:pPr>
        <w:ind w:firstLine="457"/>
        <w:spacing w:after="0" w:line="274" w:lineRule="auto"/>
        <w:rPr>
          <w:sz w:val="20"/>
          <w:szCs w:val="20"/>
          <w:color w:val="auto"/>
        </w:rPr>
      </w:pPr>
      <w:r>
        <w:rPr>
          <w:rFonts w:ascii="Arial" w:cs="Arial" w:eastAsia="Arial" w:hAnsi="Arial"/>
          <w:sz w:val="16"/>
          <w:szCs w:val="16"/>
          <w:color w:val="auto"/>
        </w:rPr>
        <w:t>The Credit Facility expires in September 2015 and contains customary terms and conditions, including limitations on consolidations, mergers, indebtedness and certain payments, as well as financial condition covenants relating to leverage and interest coverage ratios. Lazard Group’s obligations under the Credit Facility may be accelerated upon customary events of default, including non-payment of principal or interest, breaches of covenants, cross-defaults to other material debt, a change in control and specified bankruptcy events. The Company is currently discussing a potential renewal of the Credit Facility.</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94" w:lineRule="exact"/>
        <w:rPr>
          <w:sz w:val="20"/>
          <w:szCs w:val="20"/>
          <w:color w:val="auto"/>
        </w:rPr>
      </w:pPr>
    </w:p>
    <w:p>
      <w:pPr>
        <w:ind w:right="120" w:firstLine="457"/>
        <w:spacing w:after="0" w:line="296" w:lineRule="auto"/>
        <w:rPr>
          <w:sz w:val="20"/>
          <w:szCs w:val="20"/>
          <w:color w:val="auto"/>
        </w:rPr>
      </w:pPr>
      <w:r>
        <w:rPr>
          <w:rFonts w:ascii="Arial" w:cs="Arial" w:eastAsia="Arial" w:hAnsi="Arial"/>
          <w:sz w:val="16"/>
          <w:szCs w:val="16"/>
          <w:color w:val="auto"/>
        </w:rPr>
        <w:t>The table below sets forth our corporate indebtedness as of June 30, 2015 and December 31, 2014. The agreements with respect to this indebtedness are discussed in more detail in our condensed consolidated financial statements and related notes included elsewhere in this Form 10-Q and in our Form 10-K.</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880" w:type="dxa"/>
            <w:vAlign w:val="bottom"/>
            <w:gridSpan w:val="2"/>
            <w:vMerge w:val="restart"/>
          </w:tcPr>
          <w:p>
            <w:pPr>
              <w:jc w:val="right"/>
              <w:ind w:right="380"/>
              <w:spacing w:after="0"/>
              <w:rPr>
                <w:sz w:val="20"/>
                <w:szCs w:val="20"/>
                <w:color w:val="auto"/>
              </w:rPr>
            </w:pPr>
            <w:r>
              <w:rPr>
                <w:rFonts w:ascii="Arial" w:cs="Arial" w:eastAsia="Arial" w:hAnsi="Arial"/>
                <w:sz w:val="13"/>
                <w:szCs w:val="13"/>
                <w:b w:val="1"/>
                <w:bCs w:val="1"/>
                <w:color w:val="auto"/>
                <w:w w:val="94"/>
              </w:rPr>
              <w:t>Maturity</w:t>
            </w:r>
          </w:p>
        </w:tc>
        <w:tc>
          <w:tcPr>
            <w:tcW w:w="36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center"/>
              <w:ind w:left="10"/>
              <w:spacing w:after="0"/>
              <w:rPr>
                <w:sz w:val="20"/>
                <w:szCs w:val="20"/>
                <w:color w:val="auto"/>
              </w:rPr>
            </w:pPr>
            <w:r>
              <w:rPr>
                <w:rFonts w:ascii="Arial" w:cs="Arial" w:eastAsia="Arial" w:hAnsi="Arial"/>
                <w:sz w:val="13"/>
                <w:szCs w:val="13"/>
                <w:b w:val="1"/>
                <w:bCs w:val="1"/>
                <w:color w:val="auto"/>
                <w:w w:val="79"/>
              </w:rPr>
              <w:t>As of</w:t>
            </w:r>
          </w:p>
        </w:tc>
        <w:tc>
          <w:tcPr>
            <w:tcW w:w="540" w:type="dxa"/>
            <w:vAlign w:val="bottom"/>
            <w:tcBorders>
              <w:bottom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gridSpan w:val="3"/>
            <w:vMerge w:val="restart"/>
          </w:tcPr>
          <w:p>
            <w:pPr>
              <w:jc w:val="right"/>
              <w:ind w:right="160"/>
              <w:spacing w:after="0"/>
              <w:rPr>
                <w:sz w:val="20"/>
                <w:szCs w:val="20"/>
                <w:color w:val="auto"/>
              </w:rPr>
            </w:pPr>
            <w:r>
              <w:rPr>
                <w:rFonts w:ascii="Arial" w:cs="Arial" w:eastAsia="Arial" w:hAnsi="Arial"/>
                <w:sz w:val="13"/>
                <w:szCs w:val="13"/>
                <w:b w:val="1"/>
                <w:bCs w:val="1"/>
                <w:color w:val="auto"/>
                <w:w w:val="90"/>
              </w:rPr>
              <w:t>Increase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84"/>
              </w:rPr>
              <w:t>June 30,</w:t>
            </w:r>
          </w:p>
        </w:tc>
        <w:tc>
          <w:tcPr>
            <w:tcW w:w="740" w:type="dxa"/>
            <w:vAlign w:val="bottom"/>
          </w:tcPr>
          <w:p>
            <w:pPr>
              <w:spacing w:after="0"/>
              <w:rPr>
                <w:sz w:val="10"/>
                <w:szCs w:val="10"/>
                <w:color w:val="auto"/>
              </w:rPr>
            </w:pPr>
          </w:p>
        </w:tc>
        <w:tc>
          <w:tcPr>
            <w:tcW w:w="7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85"/>
              </w:rPr>
              <w:t>December 31,</w:t>
            </w:r>
          </w:p>
        </w:tc>
        <w:tc>
          <w:tcPr>
            <w:tcW w:w="76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Date</w:t>
            </w:r>
          </w:p>
        </w:tc>
        <w:tc>
          <w:tcPr>
            <w:tcW w:w="840" w:type="dxa"/>
            <w:vAlign w:val="bottom"/>
            <w:gridSpan w:val="2"/>
          </w:tcPr>
          <w:p>
            <w:pPr>
              <w:jc w:val="right"/>
              <w:ind w:right="44"/>
              <w:spacing w:after="0"/>
              <w:rPr>
                <w:sz w:val="20"/>
                <w:szCs w:val="20"/>
                <w:color w:val="auto"/>
              </w:rPr>
            </w:pPr>
            <w:r>
              <w:rPr>
                <w:rFonts w:ascii="Arial" w:cs="Arial" w:eastAsia="Arial" w:hAnsi="Arial"/>
                <w:sz w:val="13"/>
                <w:szCs w:val="13"/>
                <w:b w:val="1"/>
                <w:bCs w:val="1"/>
                <w:color w:val="auto"/>
              </w:rPr>
              <w:t>2015</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jc w:val="right"/>
              <w:ind w:right="162"/>
              <w:spacing w:after="0"/>
              <w:rPr>
                <w:sz w:val="20"/>
                <w:szCs w:val="20"/>
                <w:color w:val="auto"/>
              </w:rPr>
            </w:pPr>
            <w:r>
              <w:rPr>
                <w:rFonts w:ascii="Arial" w:cs="Arial" w:eastAsia="Arial" w:hAnsi="Arial"/>
                <w:sz w:val="13"/>
                <w:szCs w:val="13"/>
                <w:b w:val="1"/>
                <w:bCs w:val="1"/>
                <w:color w:val="auto"/>
                <w:w w:val="96"/>
              </w:rPr>
              <w:t>2014</w:t>
            </w:r>
          </w:p>
        </w:tc>
        <w:tc>
          <w:tcPr>
            <w:tcW w:w="76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Arial" w:cs="Arial" w:eastAsia="Arial" w:hAnsi="Arial"/>
                <w:sz w:val="13"/>
                <w:szCs w:val="13"/>
                <w:b w:val="1"/>
                <w:bCs w:val="1"/>
                <w:color w:val="auto"/>
                <w:w w:val="96"/>
              </w:rPr>
              <w:t>(Decrease)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center"/>
              <w:ind w:left="10"/>
              <w:spacing w:after="0" w:line="144" w:lineRule="exact"/>
              <w:rPr>
                <w:sz w:val="20"/>
                <w:szCs w:val="20"/>
                <w:color w:val="auto"/>
              </w:rPr>
            </w:pPr>
            <w:r>
              <w:rPr>
                <w:rFonts w:ascii="Arial" w:cs="Arial" w:eastAsia="Arial" w:hAnsi="Arial"/>
                <w:sz w:val="13"/>
                <w:szCs w:val="13"/>
                <w:b w:val="1"/>
                <w:bCs w:val="1"/>
                <w:color w:val="auto"/>
                <w:w w:val="88"/>
              </w:rPr>
              <w:t>($ in millions)</w:t>
            </w:r>
          </w:p>
        </w:tc>
        <w:tc>
          <w:tcPr>
            <w:tcW w:w="540" w:type="dxa"/>
            <w:vAlign w:val="bottom"/>
            <w:tcBorders>
              <w:top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80" w:type="dxa"/>
            <w:vAlign w:val="bottom"/>
            <w:shd w:val="clear" w:color="auto" w:fill="CCEEFF"/>
          </w:tcPr>
          <w:p>
            <w:pPr>
              <w:jc w:val="right"/>
              <w:ind w:right="5878"/>
              <w:spacing w:after="0"/>
              <w:rPr>
                <w:sz w:val="20"/>
                <w:szCs w:val="20"/>
                <w:color w:val="auto"/>
              </w:rPr>
            </w:pPr>
            <w:r>
              <w:rPr>
                <w:rFonts w:ascii="Arial" w:cs="Arial" w:eastAsia="Arial" w:hAnsi="Arial"/>
                <w:sz w:val="16"/>
                <w:szCs w:val="16"/>
                <w:color w:val="auto"/>
                <w:w w:val="89"/>
              </w:rPr>
              <w:t>Senior Debt:</w:t>
            </w: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80" w:type="dxa"/>
            <w:vAlign w:val="bottom"/>
          </w:tcPr>
          <w:p>
            <w:pPr>
              <w:jc w:val="right"/>
              <w:ind w:right="5878"/>
              <w:spacing w:after="0"/>
              <w:rPr>
                <w:sz w:val="20"/>
                <w:szCs w:val="20"/>
                <w:color w:val="auto"/>
              </w:rPr>
            </w:pPr>
            <w:r>
              <w:rPr>
                <w:rFonts w:ascii="Arial" w:cs="Arial" w:eastAsia="Arial" w:hAnsi="Arial"/>
                <w:sz w:val="16"/>
                <w:szCs w:val="16"/>
                <w:color w:val="auto"/>
              </w:rPr>
              <w:t>6.85%</w:t>
            </w:r>
          </w:p>
        </w:tc>
        <w:tc>
          <w:tcPr>
            <w:tcW w:w="880" w:type="dxa"/>
            <w:vAlign w:val="bottom"/>
            <w:gridSpan w:val="2"/>
          </w:tcPr>
          <w:p>
            <w:pPr>
              <w:jc w:val="right"/>
              <w:ind w:right="380"/>
              <w:spacing w:after="0"/>
              <w:rPr>
                <w:sz w:val="20"/>
                <w:szCs w:val="20"/>
                <w:color w:val="auto"/>
              </w:rPr>
            </w:pPr>
            <w:r>
              <w:rPr>
                <w:rFonts w:ascii="Arial" w:cs="Arial" w:eastAsia="Arial" w:hAnsi="Arial"/>
                <w:sz w:val="16"/>
                <w:szCs w:val="16"/>
                <w:color w:val="auto"/>
              </w:rPr>
              <w:t>2017</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$ 98.4</w:t>
            </w:r>
          </w:p>
        </w:tc>
        <w:tc>
          <w:tcPr>
            <w:tcW w:w="94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548.4</w:t>
            </w:r>
          </w:p>
        </w:tc>
        <w:tc>
          <w:tcPr>
            <w:tcW w:w="860" w:type="dxa"/>
            <w:vAlign w:val="bottom"/>
            <w:gridSpan w:val="2"/>
          </w:tcPr>
          <w:p>
            <w:pPr>
              <w:ind w:left="760"/>
              <w:spacing w:after="0"/>
              <w:rPr>
                <w:sz w:val="20"/>
                <w:szCs w:val="20"/>
                <w:color w:val="auto"/>
              </w:rPr>
            </w:pPr>
            <w:r>
              <w:rPr>
                <w:rFonts w:ascii="Arial" w:cs="Arial" w:eastAsia="Arial" w:hAnsi="Arial"/>
                <w:sz w:val="16"/>
                <w:szCs w:val="16"/>
                <w:color w:val="auto"/>
                <w:w w:val="89"/>
              </w:rPr>
              <w:t>$</w:t>
            </w: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(450.0)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80" w:type="dxa"/>
            <w:vAlign w:val="bottom"/>
            <w:shd w:val="clear" w:color="auto" w:fill="CCEEFF"/>
          </w:tcPr>
          <w:p>
            <w:pPr>
              <w:jc w:val="right"/>
              <w:ind w:right="5878"/>
              <w:spacing w:after="0"/>
              <w:rPr>
                <w:sz w:val="20"/>
                <w:szCs w:val="20"/>
                <w:color w:val="auto"/>
              </w:rPr>
            </w:pPr>
            <w:r>
              <w:rPr>
                <w:rFonts w:ascii="Arial" w:cs="Arial" w:eastAsia="Arial" w:hAnsi="Arial"/>
                <w:sz w:val="16"/>
                <w:szCs w:val="16"/>
                <w:color w:val="auto"/>
              </w:rPr>
              <w:t>4.25%</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2020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80" w:type="dxa"/>
            <w:vAlign w:val="bottom"/>
          </w:tcPr>
          <w:p>
            <w:pPr>
              <w:jc w:val="right"/>
              <w:ind w:right="5878"/>
              <w:spacing w:after="0"/>
              <w:rPr>
                <w:sz w:val="20"/>
                <w:szCs w:val="20"/>
                <w:color w:val="auto"/>
              </w:rPr>
            </w:pPr>
            <w:r>
              <w:rPr>
                <w:rFonts w:ascii="Arial" w:cs="Arial" w:eastAsia="Arial" w:hAnsi="Arial"/>
                <w:sz w:val="16"/>
                <w:szCs w:val="16"/>
                <w:color w:val="auto"/>
              </w:rPr>
              <w:t>3.75%</w:t>
            </w:r>
          </w:p>
        </w:tc>
        <w:tc>
          <w:tcPr>
            <w:tcW w:w="880" w:type="dxa"/>
            <w:vAlign w:val="bottom"/>
            <w:gridSpan w:val="2"/>
          </w:tcPr>
          <w:p>
            <w:pPr>
              <w:jc w:val="right"/>
              <w:ind w:right="380"/>
              <w:spacing w:after="0"/>
              <w:rPr>
                <w:sz w:val="20"/>
                <w:szCs w:val="20"/>
                <w:color w:val="auto"/>
              </w:rPr>
            </w:pPr>
            <w:r>
              <w:rPr>
                <w:rFonts w:ascii="Arial" w:cs="Arial" w:eastAsia="Arial" w:hAnsi="Arial"/>
                <w:sz w:val="16"/>
                <w:szCs w:val="16"/>
                <w:color w:val="auto"/>
              </w:rPr>
              <w:t>2025</w:t>
            </w:r>
          </w:p>
        </w:tc>
        <w:tc>
          <w:tcPr>
            <w:tcW w:w="3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400.0</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6"/>
                <w:szCs w:val="16"/>
                <w:color w:val="auto"/>
              </w:rPr>
              <w:t>400.0</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6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6780" w:type="dxa"/>
            <w:vAlign w:val="bottom"/>
            <w:shd w:val="clear" w:color="auto" w:fill="CCEEFF"/>
          </w:tcPr>
          <w:p>
            <w:pPr>
              <w:jc w:val="right"/>
              <w:ind w:right="5558"/>
              <w:spacing w:after="0"/>
              <w:rPr>
                <w:sz w:val="20"/>
                <w:szCs w:val="20"/>
                <w:color w:val="auto"/>
              </w:rPr>
            </w:pPr>
            <w:r>
              <w:rPr>
                <w:rFonts w:ascii="Arial" w:cs="Arial" w:eastAsia="Arial" w:hAnsi="Arial"/>
                <w:sz w:val="16"/>
                <w:szCs w:val="16"/>
                <w:color w:val="auto"/>
                <w:w w:val="89"/>
              </w:rPr>
              <w:t>Total Senior Debt</w:t>
            </w: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93"/>
              </w:rPr>
              <w:t>$</w:t>
            </w:r>
            <w:r>
              <w:rPr>
                <w:rFonts w:ascii="Arial" w:cs="Arial" w:eastAsia="Arial" w:hAnsi="Arial"/>
                <w:sz w:val="16"/>
                <w:szCs w:val="16"/>
                <w:color w:val="auto"/>
                <w:w w:val="93"/>
              </w:rPr>
              <w:t>998.4</w:t>
            </w: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1,048.4</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w w:val="89"/>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right="240" w:firstLine="457"/>
        <w:spacing w:after="0" w:line="280" w:lineRule="auto"/>
        <w:rPr>
          <w:sz w:val="20"/>
          <w:szCs w:val="20"/>
          <w:color w:val="auto"/>
        </w:rPr>
      </w:pPr>
      <w:r>
        <w:rPr>
          <w:rFonts w:ascii="Arial" w:cs="Arial" w:eastAsia="Arial" w:hAnsi="Arial"/>
          <w:sz w:val="16"/>
          <w:szCs w:val="16"/>
          <w:color w:val="auto"/>
        </w:rPr>
        <w:t>During February 2015, Lazard Group completed an offering of $400 million aggregate principal amount of 2025 Notes. Lazard Group used the net proceeds of the 2025 Notes, together with cash on hand, to redeem or otherwise retire $450 million of the 2017 Notes, which, including the recognition of unamortized issuance costs, resulted in a loss on debt extinguishment in connection with the redemption of such 2017 Notes of approximately $60 million.</w:t>
      </w:r>
    </w:p>
    <w:p>
      <w:pPr>
        <w:spacing w:after="0" w:line="115" w:lineRule="exact"/>
        <w:rPr>
          <w:sz w:val="20"/>
          <w:szCs w:val="20"/>
          <w:color w:val="auto"/>
        </w:rPr>
      </w:pPr>
    </w:p>
    <w:p>
      <w:pPr>
        <w:ind w:right="200" w:firstLine="457"/>
        <w:spacing w:after="0" w:line="331" w:lineRule="auto"/>
        <w:rPr>
          <w:sz w:val="20"/>
          <w:szCs w:val="20"/>
          <w:color w:val="auto"/>
        </w:rPr>
      </w:pPr>
      <w:r>
        <w:rPr>
          <w:rFonts w:ascii="Arial" w:cs="Arial" w:eastAsia="Arial" w:hAnsi="Arial"/>
          <w:sz w:val="15"/>
          <w:szCs w:val="15"/>
          <w:color w:val="auto"/>
        </w:rPr>
        <w:t>Lazard’s annual cash flow generated from operations historically has been sufficient to enable it to meet its annual obligations. We believe that our cash flows from operating activities, along with the use of our credit lines as needed, should be sufficient for us to fund our current obligations for the next 12 months.</w:t>
      </w:r>
    </w:p>
    <w:p>
      <w:pPr>
        <w:spacing w:after="0" w:line="81" w:lineRule="exact"/>
        <w:rPr>
          <w:sz w:val="20"/>
          <w:szCs w:val="20"/>
          <w:color w:val="auto"/>
        </w:rPr>
      </w:pPr>
    </w:p>
    <w:p>
      <w:pPr>
        <w:ind w:right="60" w:firstLine="457"/>
        <w:spacing w:after="0" w:line="270" w:lineRule="auto"/>
        <w:rPr>
          <w:sz w:val="20"/>
          <w:szCs w:val="20"/>
          <w:color w:val="auto"/>
        </w:rPr>
      </w:pPr>
      <w:r>
        <w:rPr>
          <w:rFonts w:ascii="Arial" w:cs="Arial" w:eastAsia="Arial" w:hAnsi="Arial"/>
          <w:sz w:val="16"/>
          <w:szCs w:val="16"/>
          <w:color w:val="auto"/>
        </w:rPr>
        <w:t>As long as the lenders’ commitments remain in effect, any loan pursuant to the Credit Facility remains outstanding and unpaid or any other amount is due to the lending bank group, the Credit Facility includes financial covenants that require that Lazard Group not permit (i) its Consolidated Leverage Ratio (as defined in the Credit Facility) for the 12-month period ending on the last day of any fiscal quarter to be greater than 4.00 to 1.00 or (ii) its Consolidated Interest Coverage Ratio (as defined in the Credit Facility) for the 12-month period ending on the last day of any fiscal quarter to be less than 3.00 to 1.00. For the 12-month period ended June 30, 2015, Lazard Group was in compliance with such ratios, with its Consolidated Leverage Ratio being 1.12 to 1.00 and its Consolidated Interest Coverage Ratio being 18.33 to 1.00. In any event, no amounts were outstanding under the Credit Facility as of June 30, 2015.</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440" w:right="23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40" w:firstLine="457"/>
        <w:spacing w:after="0" w:line="274" w:lineRule="auto"/>
        <w:rPr>
          <w:sz w:val="20"/>
          <w:szCs w:val="20"/>
          <w:color w:val="auto"/>
        </w:rPr>
      </w:pPr>
      <w:r>
        <w:rPr>
          <w:rFonts w:ascii="Arial" w:cs="Arial" w:eastAsia="Arial" w:hAnsi="Arial"/>
          <w:sz w:val="16"/>
          <w:szCs w:val="16"/>
          <w:color w:val="auto"/>
        </w:rPr>
        <w:t>In addition, the Credit Facility, indenture and supplemental indentures relating to Lazard Group’s senior notes contain certain other covenants (none of which relate to financial condition), events of default and other customary provisions. At June 30, 2015,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Note 9 of Notes to Condensed Consolidated Financial Statements for additional information regarding senior debt.</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Stockholders’ Equity</w:t>
      </w:r>
    </w:p>
    <w:p>
      <w:pPr>
        <w:spacing w:after="0" w:line="94" w:lineRule="exact"/>
        <w:rPr>
          <w:sz w:val="20"/>
          <w:szCs w:val="20"/>
          <w:color w:val="auto"/>
        </w:rPr>
      </w:pPr>
    </w:p>
    <w:p>
      <w:pPr>
        <w:ind w:right="60" w:firstLine="457"/>
        <w:spacing w:after="0" w:line="280" w:lineRule="auto"/>
        <w:rPr>
          <w:sz w:val="20"/>
          <w:szCs w:val="20"/>
          <w:color w:val="auto"/>
        </w:rPr>
      </w:pPr>
      <w:r>
        <w:rPr>
          <w:rFonts w:ascii="Arial" w:cs="Arial" w:eastAsia="Arial" w:hAnsi="Arial"/>
          <w:sz w:val="16"/>
          <w:szCs w:val="16"/>
          <w:color w:val="auto"/>
        </w:rPr>
        <w:t>At June 30, 2015, total stockholders’ equity was $869 million, as compared to $770 million at December 31, 2014, including $810 million and $707 million attributable to Lazard Ltd on the respective dates. The net activity in stockholders’ equity during the six month period ended June 30, 2015 is reflected in the table below (in millions of dollars):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Equity—January 1, 2015</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$ 770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20" w:type="dxa"/>
            <w:vAlign w:val="bottom"/>
          </w:tcPr>
          <w:p>
            <w:pPr>
              <w:spacing w:after="0"/>
              <w:rPr>
                <w:sz w:val="22"/>
                <w:szCs w:val="22"/>
                <w:color w:val="auto"/>
              </w:rPr>
            </w:pPr>
          </w:p>
        </w:tc>
        <w:tc>
          <w:tcPr>
            <w:tcW w:w="8140" w:type="dxa"/>
            <w:vAlign w:val="bottom"/>
            <w:gridSpan w:val="2"/>
          </w:tcPr>
          <w:p>
            <w:pPr>
              <w:ind w:left="140"/>
              <w:spacing w:after="0"/>
              <w:rPr>
                <w:sz w:val="20"/>
                <w:szCs w:val="20"/>
                <w:color w:val="auto"/>
              </w:rPr>
            </w:pPr>
            <w:r>
              <w:rPr>
                <w:rFonts w:ascii="Arial" w:cs="Arial" w:eastAsia="Arial" w:hAnsi="Arial"/>
                <w:sz w:val="16"/>
                <w:szCs w:val="16"/>
                <w:color w:val="auto"/>
              </w:rPr>
              <w:t>Increase (decrease) due to:</w:t>
            </w:r>
          </w:p>
        </w:tc>
        <w:tc>
          <w:tcPr>
            <w:tcW w:w="2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Net income</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0" w:type="dxa"/>
            <w:vAlign w:val="bottom"/>
          </w:tcPr>
          <w:p>
            <w:pPr>
              <w:ind w:left="400"/>
              <w:spacing w:after="0"/>
              <w:rPr>
                <w:sz w:val="20"/>
                <w:szCs w:val="20"/>
                <w:color w:val="auto"/>
              </w:rPr>
            </w:pPr>
            <w:r>
              <w:rPr>
                <w:rFonts w:ascii="Arial" w:cs="Arial" w:eastAsia="Arial" w:hAnsi="Arial"/>
                <w:sz w:val="16"/>
                <w:szCs w:val="16"/>
                <w:color w:val="auto"/>
              </w:rPr>
              <w:t>Other comprehensive loss</w:t>
            </w:r>
          </w:p>
        </w:tc>
        <w:tc>
          <w:tcPr>
            <w:tcW w:w="2520" w:type="dxa"/>
            <w:vAlign w:val="bottom"/>
            <w:gridSpan w:val="3"/>
          </w:tcPr>
          <w:p>
            <w:pPr>
              <w:jc w:val="right"/>
              <w:ind w:right="6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2"/>
        </w:trPr>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Amortization of share-based incentive compensation</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0" w:type="dxa"/>
            <w:vAlign w:val="bottom"/>
          </w:tcPr>
          <w:p>
            <w:pPr>
              <w:ind w:left="400"/>
              <w:spacing w:after="0"/>
              <w:rPr>
                <w:sz w:val="20"/>
                <w:szCs w:val="20"/>
                <w:color w:val="auto"/>
              </w:rPr>
            </w:pPr>
            <w:r>
              <w:rPr>
                <w:rFonts w:ascii="Arial" w:cs="Arial" w:eastAsia="Arial" w:hAnsi="Arial"/>
                <w:sz w:val="16"/>
                <w:szCs w:val="16"/>
                <w:color w:val="auto"/>
              </w:rPr>
              <w:t>Purchase of Class A common stock</w:t>
            </w:r>
          </w:p>
        </w:tc>
        <w:tc>
          <w:tcPr>
            <w:tcW w:w="2520" w:type="dxa"/>
            <w:vAlign w:val="bottom"/>
            <w:gridSpan w:val="3"/>
          </w:tcPr>
          <w:p>
            <w:pPr>
              <w:jc w:val="right"/>
              <w:ind w:right="60"/>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02"/>
        </w:trPr>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Settlement of share-based incentive compensation, net of related tax benefit of $9 (a)</w:t>
            </w:r>
          </w:p>
        </w:tc>
        <w:tc>
          <w:tcPr>
            <w:tcW w:w="25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02"/>
        </w:trPr>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0" w:type="dxa"/>
            <w:vAlign w:val="bottom"/>
          </w:tcPr>
          <w:p>
            <w:pPr>
              <w:ind w:left="400"/>
              <w:spacing w:after="0"/>
              <w:rPr>
                <w:sz w:val="20"/>
                <w:szCs w:val="20"/>
                <w:color w:val="auto"/>
              </w:rPr>
            </w:pPr>
            <w:r>
              <w:rPr>
                <w:rFonts w:ascii="Arial" w:cs="Arial" w:eastAsia="Arial" w:hAnsi="Arial"/>
                <w:sz w:val="16"/>
                <w:szCs w:val="16"/>
                <w:color w:val="auto"/>
              </w:rPr>
              <w:t>Class A common stock dividends</w:t>
            </w:r>
          </w:p>
        </w:tc>
        <w:tc>
          <w:tcPr>
            <w:tcW w:w="2520" w:type="dxa"/>
            <w:vAlign w:val="bottom"/>
            <w:gridSpan w:val="3"/>
          </w:tcPr>
          <w:p>
            <w:pPr>
              <w:jc w:val="right"/>
              <w:ind w:right="60"/>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02"/>
        </w:trPr>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Distributions to noncontrolling interests, net</w:t>
            </w:r>
          </w:p>
        </w:tc>
        <w:tc>
          <w:tcPr>
            <w:tcW w:w="25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2"/>
        </w:trPr>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0" w:type="dxa"/>
            <w:vAlign w:val="bottom"/>
          </w:tcPr>
          <w:p>
            <w:pPr>
              <w:ind w:left="400"/>
              <w:spacing w:after="0"/>
              <w:rPr>
                <w:sz w:val="20"/>
                <w:szCs w:val="20"/>
                <w:color w:val="auto"/>
              </w:rPr>
            </w:pPr>
            <w:r>
              <w:rPr>
                <w:rFonts w:ascii="Arial" w:cs="Arial" w:eastAsia="Arial" w:hAnsi="Arial"/>
                <w:sz w:val="16"/>
                <w:szCs w:val="16"/>
                <w:color w:val="auto"/>
              </w:rPr>
              <w:t>Other—net</w:t>
            </w:r>
          </w:p>
        </w:tc>
        <w:tc>
          <w:tcPr>
            <w:tcW w:w="202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
        </w:trPr>
        <w:tc>
          <w:tcPr>
            <w:tcW w:w="320" w:type="dxa"/>
            <w:vAlign w:val="bottom"/>
          </w:tcPr>
          <w:p>
            <w:pPr>
              <w:spacing w:after="0"/>
              <w:rPr>
                <w:sz w:val="2"/>
                <w:szCs w:val="2"/>
                <w:color w:val="auto"/>
              </w:rPr>
            </w:pPr>
          </w:p>
        </w:tc>
        <w:tc>
          <w:tcPr>
            <w:tcW w:w="140" w:type="dxa"/>
            <w:vAlign w:val="bottom"/>
            <w:vMerge w:val="restart"/>
          </w:tcPr>
          <w:p>
            <w:pPr>
              <w:spacing w:after="0"/>
              <w:rPr>
                <w:sz w:val="2"/>
                <w:szCs w:val="2"/>
                <w:color w:val="auto"/>
              </w:rPr>
            </w:pPr>
          </w:p>
        </w:tc>
        <w:tc>
          <w:tcPr>
            <w:tcW w:w="80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Equity—June 30, 2015</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$ 869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rPr>
                <w:sz w:val="20"/>
                <w:szCs w:val="20"/>
                <w:color w:val="auto"/>
              </w:rPr>
            </w:pPr>
            <w:r>
              <w:rPr>
                <w:rFonts w:ascii="Arial" w:cs="Arial" w:eastAsia="Arial" w:hAnsi="Arial"/>
                <w:sz w:val="16"/>
                <w:szCs w:val="16"/>
                <w:color w:val="auto"/>
              </w:rPr>
              <w:t>(a)</w:t>
            </w:r>
          </w:p>
        </w:tc>
        <w:tc>
          <w:tcPr>
            <w:tcW w:w="8140" w:type="dxa"/>
            <w:vAlign w:val="bottom"/>
            <w:gridSpan w:val="2"/>
            <w:vMerge w:val="restart"/>
          </w:tcPr>
          <w:p>
            <w:pPr>
              <w:ind w:left="140"/>
              <w:spacing w:after="0"/>
              <w:rPr>
                <w:sz w:val="20"/>
                <w:szCs w:val="20"/>
                <w:color w:val="auto"/>
              </w:rPr>
            </w:pPr>
            <w:r>
              <w:rPr>
                <w:rFonts w:ascii="Arial" w:cs="Arial" w:eastAsia="Arial" w:hAnsi="Arial"/>
                <w:sz w:val="16"/>
                <w:szCs w:val="16"/>
                <w:color w:val="auto"/>
              </w:rPr>
              <w:t>The tax withholding portion of share-based compensation is settled in cash, not shares.</w:t>
            </w:r>
          </w:p>
        </w:tc>
        <w:tc>
          <w:tcPr>
            <w:tcW w:w="20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320" w:type="dxa"/>
            <w:vAlign w:val="bottom"/>
            <w:vMerge w:val="continue"/>
          </w:tcPr>
          <w:p>
            <w:pPr>
              <w:spacing w:after="0"/>
              <w:rPr>
                <w:sz w:val="23"/>
                <w:szCs w:val="23"/>
                <w:color w:val="auto"/>
              </w:rPr>
            </w:pPr>
          </w:p>
        </w:tc>
        <w:tc>
          <w:tcPr>
            <w:tcW w:w="8140" w:type="dxa"/>
            <w:vAlign w:val="bottom"/>
            <w:gridSpan w:val="2"/>
            <w:vMerge w:val="continue"/>
          </w:tcPr>
          <w:p>
            <w:pPr>
              <w:spacing w:after="0"/>
              <w:rPr>
                <w:sz w:val="23"/>
                <w:szCs w:val="23"/>
                <w:color w:val="auto"/>
              </w:rPr>
            </w:pPr>
          </w:p>
        </w:tc>
        <w:tc>
          <w:tcPr>
            <w:tcW w:w="20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right="20" w:firstLine="457"/>
        <w:spacing w:after="0" w:line="298" w:lineRule="auto"/>
        <w:rPr>
          <w:sz w:val="20"/>
          <w:szCs w:val="20"/>
          <w:color w:val="auto"/>
        </w:rPr>
      </w:pPr>
      <w:r>
        <w:rPr>
          <w:rFonts w:ascii="Arial" w:cs="Arial" w:eastAsia="Arial" w:hAnsi="Arial"/>
          <w:sz w:val="15"/>
          <w:szCs w:val="15"/>
          <w:color w:val="auto"/>
        </w:rPr>
        <w:t>The Board of Directors of Lazard has issued a series of authorizations to repurchase Class A common stock, which help offset the dilutive effect of our share-based incentive compensation plans. During a given year the Company intends to repurchase at least as many shares as it expects to ultimately issue pursuant to such compensation plans in respect of year-end incentive compensation attributable to the prior year</w:t>
      </w:r>
      <w:r>
        <w:rPr>
          <w:rFonts w:ascii="Arial" w:cs="Arial" w:eastAsia="Arial" w:hAnsi="Arial"/>
          <w:sz w:val="15"/>
          <w:szCs w:val="15"/>
          <w:i w:val="1"/>
          <w:iCs w:val="1"/>
          <w:color w:val="auto"/>
        </w:rPr>
        <w:t>.</w:t>
      </w:r>
      <w:r>
        <w:rPr>
          <w:rFonts w:ascii="Arial" w:cs="Arial" w:eastAsia="Arial" w:hAnsi="Arial"/>
          <w:sz w:val="15"/>
          <w:szCs w:val="15"/>
          <w:color w:val="auto"/>
        </w:rPr>
        <w:t xml:space="preserve"> The rate at which the Company purchases shares in connection with this annual objective may vary from quarter to quarter due to a variety of factors. Purchases with respect to such program are set forth in the table below:</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5"/>
              </w:rPr>
              <w:t>Average</w:t>
            </w:r>
          </w:p>
        </w:tc>
      </w:tr>
      <w:tr>
        <w:trPr>
          <w:trHeight w:val="13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gridSpan w:val="2"/>
          </w:tcPr>
          <w:p>
            <w:pPr>
              <w:jc w:val="center"/>
              <w:ind w:right="100"/>
              <w:spacing w:after="0" w:line="139" w:lineRule="exact"/>
              <w:rPr>
                <w:sz w:val="20"/>
                <w:szCs w:val="20"/>
                <w:color w:val="auto"/>
              </w:rPr>
            </w:pPr>
            <w:r>
              <w:rPr>
                <w:rFonts w:ascii="Arial" w:cs="Arial" w:eastAsia="Arial" w:hAnsi="Arial"/>
                <w:sz w:val="13"/>
                <w:szCs w:val="13"/>
                <w:b w:val="1"/>
                <w:bCs w:val="1"/>
                <w:color w:val="auto"/>
                <w:w w:val="87"/>
              </w:rPr>
              <w:t>Price</w:t>
            </w:r>
          </w:p>
        </w:tc>
      </w:tr>
      <w:tr>
        <w:trPr>
          <w:trHeight w:val="13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1140" w:type="dxa"/>
            <w:vAlign w:val="bottom"/>
            <w:gridSpan w:val="2"/>
          </w:tcPr>
          <w:p>
            <w:pPr>
              <w:ind w:left="60"/>
              <w:spacing w:after="0" w:line="139" w:lineRule="exact"/>
              <w:rPr>
                <w:sz w:val="20"/>
                <w:szCs w:val="20"/>
                <w:color w:val="auto"/>
              </w:rPr>
            </w:pPr>
            <w:r>
              <w:rPr>
                <w:rFonts w:ascii="Arial" w:cs="Arial" w:eastAsia="Arial" w:hAnsi="Arial"/>
                <w:sz w:val="13"/>
                <w:szCs w:val="13"/>
                <w:b w:val="1"/>
                <w:bCs w:val="1"/>
                <w:color w:val="auto"/>
              </w:rPr>
              <w:t>Number of</w:t>
            </w:r>
          </w:p>
        </w:tc>
        <w:tc>
          <w:tcPr>
            <w:tcW w:w="580" w:type="dxa"/>
            <w:vAlign w:val="bottom"/>
            <w:gridSpan w:val="2"/>
          </w:tcPr>
          <w:p>
            <w:pPr>
              <w:jc w:val="center"/>
              <w:ind w:right="80"/>
              <w:spacing w:after="0" w:line="139" w:lineRule="exact"/>
              <w:rPr>
                <w:sz w:val="20"/>
                <w:szCs w:val="20"/>
                <w:color w:val="auto"/>
              </w:rPr>
            </w:pPr>
            <w:r>
              <w:rPr>
                <w:rFonts w:ascii="Arial" w:cs="Arial" w:eastAsia="Arial" w:hAnsi="Arial"/>
                <w:sz w:val="13"/>
                <w:szCs w:val="13"/>
                <w:b w:val="1"/>
                <w:bCs w:val="1"/>
                <w:color w:val="auto"/>
                <w:w w:val="85"/>
              </w:rPr>
              <w:t>Per</w:t>
            </w:r>
          </w:p>
        </w:tc>
      </w:tr>
      <w:tr>
        <w:trPr>
          <w:trHeight w:val="152"/>
        </w:trPr>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80" w:type="dxa"/>
            <w:vAlign w:val="bottom"/>
          </w:tcPr>
          <w:p>
            <w:pPr>
              <w:spacing w:after="0"/>
              <w:rPr>
                <w:sz w:val="13"/>
                <w:szCs w:val="13"/>
                <w:color w:val="auto"/>
              </w:rPr>
            </w:pPr>
          </w:p>
        </w:tc>
        <w:tc>
          <w:tcPr>
            <w:tcW w:w="1140" w:type="dxa"/>
            <w:vAlign w:val="bottom"/>
            <w:gridSpan w:val="2"/>
          </w:tcPr>
          <w:p>
            <w:pPr>
              <w:ind w:left="180"/>
              <w:spacing w:after="0"/>
              <w:rPr>
                <w:sz w:val="20"/>
                <w:szCs w:val="20"/>
                <w:color w:val="auto"/>
              </w:rPr>
            </w:pPr>
            <w:r>
              <w:rPr>
                <w:rFonts w:ascii="Arial" w:cs="Arial" w:eastAsia="Arial" w:hAnsi="Arial"/>
                <w:sz w:val="13"/>
                <w:szCs w:val="13"/>
                <w:b w:val="1"/>
                <w:bCs w:val="1"/>
                <w:color w:val="auto"/>
              </w:rPr>
              <w:t>Shares</w:t>
            </w:r>
          </w:p>
        </w:tc>
        <w:tc>
          <w:tcPr>
            <w:tcW w:w="5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2"/>
              </w:rPr>
              <w:t>Share</w:t>
            </w:r>
          </w:p>
        </w:tc>
      </w:tr>
      <w:tr>
        <w:trPr>
          <w:trHeight w:val="119"/>
        </w:trPr>
        <w:tc>
          <w:tcPr>
            <w:tcW w:w="20" w:type="dxa"/>
            <w:vAlign w:val="bottom"/>
          </w:tcPr>
          <w:p>
            <w:pPr>
              <w:spacing w:after="0"/>
              <w:rPr>
                <w:sz w:val="10"/>
                <w:szCs w:val="10"/>
                <w:color w:val="auto"/>
              </w:rPr>
            </w:pPr>
          </w:p>
        </w:tc>
        <w:tc>
          <w:tcPr>
            <w:tcW w:w="1600" w:type="dxa"/>
            <w:vAlign w:val="bottom"/>
            <w:tcBorders>
              <w:top w:val="single" w:sz="8" w:color="CCEEFF"/>
              <w:bottom w:val="single" w:sz="8" w:color="auto"/>
            </w:tcBorders>
            <w:shd w:val="clear" w:color="auto" w:fill="CCEEFF"/>
          </w:tcPr>
          <w:p>
            <w:pPr>
              <w:spacing w:after="0" w:line="119" w:lineRule="exact"/>
              <w:rPr>
                <w:sz w:val="20"/>
                <w:szCs w:val="20"/>
                <w:color w:val="auto"/>
              </w:rPr>
            </w:pPr>
            <w:r>
              <w:rPr>
                <w:rFonts w:ascii="Arial" w:cs="Arial" w:eastAsia="Arial" w:hAnsi="Arial"/>
                <w:sz w:val="13"/>
                <w:szCs w:val="13"/>
                <w:b w:val="1"/>
                <w:bCs w:val="1"/>
                <w:color w:val="auto"/>
                <w:w w:val="93"/>
              </w:rPr>
              <w:t>Six Months Ended June 30:</w:t>
            </w:r>
          </w:p>
        </w:tc>
        <w:tc>
          <w:tcPr>
            <w:tcW w:w="8080" w:type="dxa"/>
            <w:vAlign w:val="bottom"/>
            <w:tcBorders>
              <w:top w:val="single" w:sz="8" w:color="CCEEFF"/>
              <w:bottom w:val="single" w:sz="8" w:color="CCEEFF"/>
            </w:tcBorders>
            <w:shd w:val="clear" w:color="auto" w:fill="CCEEFF"/>
          </w:tcPr>
          <w:p>
            <w:pPr>
              <w:spacing w:after="0"/>
              <w:rPr>
                <w:sz w:val="10"/>
                <w:szCs w:val="10"/>
                <w:color w:val="auto"/>
              </w:rPr>
            </w:pPr>
          </w:p>
        </w:tc>
        <w:tc>
          <w:tcPr>
            <w:tcW w:w="720" w:type="dxa"/>
            <w:vAlign w:val="bottom"/>
            <w:tcBorders>
              <w:top w:val="single" w:sz="8" w:color="auto"/>
              <w:bottom w:val="single" w:sz="8" w:color="CCEEFF"/>
            </w:tcBorders>
            <w:shd w:val="clear" w:color="auto" w:fill="CCEEFF"/>
          </w:tcPr>
          <w:p>
            <w:pPr>
              <w:spacing w:after="0"/>
              <w:rPr>
                <w:sz w:val="10"/>
                <w:szCs w:val="10"/>
                <w:color w:val="auto"/>
              </w:rPr>
            </w:pPr>
          </w:p>
        </w:tc>
        <w:tc>
          <w:tcPr>
            <w:tcW w:w="420" w:type="dxa"/>
            <w:vAlign w:val="bottom"/>
            <w:tcBorders>
              <w:top w:val="single" w:sz="8" w:color="CCEEFF"/>
              <w:bottom w:val="single" w:sz="8" w:color="CCEEFF"/>
            </w:tcBorders>
            <w:shd w:val="clear" w:color="auto" w:fill="CCEEFF"/>
          </w:tcPr>
          <w:p>
            <w:pPr>
              <w:spacing w:after="0"/>
              <w:rPr>
                <w:sz w:val="10"/>
                <w:szCs w:val="10"/>
                <w:color w:val="auto"/>
              </w:rPr>
            </w:pPr>
          </w:p>
        </w:tc>
        <w:tc>
          <w:tcPr>
            <w:tcW w:w="50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r>
      <w:tr>
        <w:trPr>
          <w:trHeight w:val="195"/>
        </w:trPr>
        <w:tc>
          <w:tcPr>
            <w:tcW w:w="20" w:type="dxa"/>
            <w:vAlign w:val="bottom"/>
          </w:tcPr>
          <w:p>
            <w:pPr>
              <w:spacing w:after="0"/>
              <w:rPr>
                <w:sz w:val="16"/>
                <w:szCs w:val="16"/>
                <w:color w:val="auto"/>
              </w:rPr>
            </w:pPr>
          </w:p>
        </w:tc>
        <w:tc>
          <w:tcPr>
            <w:tcW w:w="1600" w:type="dxa"/>
            <w:vAlign w:val="bottom"/>
          </w:tcPr>
          <w:p>
            <w:pPr>
              <w:spacing w:after="0"/>
              <w:rPr>
                <w:sz w:val="20"/>
                <w:szCs w:val="20"/>
                <w:color w:val="auto"/>
              </w:rPr>
            </w:pPr>
            <w:r>
              <w:rPr>
                <w:rFonts w:ascii="Arial" w:cs="Arial" w:eastAsia="Arial" w:hAnsi="Arial"/>
                <w:sz w:val="16"/>
                <w:szCs w:val="16"/>
                <w:color w:val="auto"/>
              </w:rPr>
              <w:t>2014</w:t>
            </w:r>
          </w:p>
        </w:tc>
        <w:tc>
          <w:tcPr>
            <w:tcW w:w="9220" w:type="dxa"/>
            <w:vAlign w:val="bottom"/>
            <w:gridSpan w:val="3"/>
          </w:tcPr>
          <w:p>
            <w:pPr>
              <w:ind w:left="8140"/>
              <w:spacing w:after="0"/>
              <w:rPr>
                <w:sz w:val="20"/>
                <w:szCs w:val="20"/>
                <w:color w:val="auto"/>
              </w:rPr>
            </w:pPr>
            <w:r>
              <w:rPr>
                <w:rFonts w:ascii="Arial" w:cs="Arial" w:eastAsia="Arial" w:hAnsi="Arial"/>
                <w:sz w:val="16"/>
                <w:szCs w:val="16"/>
                <w:color w:val="auto"/>
              </w:rPr>
              <w:t>4,114,206</w:t>
            </w:r>
          </w:p>
        </w:tc>
        <w:tc>
          <w:tcPr>
            <w:tcW w:w="500" w:type="dxa"/>
            <w:vAlign w:val="bottom"/>
          </w:tcPr>
          <w:p>
            <w:pPr>
              <w:jc w:val="center"/>
              <w:spacing w:after="0"/>
              <w:rPr>
                <w:sz w:val="20"/>
                <w:szCs w:val="20"/>
                <w:color w:val="auto"/>
              </w:rPr>
            </w:pPr>
            <w:r>
              <w:rPr>
                <w:rFonts w:ascii="Arial" w:cs="Arial" w:eastAsia="Arial" w:hAnsi="Arial"/>
                <w:sz w:val="16"/>
                <w:szCs w:val="16"/>
                <w:color w:val="auto"/>
                <w:w w:val="93"/>
              </w:rPr>
              <w:t>$ 46.83</w:t>
            </w:r>
          </w:p>
        </w:tc>
        <w:tc>
          <w:tcPr>
            <w:tcW w:w="80" w:type="dxa"/>
            <w:vAlign w:val="bottom"/>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6"/>
                <w:szCs w:val="16"/>
                <w:color w:val="auto"/>
              </w:rPr>
              <w:t>2015</w:t>
            </w:r>
          </w:p>
        </w:tc>
        <w:tc>
          <w:tcPr>
            <w:tcW w:w="9220" w:type="dxa"/>
            <w:vAlign w:val="bottom"/>
            <w:gridSpan w:val="3"/>
            <w:shd w:val="clear" w:color="auto" w:fill="CCEEFF"/>
          </w:tcPr>
          <w:p>
            <w:pPr>
              <w:ind w:left="8140"/>
              <w:spacing w:after="0"/>
              <w:rPr>
                <w:sz w:val="20"/>
                <w:szCs w:val="20"/>
                <w:color w:val="auto"/>
              </w:rPr>
            </w:pPr>
            <w:r>
              <w:rPr>
                <w:rFonts w:ascii="Arial" w:cs="Arial" w:eastAsia="Arial" w:hAnsi="Arial"/>
                <w:sz w:val="16"/>
                <w:szCs w:val="16"/>
                <w:color w:val="auto"/>
              </w:rPr>
              <w:t>2,306,694</w:t>
            </w:r>
          </w:p>
        </w:tc>
        <w:tc>
          <w:tcPr>
            <w:tcW w:w="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$ 51.04</w:t>
            </w:r>
          </w:p>
        </w:tc>
        <w:tc>
          <w:tcPr>
            <w:tcW w:w="80" w:type="dxa"/>
            <w:vAlign w:val="bottom"/>
            <w:shd w:val="clear" w:color="auto" w:fill="CCEEFF"/>
          </w:tcPr>
          <w:p>
            <w:pPr>
              <w:spacing w:after="0"/>
              <w:rPr>
                <w:sz w:val="17"/>
                <w:szCs w:val="17"/>
                <w:color w:val="auto"/>
              </w:rPr>
            </w:pPr>
          </w:p>
        </w:tc>
      </w:tr>
    </w:tbl>
    <w:p>
      <w:pPr>
        <w:spacing w:after="0" w:line="143" w:lineRule="exact"/>
        <w:rPr>
          <w:sz w:val="20"/>
          <w:szCs w:val="20"/>
          <w:color w:val="auto"/>
        </w:rPr>
      </w:pPr>
    </w:p>
    <w:p>
      <w:pPr>
        <w:jc w:val="both"/>
        <w:ind w:right="120" w:firstLine="457"/>
        <w:spacing w:after="0" w:line="331" w:lineRule="auto"/>
        <w:rPr>
          <w:sz w:val="20"/>
          <w:szCs w:val="20"/>
          <w:color w:val="auto"/>
        </w:rPr>
      </w:pPr>
      <w:r>
        <w:rPr>
          <w:rFonts w:ascii="Arial" w:cs="Arial" w:eastAsia="Arial" w:hAnsi="Arial"/>
          <w:sz w:val="15"/>
          <w:szCs w:val="15"/>
          <w:color w:val="auto"/>
        </w:rPr>
        <w:t>The shares purchased in the six months ended June 30, 2014 included 1,000,000 shares purchased from Natixis S.A. on June 26, 2014 for approximately $50 million in connection with the sale by Natixis S.A. of its entire investment in the Company’s Class A common stock. The purchase transaction closed on July 1, 2014.</w:t>
      </w:r>
    </w:p>
    <w:p>
      <w:pPr>
        <w:spacing w:after="0" w:line="81" w:lineRule="exact"/>
        <w:rPr>
          <w:sz w:val="20"/>
          <w:szCs w:val="20"/>
          <w:color w:val="auto"/>
        </w:rPr>
      </w:pPr>
    </w:p>
    <w:p>
      <w:pPr>
        <w:ind w:right="360" w:firstLine="457"/>
        <w:spacing w:after="0" w:line="296" w:lineRule="auto"/>
        <w:rPr>
          <w:sz w:val="20"/>
          <w:szCs w:val="20"/>
          <w:color w:val="auto"/>
        </w:rPr>
      </w:pPr>
      <w:r>
        <w:rPr>
          <w:rFonts w:ascii="Arial" w:cs="Arial" w:eastAsia="Arial" w:hAnsi="Arial"/>
          <w:sz w:val="16"/>
          <w:szCs w:val="16"/>
          <w:color w:val="auto"/>
        </w:rPr>
        <w:t>As of June 30, 2015, a total of $161 million of share repurchase authorization remained available under the Company’s share repurchase program, $11 million of which will expire on December 31, 2015 and $150 million of which will expire on December 31, 2016.</w:t>
      </w:r>
    </w:p>
    <w:p>
      <w:pPr>
        <w:spacing w:after="0" w:line="103" w:lineRule="exact"/>
        <w:rPr>
          <w:sz w:val="20"/>
          <w:szCs w:val="20"/>
          <w:color w:val="auto"/>
        </w:rPr>
      </w:pPr>
    </w:p>
    <w:p>
      <w:pPr>
        <w:ind w:right="120" w:firstLine="457"/>
        <w:spacing w:after="0" w:line="296" w:lineRule="auto"/>
        <w:rPr>
          <w:sz w:val="20"/>
          <w:szCs w:val="20"/>
          <w:color w:val="auto"/>
        </w:rPr>
      </w:pPr>
      <w:r>
        <w:rPr>
          <w:rFonts w:ascii="Arial" w:cs="Arial" w:eastAsia="Arial" w:hAnsi="Arial"/>
          <w:sz w:val="16"/>
          <w:szCs w:val="16"/>
          <w:color w:val="auto"/>
        </w:rPr>
        <w:t>During the six months ended June 30, 2015, the Company had in place trading plans under Rule 10b5-1 of the Securities Exchange Act of 1934, pursuant to which it effected stock repurchases in the open market.</w:t>
      </w:r>
    </w:p>
    <w:p>
      <w:pPr>
        <w:spacing w:after="0" w:line="103" w:lineRule="exact"/>
        <w:rPr>
          <w:sz w:val="20"/>
          <w:szCs w:val="20"/>
          <w:color w:val="auto"/>
        </w:rPr>
      </w:pPr>
    </w:p>
    <w:p>
      <w:pPr>
        <w:ind w:right="220" w:firstLine="457"/>
        <w:spacing w:after="0" w:line="296" w:lineRule="auto"/>
        <w:rPr>
          <w:sz w:val="20"/>
          <w:szCs w:val="20"/>
          <w:color w:val="auto"/>
        </w:rPr>
      </w:pPr>
      <w:r>
        <w:rPr>
          <w:rFonts w:ascii="Arial" w:cs="Arial" w:eastAsia="Arial" w:hAnsi="Arial"/>
          <w:sz w:val="16"/>
          <w:szCs w:val="16"/>
          <w:color w:val="auto"/>
        </w:rPr>
        <w:t>The Company plans to continue to deploy excess cash and may do so in a variety of ways, which may include repurchasing outstanding shares of Class A common stock, paying dividends to stockholders and repurchasing its outstanding debt.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440" w:right="23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420" w:firstLine="457"/>
        <w:spacing w:after="0" w:line="296" w:lineRule="auto"/>
        <w:rPr>
          <w:sz w:val="20"/>
          <w:szCs w:val="20"/>
          <w:color w:val="auto"/>
        </w:rPr>
      </w:pPr>
      <w:r>
        <w:rPr>
          <w:rFonts w:ascii="Arial" w:cs="Arial" w:eastAsia="Arial" w:hAnsi="Arial"/>
          <w:sz w:val="16"/>
          <w:szCs w:val="16"/>
          <w:color w:val="auto"/>
        </w:rPr>
        <w:t>See Notes 11 and 12 of Notes to Condensed Consolidated Financial Statements for additional information regarding Lazard’s stockholders’ equity and incentive plans,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Capital</w:t>
      </w:r>
    </w:p>
    <w:p>
      <w:pPr>
        <w:spacing w:after="0" w:line="98" w:lineRule="exact"/>
        <w:rPr>
          <w:sz w:val="20"/>
          <w:szCs w:val="20"/>
          <w:color w:val="auto"/>
        </w:rPr>
      </w:pPr>
    </w:p>
    <w:p>
      <w:pPr>
        <w:ind w:right="40" w:firstLine="457"/>
        <w:spacing w:after="0" w:line="315" w:lineRule="auto"/>
        <w:rPr>
          <w:sz w:val="20"/>
          <w:szCs w:val="20"/>
          <w:color w:val="auto"/>
        </w:rPr>
      </w:pPr>
      <w:r>
        <w:rPr>
          <w:rFonts w:ascii="Arial" w:cs="Arial" w:eastAsia="Arial" w:hAnsi="Arial"/>
          <w:sz w:val="14"/>
          <w:szCs w:val="14"/>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16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“Business—Regulation” included in our Form 10-K.</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relating to Lazard’s contractual obligations as of June 30, 2015: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gridSpan w:val="11"/>
          </w:tcPr>
          <w:p>
            <w:pPr>
              <w:ind w:left="100"/>
              <w:spacing w:after="0"/>
              <w:rPr>
                <w:sz w:val="20"/>
                <w:szCs w:val="20"/>
                <w:color w:val="auto"/>
              </w:rPr>
            </w:pPr>
            <w:r>
              <w:rPr>
                <w:rFonts w:ascii="Arial" w:cs="Arial" w:eastAsia="Arial" w:hAnsi="Arial"/>
                <w:sz w:val="13"/>
                <w:szCs w:val="13"/>
                <w:b w:val="1"/>
                <w:bCs w:val="1"/>
                <w:color w:val="auto"/>
                <w:w w:val="91"/>
              </w:rPr>
              <w:t>Contractual Obligations Payment Due by Period</w:t>
            </w: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3"/>
              <w:spacing w:after="0" w:line="119" w:lineRule="exact"/>
              <w:rPr>
                <w:sz w:val="20"/>
                <w:szCs w:val="20"/>
                <w:color w:val="auto"/>
              </w:rPr>
            </w:pPr>
            <w:r>
              <w:rPr>
                <w:rFonts w:ascii="Arial" w:cs="Arial" w:eastAsia="Arial" w:hAnsi="Arial"/>
                <w:sz w:val="13"/>
                <w:szCs w:val="13"/>
                <w:b w:val="1"/>
                <w:bCs w:val="1"/>
                <w:color w:val="auto"/>
                <w:w w:val="82"/>
              </w:rPr>
              <w:t>Less than</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43"/>
              <w:spacing w:after="0" w:line="119" w:lineRule="exact"/>
              <w:rPr>
                <w:sz w:val="20"/>
                <w:szCs w:val="20"/>
                <w:color w:val="auto"/>
              </w:rPr>
            </w:pPr>
            <w:r>
              <w:rPr>
                <w:rFonts w:ascii="Arial" w:cs="Arial" w:eastAsia="Arial" w:hAnsi="Arial"/>
                <w:sz w:val="13"/>
                <w:szCs w:val="13"/>
                <w:b w:val="1"/>
                <w:bCs w:val="1"/>
                <w:color w:val="auto"/>
                <w:w w:val="93"/>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103"/>
              <w:spacing w:after="0"/>
              <w:rPr>
                <w:sz w:val="20"/>
                <w:szCs w:val="20"/>
                <w:color w:val="auto"/>
              </w:rPr>
            </w:pPr>
            <w:r>
              <w:rPr>
                <w:rFonts w:ascii="Arial" w:cs="Arial" w:eastAsia="Arial" w:hAnsi="Arial"/>
                <w:sz w:val="13"/>
                <w:szCs w:val="13"/>
                <w:b w:val="1"/>
                <w:bCs w:val="1"/>
                <w:color w:val="auto"/>
              </w:rPr>
              <w:t>1 Year</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auto"/>
              </w:rPr>
              <w:t>1-3 Years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Arial" w:cs="Arial" w:eastAsia="Arial" w:hAnsi="Arial"/>
                <w:sz w:val="13"/>
                <w:szCs w:val="13"/>
                <w:b w:val="1"/>
                <w:bCs w:val="1"/>
                <w:color w:val="auto"/>
              </w:rPr>
              <w:t>3-5 Years</w:t>
            </w:r>
          </w:p>
        </w:tc>
        <w:tc>
          <w:tcPr>
            <w:tcW w:w="120" w:type="dxa"/>
            <w:vAlign w:val="bottom"/>
          </w:tcPr>
          <w:p>
            <w:pPr>
              <w:spacing w:after="0"/>
              <w:rPr>
                <w:sz w:val="13"/>
                <w:szCs w:val="13"/>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2"/>
              </w:rPr>
              <w:t>5 Years</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gridSpan w:val="2"/>
          </w:tcPr>
          <w:p>
            <w:pPr>
              <w:jc w:val="right"/>
              <w:ind w:right="20"/>
              <w:spacing w:after="0" w:line="132" w:lineRule="exact"/>
              <w:rPr>
                <w:sz w:val="20"/>
                <w:szCs w:val="20"/>
                <w:color w:val="auto"/>
              </w:rPr>
            </w:pPr>
            <w:r>
              <w:rPr>
                <w:rFonts w:ascii="Arial" w:cs="Arial" w:eastAsia="Arial" w:hAnsi="Arial"/>
                <w:sz w:val="13"/>
                <w:szCs w:val="13"/>
                <w:b w:val="1"/>
                <w:bCs w:val="1"/>
                <w:color w:val="auto"/>
              </w:rPr>
              <w:t>($</w:t>
            </w:r>
          </w:p>
        </w:tc>
        <w:tc>
          <w:tcPr>
            <w:tcW w:w="780" w:type="dxa"/>
            <w:vAlign w:val="bottom"/>
            <w:tcBorders>
              <w:top w:val="single" w:sz="8" w:color="auto"/>
            </w:tcBorders>
            <w:gridSpan w:val="2"/>
          </w:tcPr>
          <w:p>
            <w:pPr>
              <w:spacing w:after="0" w:line="132" w:lineRule="exact"/>
              <w:rPr>
                <w:sz w:val="20"/>
                <w:szCs w:val="20"/>
                <w:color w:val="auto"/>
              </w:rPr>
            </w:pPr>
            <w:r>
              <w:rPr>
                <w:rFonts w:ascii="Arial" w:cs="Arial" w:eastAsia="Arial" w:hAnsi="Arial"/>
                <w:sz w:val="13"/>
                <w:szCs w:val="13"/>
                <w:b w:val="1"/>
                <w:bCs w:val="1"/>
                <w:color w:val="auto"/>
                <w:w w:val="89"/>
              </w:rPr>
              <w:t>in thousands)</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Senior Debt (including interest) (a)</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2"/>
              </w:rPr>
              <w:t>$ 1,278,616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43,612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177,587</w:t>
            </w:r>
          </w:p>
        </w:tc>
        <w:tc>
          <w:tcPr>
            <w:tcW w:w="16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72,500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984,917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gridSpan w:val="2"/>
          </w:tcPr>
          <w:p>
            <w:pPr>
              <w:spacing w:after="0"/>
              <w:rPr>
                <w:sz w:val="20"/>
                <w:szCs w:val="20"/>
                <w:color w:val="auto"/>
              </w:rPr>
            </w:pPr>
            <w:r>
              <w:rPr>
                <w:rFonts w:ascii="Arial" w:cs="Arial" w:eastAsia="Arial" w:hAnsi="Arial"/>
                <w:sz w:val="16"/>
                <w:szCs w:val="16"/>
                <w:color w:val="auto"/>
              </w:rPr>
              <w:t>Operating Leases (exclusive of $73,063 of committed sublease income)</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914,913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81,958</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145,545</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126,757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560,653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Capital Leases (including interest)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10,992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8,772</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gridSpan w:val="2"/>
          </w:tcPr>
          <w:p>
            <w:pPr>
              <w:spacing w:after="0"/>
              <w:rPr>
                <w:sz w:val="20"/>
                <w:szCs w:val="20"/>
                <w:color w:val="auto"/>
              </w:rPr>
            </w:pPr>
            <w:r>
              <w:rPr>
                <w:rFonts w:ascii="Arial" w:cs="Arial" w:eastAsia="Arial" w:hAnsi="Arial"/>
                <w:sz w:val="16"/>
                <w:szCs w:val="16"/>
                <w:color w:val="auto"/>
              </w:rPr>
              <w:t>Investment Capital Funding Commitments (b)</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16,798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16,798</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(c)</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2"/>
              </w:rPr>
              <w:t>$ 2,221,319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144,548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331,904</w:t>
            </w:r>
          </w:p>
        </w:tc>
        <w:tc>
          <w:tcPr>
            <w:tcW w:w="16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199,297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1,545,570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0" w:type="dxa"/>
            <w:vAlign w:val="bottom"/>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5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460" w:hanging="459"/>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See Note 9 of Notes to Condensed Consolidated Financial Statements.</w:t>
      </w:r>
    </w:p>
    <w:p>
      <w:pPr>
        <w:spacing w:after="0" w:line="24" w:lineRule="exact"/>
        <w:rPr>
          <w:rFonts w:ascii="Arial" w:cs="Arial" w:eastAsia="Arial" w:hAnsi="Arial"/>
          <w:sz w:val="16"/>
          <w:szCs w:val="16"/>
          <w:color w:val="auto"/>
        </w:rPr>
      </w:pPr>
    </w:p>
    <w:p>
      <w:pPr>
        <w:jc w:val="both"/>
        <w:ind w:left="460" w:right="60" w:hanging="459"/>
        <w:spacing w:after="0" w:line="264"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Unfunded commitments to private equity investments consolidated but not owned by Lazard of $6,588 are excluded. Such commitments are required to be funded by capital contributions from noncontrolling interest holders. See Note 5 of Notes to Condensed Consolidated Financial Statements. These amounts are generally due on demand and therefore are presented in the “less than 1 year” category.</w:t>
      </w:r>
    </w:p>
    <w:p>
      <w:pPr>
        <w:ind w:left="460" w:right="20" w:hanging="459"/>
        <w:spacing w:after="0" w:line="292" w:lineRule="auto"/>
        <w:tabs>
          <w:tab w:leader="none" w:pos="4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table above excludes contingent obligations, as well as any possible payments for uncertain tax positions and payments pursuant to the Company’s tax receivable agreement, given the inability to make a reasonably reliable estimate of the timing of the amounts of any such payments. At June 30, 2015, a tax receivable agreement obligation of $988,085 was recorded on the condensed consolidated statements of financial condition. See “Critical Accounting Policies and Estimates—Income Taxes” below. See also Notes 10, 12, 13 and 14 of Notes to Condensed Consolidated Financial Statements regarding information in connection with commitments, incentive plans, employee benefit plans, tax receivable agreement obligations and income taxes,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98" w:lineRule="exact"/>
        <w:rPr>
          <w:sz w:val="20"/>
          <w:szCs w:val="20"/>
          <w:color w:val="auto"/>
        </w:rPr>
      </w:pPr>
    </w:p>
    <w:p>
      <w:pPr>
        <w:ind w:right="20" w:firstLine="457"/>
        <w:spacing w:after="0" w:line="331" w:lineRule="auto"/>
        <w:rPr>
          <w:sz w:val="20"/>
          <w:szCs w:val="20"/>
          <w:color w:val="auto"/>
        </w:rPr>
      </w:pPr>
      <w:r>
        <w:rPr>
          <w:rFonts w:ascii="Arial" w:cs="Arial" w:eastAsia="Arial" w:hAnsi="Arial"/>
          <w:sz w:val="15"/>
          <w:szCs w:val="15"/>
          <w:color w:val="auto"/>
        </w:rPr>
        <w:t>Management’s discussion and analysis of our condensed consolidated financial condition and results of operations is based upon our condensed consolidated financial statements, which have been prepared in conformity with U.S. GAAP. The preparation of Lazard’s condensed consolidated financial statements requires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440" w:right="23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us to make estimates and assumptions that affect the reported amounts of assets, liabilities, revenue and expenses, and related disclosure of contingent assets and liabilities. On an ongoing basis, Lazard evaluates its estimates, including those related to revenue recognition, income taxes, investing activities and goodwill. Lazard bases these estimates on historical experience and various other assumptions that it believes to be reasonable under the circumstances, the results of which form the basis for making judgments, including judgments regarding the carrying values of assets and liabilities, that are not readily apparent from other sources. Actual results may differ from these estimates.</w:t>
      </w:r>
    </w:p>
    <w:p>
      <w:pPr>
        <w:spacing w:after="0" w:line="121" w:lineRule="exact"/>
        <w:rPr>
          <w:sz w:val="20"/>
          <w:szCs w:val="20"/>
          <w:color w:val="auto"/>
        </w:rPr>
      </w:pPr>
    </w:p>
    <w:p>
      <w:pPr>
        <w:ind w:right="260" w:firstLine="457"/>
        <w:spacing w:after="0" w:line="296" w:lineRule="auto"/>
        <w:rPr>
          <w:sz w:val="20"/>
          <w:szCs w:val="20"/>
          <w:color w:val="auto"/>
        </w:rPr>
      </w:pPr>
      <w:r>
        <w:rPr>
          <w:rFonts w:ascii="Arial" w:cs="Arial" w:eastAsia="Arial" w:hAnsi="Arial"/>
          <w:sz w:val="16"/>
          <w:szCs w:val="16"/>
          <w:color w:val="auto"/>
        </w:rPr>
        <w:t>Lazard believes that the critical accounting policies set forth below comprise the most significant estimates and judgments used in the preparation of its condensed consolidated financial statements.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94" w:lineRule="exact"/>
        <w:rPr>
          <w:sz w:val="20"/>
          <w:szCs w:val="20"/>
          <w:color w:val="auto"/>
        </w:rPr>
      </w:pPr>
    </w:p>
    <w:p>
      <w:pPr>
        <w:ind w:right="200" w:firstLine="457"/>
        <w:spacing w:after="0" w:line="296" w:lineRule="auto"/>
        <w:rPr>
          <w:sz w:val="20"/>
          <w:szCs w:val="20"/>
          <w:color w:val="auto"/>
        </w:rPr>
      </w:pPr>
      <w:r>
        <w:rPr>
          <w:rFonts w:ascii="Arial" w:cs="Arial" w:eastAsia="Arial" w:hAnsi="Arial"/>
          <w:sz w:val="16"/>
          <w:szCs w:val="16"/>
          <w:color w:val="auto"/>
        </w:rPr>
        <w:t>Lazard generates substantially all of its net revenue from providing Financial Advisory and Asset Management services to clients. Lazard recognizes revenue when the following criteria are met:</w:t>
      </w:r>
    </w:p>
    <w:p>
      <w:pPr>
        <w:spacing w:after="0" w:line="27" w:lineRule="exact"/>
        <w:rPr>
          <w:sz w:val="20"/>
          <w:szCs w:val="20"/>
          <w:color w:val="auto"/>
        </w:rPr>
      </w:pPr>
    </w:p>
    <w:p>
      <w:pPr>
        <w:ind w:left="920" w:hanging="349"/>
        <w:spacing w:after="0"/>
        <w:tabs>
          <w:tab w:leader="none" w:pos="9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there is persuasive evidence of an arrangement with a client;</w:t>
      </w:r>
    </w:p>
    <w:p>
      <w:pPr>
        <w:spacing w:after="0" w:line="94" w:lineRule="exact"/>
        <w:rPr>
          <w:rFonts w:ascii="Arial" w:cs="Arial" w:eastAsia="Arial" w:hAnsi="Arial"/>
          <w:sz w:val="16"/>
          <w:szCs w:val="16"/>
          <w:color w:val="auto"/>
        </w:rPr>
      </w:pPr>
    </w:p>
    <w:p>
      <w:pPr>
        <w:ind w:left="920" w:hanging="349"/>
        <w:spacing w:after="0"/>
        <w:tabs>
          <w:tab w:leader="none" w:pos="9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agreed-upon services have been provided;</w:t>
      </w:r>
    </w:p>
    <w:p>
      <w:pPr>
        <w:spacing w:after="0" w:line="94" w:lineRule="exact"/>
        <w:rPr>
          <w:rFonts w:ascii="Arial" w:cs="Arial" w:eastAsia="Arial" w:hAnsi="Arial"/>
          <w:sz w:val="16"/>
          <w:szCs w:val="16"/>
          <w:color w:val="auto"/>
        </w:rPr>
      </w:pPr>
    </w:p>
    <w:p>
      <w:pPr>
        <w:ind w:left="920" w:hanging="349"/>
        <w:spacing w:after="0"/>
        <w:tabs>
          <w:tab w:leader="none" w:pos="9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fees are fixed or determinable; and</w:t>
      </w:r>
    </w:p>
    <w:p>
      <w:pPr>
        <w:spacing w:after="0" w:line="94" w:lineRule="exact"/>
        <w:rPr>
          <w:rFonts w:ascii="Arial" w:cs="Arial" w:eastAsia="Arial" w:hAnsi="Arial"/>
          <w:sz w:val="16"/>
          <w:szCs w:val="16"/>
          <w:color w:val="auto"/>
        </w:rPr>
      </w:pPr>
    </w:p>
    <w:p>
      <w:pPr>
        <w:ind w:left="920" w:hanging="349"/>
        <w:spacing w:after="0"/>
        <w:tabs>
          <w:tab w:leader="none" w:pos="9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collection is probable.</w:t>
      </w:r>
    </w:p>
    <w:p>
      <w:pPr>
        <w:spacing w:after="0" w:line="170" w:lineRule="exact"/>
        <w:rPr>
          <w:sz w:val="20"/>
          <w:szCs w:val="20"/>
          <w:color w:val="auto"/>
        </w:rPr>
      </w:pPr>
    </w:p>
    <w:p>
      <w:pPr>
        <w:ind w:right="120" w:firstLine="457"/>
        <w:spacing w:after="0" w:line="296" w:lineRule="auto"/>
        <w:rPr>
          <w:sz w:val="20"/>
          <w:szCs w:val="20"/>
          <w:color w:val="auto"/>
        </w:rPr>
      </w:pPr>
      <w:r>
        <w:rPr>
          <w:rFonts w:ascii="Arial" w:cs="Arial" w:eastAsia="Arial" w:hAnsi="Arial"/>
          <w:sz w:val="16"/>
          <w:szCs w:val="16"/>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103" w:lineRule="exact"/>
        <w:rPr>
          <w:sz w:val="20"/>
          <w:szCs w:val="20"/>
          <w:color w:val="auto"/>
        </w:rPr>
      </w:pPr>
    </w:p>
    <w:p>
      <w:pPr>
        <w:ind w:right="40" w:firstLine="457"/>
        <w:spacing w:after="0" w:line="274" w:lineRule="auto"/>
        <w:rPr>
          <w:sz w:val="20"/>
          <w:szCs w:val="20"/>
          <w:color w:val="auto"/>
        </w:rPr>
      </w:pPr>
      <w:r>
        <w:rPr>
          <w:rFonts w:ascii="Arial" w:cs="Arial" w:eastAsia="Arial" w:hAnsi="Arial"/>
          <w:sz w:val="16"/>
          <w:szCs w:val="16"/>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21" w:lineRule="exact"/>
        <w:rPr>
          <w:sz w:val="20"/>
          <w:szCs w:val="20"/>
          <w:color w:val="auto"/>
        </w:rPr>
      </w:pPr>
    </w:p>
    <w:p>
      <w:pPr>
        <w:ind w:right="20" w:firstLine="457"/>
        <w:spacing w:after="0" w:line="290" w:lineRule="auto"/>
        <w:rPr>
          <w:sz w:val="20"/>
          <w:szCs w:val="20"/>
          <w:color w:val="auto"/>
        </w:rPr>
      </w:pPr>
      <w:r>
        <w:rPr>
          <w:rFonts w:ascii="Arial" w:cs="Arial" w:eastAsia="Arial" w:hAnsi="Arial"/>
          <w:sz w:val="15"/>
          <w:szCs w:val="15"/>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Compensation Liabilities</w:t>
      </w:r>
    </w:p>
    <w:p>
      <w:pPr>
        <w:spacing w:after="0" w:line="94" w:lineRule="exact"/>
        <w:rPr>
          <w:sz w:val="20"/>
          <w:szCs w:val="20"/>
          <w:color w:val="auto"/>
        </w:rPr>
      </w:pPr>
    </w:p>
    <w:p>
      <w:pPr>
        <w:ind w:firstLine="457"/>
        <w:spacing w:after="0" w:line="274" w:lineRule="auto"/>
        <w:rPr>
          <w:sz w:val="20"/>
          <w:szCs w:val="20"/>
          <w:color w:val="auto"/>
        </w:rPr>
      </w:pPr>
      <w:r>
        <w:rPr>
          <w:rFonts w:ascii="Arial" w:cs="Arial" w:eastAsia="Arial" w:hAnsi="Arial"/>
          <w:sz w:val="16"/>
          <w:szCs w:val="16"/>
          <w:color w:val="auto"/>
        </w:rPr>
        <w:t>Annual discretionary compensation represents a significant portion of our annual compensation and benefits expense. We allocate the estimated amount of such annual discretionary compensation to interim periods in proportion to the amount of operating revenue earned in such periods based on an assumed annual ratio of awarded compensation and benefits expense to operating revenue. See “Financial Statement Overview—Operating Expenses” for more information on our periodic compensation and benefits expense.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440" w:right="23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Income Taxes</w:t>
      </w:r>
    </w:p>
    <w:p>
      <w:pPr>
        <w:spacing w:after="0" w:line="94" w:lineRule="exact"/>
        <w:rPr>
          <w:sz w:val="20"/>
          <w:szCs w:val="20"/>
          <w:color w:val="auto"/>
        </w:rPr>
      </w:pPr>
    </w:p>
    <w:p>
      <w:pPr>
        <w:ind w:right="160" w:firstLine="457"/>
        <w:spacing w:after="0" w:line="272" w:lineRule="auto"/>
        <w:rPr>
          <w:sz w:val="20"/>
          <w:szCs w:val="20"/>
          <w:color w:val="auto"/>
        </w:rPr>
      </w:pPr>
      <w:r>
        <w:rPr>
          <w:rFonts w:ascii="Arial" w:cs="Arial" w:eastAsia="Arial" w:hAnsi="Arial"/>
          <w:sz w:val="16"/>
          <w:szCs w:val="16"/>
          <w:color w:val="auto"/>
        </w:rPr>
        <w:t>As part of the process of preparing our consolidated financial statements, we estimate our income taxes for each of our tax-paying entities in its respective jurisdictions. In addition to estimating actual current tax liabilities for these jurisdictions, we also must account for the tax effects of differences between the financial reporting and tax reporting of items, such as basis adjustments, compensation and benefits expense, and depreciation and amortization. Differences which are temporary in nature result in deferred tax assets and liabilities. Significant judgment is required in determining our provision for income taxes, our deferred tax assets and liabilities, any valuation allowance recorded against our deferred tax assets and our unrecognized tax benefits.</w:t>
      </w:r>
    </w:p>
    <w:p>
      <w:pPr>
        <w:spacing w:after="0" w:line="121" w:lineRule="exact"/>
        <w:rPr>
          <w:sz w:val="20"/>
          <w:szCs w:val="20"/>
          <w:color w:val="auto"/>
        </w:rPr>
      </w:pPr>
    </w:p>
    <w:p>
      <w:pPr>
        <w:ind w:right="280" w:firstLine="457"/>
        <w:spacing w:after="0" w:line="280" w:lineRule="auto"/>
        <w:rPr>
          <w:sz w:val="20"/>
          <w:szCs w:val="20"/>
          <w:color w:val="auto"/>
        </w:rPr>
      </w:pPr>
      <w:r>
        <w:rPr>
          <w:rFonts w:ascii="Arial" w:cs="Arial" w:eastAsia="Arial" w:hAnsi="Arial"/>
          <w:sz w:val="16"/>
          <w:szCs w:val="16"/>
          <w:color w:val="auto"/>
        </w:rPr>
        <w:t>We recognize a deferred tax asset if it is more likely than not (defined as a likelihood of greater than 50%) that a tax benefit will be accepted by a taxing authority. The measurement of deferred tax assets and liabilities is based upon currently enacted tax rates in the applicable jurisdictions. At December 31, 2014, on a consolidated basis, we recorded gross deferred tax assets of approximately $1.18 billion.</w:t>
      </w:r>
    </w:p>
    <w:p>
      <w:pPr>
        <w:spacing w:after="0" w:line="115" w:lineRule="exact"/>
        <w:rPr>
          <w:sz w:val="20"/>
          <w:szCs w:val="20"/>
          <w:color w:val="auto"/>
        </w:rPr>
      </w:pPr>
    </w:p>
    <w:p>
      <w:pPr>
        <w:ind w:firstLine="457"/>
        <w:spacing w:after="0" w:line="274" w:lineRule="auto"/>
        <w:rPr>
          <w:sz w:val="20"/>
          <w:szCs w:val="20"/>
          <w:color w:val="auto"/>
        </w:rPr>
      </w:pPr>
      <w:r>
        <w:rPr>
          <w:rFonts w:ascii="Arial" w:cs="Arial" w:eastAsia="Arial" w:hAnsi="Arial"/>
          <w:sz w:val="16"/>
          <w:szCs w:val="16"/>
          <w:color w:val="auto"/>
        </w:rPr>
        <w:t>Subsequent to the initial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 applicable deferred tax asset, taking into account all available information. The ultimate realization of a deferred tax asset for a particular entity depends, among other things, on the generation of taxable income by such entity in the applicable jurisdiction.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consider multiple possible sources of taxable income when assessing a valuation allowance against a deferred tax asset, including:</w:t>
      </w:r>
    </w:p>
    <w:p>
      <w:pPr>
        <w:spacing w:after="0" w:line="94" w:lineRule="exact"/>
        <w:rPr>
          <w:sz w:val="20"/>
          <w:szCs w:val="20"/>
          <w:color w:val="auto"/>
        </w:rPr>
      </w:pPr>
    </w:p>
    <w:p>
      <w:pPr>
        <w:ind w:left="920" w:hanging="349"/>
        <w:spacing w:after="0"/>
        <w:tabs>
          <w:tab w:leader="none" w:pos="9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future reversals of existing taxable temporary differences;</w:t>
      </w:r>
    </w:p>
    <w:p>
      <w:pPr>
        <w:spacing w:after="0" w:line="94" w:lineRule="exact"/>
        <w:rPr>
          <w:rFonts w:ascii="Arial" w:cs="Arial" w:eastAsia="Arial" w:hAnsi="Arial"/>
          <w:sz w:val="16"/>
          <w:szCs w:val="16"/>
          <w:color w:val="auto"/>
        </w:rPr>
      </w:pPr>
    </w:p>
    <w:p>
      <w:pPr>
        <w:ind w:left="920" w:hanging="349"/>
        <w:spacing w:after="0"/>
        <w:tabs>
          <w:tab w:leader="none" w:pos="9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future taxable income exclusive of reversing temporary differences and carryforwards;</w:t>
      </w:r>
    </w:p>
    <w:p>
      <w:pPr>
        <w:spacing w:after="0" w:line="94" w:lineRule="exact"/>
        <w:rPr>
          <w:rFonts w:ascii="Arial" w:cs="Arial" w:eastAsia="Arial" w:hAnsi="Arial"/>
          <w:sz w:val="16"/>
          <w:szCs w:val="16"/>
          <w:color w:val="auto"/>
        </w:rPr>
      </w:pPr>
    </w:p>
    <w:p>
      <w:pPr>
        <w:ind w:left="920" w:hanging="349"/>
        <w:spacing w:after="0"/>
        <w:tabs>
          <w:tab w:leader="none" w:pos="9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taxable income in prior carryback years; and</w:t>
      </w:r>
    </w:p>
    <w:p>
      <w:pPr>
        <w:spacing w:after="0" w:line="94" w:lineRule="exact"/>
        <w:rPr>
          <w:rFonts w:ascii="Arial" w:cs="Arial" w:eastAsia="Arial" w:hAnsi="Arial"/>
          <w:sz w:val="16"/>
          <w:szCs w:val="16"/>
          <w:color w:val="auto"/>
        </w:rPr>
      </w:pPr>
    </w:p>
    <w:p>
      <w:pPr>
        <w:ind w:left="920" w:hanging="349"/>
        <w:spacing w:after="0"/>
        <w:tabs>
          <w:tab w:leader="none" w:pos="9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tax-planning strategies.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assessment regarding whether a valuation allowance is required or should be adjusted also considers all available information, including the following:</w:t>
      </w:r>
    </w:p>
    <w:p>
      <w:pPr>
        <w:spacing w:after="0" w:line="94" w:lineRule="exact"/>
        <w:rPr>
          <w:sz w:val="20"/>
          <w:szCs w:val="20"/>
          <w:color w:val="auto"/>
        </w:rPr>
      </w:pPr>
    </w:p>
    <w:p>
      <w:pPr>
        <w:ind w:left="920" w:hanging="349"/>
        <w:spacing w:after="0"/>
        <w:tabs>
          <w:tab w:leader="none" w:pos="9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nature, frequency, magnitude and duration of any past losses and current operating results;</w:t>
      </w:r>
    </w:p>
    <w:p>
      <w:pPr>
        <w:spacing w:after="0" w:line="94" w:lineRule="exact"/>
        <w:rPr>
          <w:rFonts w:ascii="Arial" w:cs="Arial" w:eastAsia="Arial" w:hAnsi="Arial"/>
          <w:sz w:val="16"/>
          <w:szCs w:val="16"/>
          <w:color w:val="auto"/>
        </w:rPr>
      </w:pPr>
    </w:p>
    <w:p>
      <w:pPr>
        <w:ind w:left="920" w:hanging="349"/>
        <w:spacing w:after="0"/>
        <w:tabs>
          <w:tab w:leader="none" w:pos="9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duration of statutory carryforward periods;</w:t>
      </w:r>
    </w:p>
    <w:p>
      <w:pPr>
        <w:spacing w:after="0" w:line="94" w:lineRule="exact"/>
        <w:rPr>
          <w:rFonts w:ascii="Arial" w:cs="Arial" w:eastAsia="Arial" w:hAnsi="Arial"/>
          <w:sz w:val="16"/>
          <w:szCs w:val="16"/>
          <w:color w:val="auto"/>
        </w:rPr>
      </w:pPr>
    </w:p>
    <w:p>
      <w:pPr>
        <w:ind w:left="920" w:hanging="349"/>
        <w:spacing w:after="0"/>
        <w:tabs>
          <w:tab w:leader="none" w:pos="9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historical experience with tax attributes expiring unused; and</w:t>
      </w:r>
    </w:p>
    <w:p>
      <w:pPr>
        <w:spacing w:after="0" w:line="94" w:lineRule="exact"/>
        <w:rPr>
          <w:rFonts w:ascii="Arial" w:cs="Arial" w:eastAsia="Arial" w:hAnsi="Arial"/>
          <w:sz w:val="16"/>
          <w:szCs w:val="16"/>
          <w:color w:val="auto"/>
        </w:rPr>
      </w:pPr>
    </w:p>
    <w:p>
      <w:pPr>
        <w:ind w:left="920" w:hanging="349"/>
        <w:spacing w:after="0"/>
        <w:tabs>
          <w:tab w:leader="none" w:pos="9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near-term and medium-term financial outlook.</w:t>
      </w:r>
    </w:p>
    <w:p>
      <w:pPr>
        <w:spacing w:after="0" w:line="170" w:lineRule="exact"/>
        <w:rPr>
          <w:sz w:val="20"/>
          <w:szCs w:val="20"/>
          <w:color w:val="auto"/>
        </w:rPr>
      </w:pPr>
    </w:p>
    <w:p>
      <w:pPr>
        <w:jc w:val="both"/>
        <w:ind w:right="40" w:firstLine="457"/>
        <w:spacing w:after="0" w:line="280" w:lineRule="auto"/>
        <w:rPr>
          <w:sz w:val="20"/>
          <w:szCs w:val="20"/>
          <w:color w:val="auto"/>
        </w:rPr>
      </w:pPr>
      <w:r>
        <w:rPr>
          <w:rFonts w:ascii="Arial" w:cs="Arial" w:eastAsia="Arial" w:hAnsi="Arial"/>
          <w:sz w:val="16"/>
          <w:szCs w:val="16"/>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objectively verifiable evidence and will generally outweigh a projection of future taxable income.</w:t>
      </w:r>
    </w:p>
    <w:p>
      <w:pPr>
        <w:spacing w:after="0" w:line="115" w:lineRule="exact"/>
        <w:rPr>
          <w:sz w:val="20"/>
          <w:szCs w:val="20"/>
          <w:color w:val="auto"/>
        </w:rPr>
      </w:pPr>
    </w:p>
    <w:p>
      <w:pPr>
        <w:ind w:right="20" w:firstLine="457"/>
        <w:spacing w:after="0" w:line="269" w:lineRule="auto"/>
        <w:rPr>
          <w:sz w:val="20"/>
          <w:szCs w:val="20"/>
          <w:color w:val="auto"/>
        </w:rPr>
      </w:pPr>
      <w:r>
        <w:rPr>
          <w:rFonts w:ascii="Arial" w:cs="Arial" w:eastAsia="Arial" w:hAnsi="Arial"/>
          <w:sz w:val="16"/>
          <w:szCs w:val="16"/>
          <w:color w:val="auto"/>
        </w:rPr>
        <w:t>Certain of our tax-paying entities at which we have historically recorded significant valuation allowances were profitable on a cumulative basis for the three year period ended June 30, 2015. In assessing our valuation allowance as of June 30, 2015, we considered all available information, including the magnitude of recent and current operating results, the relatively long duration of statutory carryforward periods, our historical experience utilizing tax attributes prior to their expiration dates, the historical volatility of operating results of these entities and our assessment regarding the sustainability of their profitability. We concluded that there is now a sufficient history of sustained profitability at these entities that it is more likely than not that these entities will be able to realize deferred tax assets. Accordingly, during the period ended June 30, 2015, we released substantially all of the valuation allowance against the deferred tax assets held by these entities, with the exception of the portion of the valuation allowance that we currently expect to utilize in the current year.</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440" w:right="239"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As a result, during the quarter ended June 30, 2015, we recorded a deferred tax benefit of $821 million. In addition, we also recorded a separate deferred tax benefit of $378 million that reflects the tax deductibility of payments under the Amended and Restated Tax Receivable Agreement. See “—Amended and Restated Tax Receivable Agreement” below for more information regarding our accrual under the Amended and Restated Tax Receivable Agreement.</w:t>
      </w:r>
    </w:p>
    <w:p>
      <w:pPr>
        <w:spacing w:after="0" w:line="115" w:lineRule="exact"/>
        <w:rPr>
          <w:sz w:val="20"/>
          <w:szCs w:val="20"/>
          <w:color w:val="auto"/>
        </w:rPr>
      </w:pPr>
    </w:p>
    <w:p>
      <w:pPr>
        <w:ind w:right="80" w:firstLine="457"/>
        <w:spacing w:after="0" w:line="298" w:lineRule="auto"/>
        <w:rPr>
          <w:sz w:val="20"/>
          <w:szCs w:val="20"/>
          <w:color w:val="auto"/>
        </w:rPr>
      </w:pPr>
      <w:r>
        <w:rPr>
          <w:rFonts w:ascii="Arial" w:cs="Arial" w:eastAsia="Arial" w:hAnsi="Arial"/>
          <w:sz w:val="15"/>
          <w:szCs w:val="15"/>
          <w:color w:val="auto"/>
        </w:rPr>
        <w:t>As a result of the release of our valuation allowance during the quarter ended June 30, 2015, we expect that, beginning in 2016, our effective tax rate, with all other factors being held constant, could be significantly higher than our effective tax rate for the year ended December 31, 2014. In such a situation, with all other factors being held constant, an increase in our effective tax rate as a result of the reduction in the valuation allowance would not impact the amount of cash income taxes we would pay to taxing authorities. However, as described below, payments under the Amended and Restated Tax Receivable Agreement may be required in subsequent periods.</w:t>
      </w:r>
    </w:p>
    <w:p>
      <w:pPr>
        <w:spacing w:after="0" w:line="105" w:lineRule="exact"/>
        <w:rPr>
          <w:sz w:val="20"/>
          <w:szCs w:val="20"/>
          <w:color w:val="auto"/>
        </w:rPr>
      </w:pPr>
    </w:p>
    <w:p>
      <w:pPr>
        <w:ind w:right="60" w:firstLine="457"/>
        <w:spacing w:after="0" w:line="272" w:lineRule="auto"/>
        <w:rPr>
          <w:sz w:val="20"/>
          <w:szCs w:val="20"/>
          <w:color w:val="auto"/>
        </w:rPr>
      </w:pPr>
      <w:r>
        <w:rPr>
          <w:rFonts w:ascii="Arial" w:cs="Arial" w:eastAsia="Arial" w:hAnsi="Arial"/>
          <w:sz w:val="16"/>
          <w:szCs w:val="16"/>
          <w:color w:val="auto"/>
        </w:rPr>
        <w:t>We record tax positions taken or expected to be taken in a tax return based upon our estimates regarding the amount that is more likely than not to be realized or paid, including in connection with the resolution of any related appeals or other legal processes. Accordingly, we recognize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121" w:lineRule="exact"/>
        <w:rPr>
          <w:sz w:val="20"/>
          <w:szCs w:val="20"/>
          <w:color w:val="auto"/>
        </w:rPr>
      </w:pPr>
    </w:p>
    <w:p>
      <w:pPr>
        <w:ind w:right="300" w:firstLine="457"/>
        <w:spacing w:after="0" w:line="280" w:lineRule="auto"/>
        <w:rPr>
          <w:sz w:val="20"/>
          <w:szCs w:val="20"/>
          <w:color w:val="auto"/>
        </w:rPr>
      </w:pPr>
      <w:r>
        <w:rPr>
          <w:rFonts w:ascii="Arial" w:cs="Arial" w:eastAsia="Arial" w:hAnsi="Arial"/>
          <w:sz w:val="16"/>
          <w:szCs w:val="16"/>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Item 1A, “Risk Factors” and Note 14 of Notes to Condensed Consolidated Financial Statements for additional information related to income taxes.</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Amended and Restated Tax Receivable Agreement</w:t>
      </w:r>
    </w:p>
    <w:p>
      <w:pPr>
        <w:spacing w:after="0" w:line="94" w:lineRule="exact"/>
        <w:rPr>
          <w:sz w:val="20"/>
          <w:szCs w:val="20"/>
          <w:color w:val="auto"/>
        </w:rPr>
      </w:pPr>
    </w:p>
    <w:p>
      <w:pPr>
        <w:ind w:right="40" w:firstLine="457"/>
        <w:spacing w:after="0" w:line="272" w:lineRule="auto"/>
        <w:rPr>
          <w:sz w:val="20"/>
          <w:szCs w:val="20"/>
          <w:color w:val="auto"/>
        </w:rPr>
      </w:pPr>
      <w:r>
        <w:rPr>
          <w:rFonts w:ascii="Arial" w:cs="Arial" w:eastAsia="Arial" w:hAnsi="Arial"/>
          <w:sz w:val="16"/>
          <w:szCs w:val="16"/>
          <w:color w:val="auto"/>
        </w:rPr>
        <w:t>As described above, during the period ended June 30, 2015, we released substantially all of our valuation allowance against deferred tax assets. As a result, we accrued a corresponding liability of $962 million during the quarter ended June 30, 2015 for amounts relating to the Amended and Restated Tax Receivable Agreement, dated as of June 16, 2015 (the “Amended and Restated Tax Receivable Agreement”), among Lazard, LMDC Holdings LLC and LTBP Trust (the “Trust”). See Note 14 of Notes to Condensed Consolidated Financial Statements for additional information regarding the Amended and Restated Tax Receivable Agreement. The cumulative liability recorded as of June 30, 2015 was $988 million.</w:t>
      </w:r>
    </w:p>
    <w:p>
      <w:pPr>
        <w:spacing w:after="0" w:line="121" w:lineRule="exact"/>
        <w:rPr>
          <w:sz w:val="20"/>
          <w:szCs w:val="20"/>
          <w:color w:val="auto"/>
        </w:rPr>
      </w:pPr>
    </w:p>
    <w:p>
      <w:pPr>
        <w:ind w:right="40" w:firstLine="457"/>
        <w:spacing w:after="0" w:line="272" w:lineRule="auto"/>
        <w:rPr>
          <w:sz w:val="20"/>
          <w:szCs w:val="20"/>
          <w:color w:val="auto"/>
        </w:rPr>
      </w:pPr>
      <w:r>
        <w:rPr>
          <w:rFonts w:ascii="Arial" w:cs="Arial" w:eastAsia="Arial" w:hAnsi="Arial"/>
          <w:sz w:val="16"/>
          <w:szCs w:val="16"/>
          <w:color w:val="auto"/>
        </w:rPr>
        <w:t>The amount of the Amended and Restated Tax Receivable Agreement liability is an undiscounted amount based upon currently enacted tax laws, the current structure of the Company and various assumptions regarding potential future operating profitability. The assumptions reflected in the estimate involve significant judgment. As such, the actual amount and timing of payments under the Amended and Restated Tax Receivable Agreement could differ materially from our estimates. Any changes in the amount of the estimated liability would be recorded as a non-compensation expense in the consolidated statement of operations. Adjustments, if necessary, to the related deferred tax assets would be recorded through income tax expense.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440" w:right="23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Subsequent Event</w:t>
      </w:r>
    </w:p>
    <w:p>
      <w:pPr>
        <w:spacing w:after="0" w:line="94" w:lineRule="exact"/>
        <w:rPr>
          <w:sz w:val="20"/>
          <w:szCs w:val="20"/>
          <w:color w:val="auto"/>
        </w:rPr>
      </w:pPr>
    </w:p>
    <w:p>
      <w:pPr>
        <w:ind w:firstLine="457"/>
        <w:spacing w:after="0" w:line="272" w:lineRule="auto"/>
        <w:rPr>
          <w:sz w:val="20"/>
          <w:szCs w:val="20"/>
          <w:color w:val="auto"/>
        </w:rPr>
      </w:pPr>
      <w:r>
        <w:rPr>
          <w:rFonts w:ascii="Arial" w:cs="Arial" w:eastAsia="Arial" w:hAnsi="Arial"/>
          <w:sz w:val="16"/>
          <w:szCs w:val="16"/>
          <w:color w:val="auto"/>
        </w:rPr>
        <w:t>In July 2015, we purchased approximately 46.9% of the then-outstanding beneficial interests in the Trust from certain owners of the Trust for $42 million in cash, which resulted in the automatic cancellation of such beneficial interests and the extinguishment of the corresponding portion of our payment obligations under the Amended and Restated Tax Receivable Agreement. We expect that the extinguishment of the obligations described above, and the corresponding reduction of related deferred tax assets, will have the effect of increasing our net income by approximately $290 million in the third quarter of 2015 and will be reflected in our condensed consolidated financial statements in the third quarter of 2015.</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Investments</w:t>
      </w:r>
    </w:p>
    <w:p>
      <w:pPr>
        <w:spacing w:after="0" w:line="94" w:lineRule="exact"/>
        <w:rPr>
          <w:sz w:val="20"/>
          <w:szCs w:val="20"/>
          <w:color w:val="auto"/>
        </w:rPr>
      </w:pPr>
    </w:p>
    <w:p>
      <w:pPr>
        <w:ind w:right="300" w:firstLine="457"/>
        <w:spacing w:after="0" w:line="296" w:lineRule="auto"/>
        <w:rPr>
          <w:sz w:val="20"/>
          <w:szCs w:val="20"/>
          <w:color w:val="auto"/>
        </w:rPr>
      </w:pPr>
      <w:r>
        <w:rPr>
          <w:rFonts w:ascii="Arial" w:cs="Arial" w:eastAsia="Arial" w:hAnsi="Arial"/>
          <w:sz w:val="16"/>
          <w:szCs w:val="16"/>
          <w:color w:val="auto"/>
        </w:rPr>
        <w:t>Investments consist primarily of interest-bearing deposits, debt and equity securities, interests in alternative investment, debt, equity and private equity funds and investments accounted for under the equity method of accounting.</w:t>
      </w:r>
    </w:p>
    <w:p>
      <w:pPr>
        <w:spacing w:after="0" w:line="103" w:lineRule="exact"/>
        <w:rPr>
          <w:sz w:val="20"/>
          <w:szCs w:val="20"/>
          <w:color w:val="auto"/>
        </w:rPr>
      </w:pPr>
    </w:p>
    <w:p>
      <w:pPr>
        <w:ind w:right="60" w:firstLine="457"/>
        <w:spacing w:after="0" w:line="274" w:lineRule="auto"/>
        <w:rPr>
          <w:sz w:val="20"/>
          <w:szCs w:val="20"/>
          <w:color w:val="auto"/>
        </w:rPr>
      </w:pPr>
      <w:r>
        <w:rPr>
          <w:rFonts w:ascii="Arial" w:cs="Arial" w:eastAsia="Arial" w:hAnsi="Arial"/>
          <w:sz w:val="16"/>
          <w:szCs w:val="16"/>
          <w:color w:val="auto"/>
        </w:rPr>
        <w:t>These investments, with the exception of interest-bearing deposits and equity method investments, are carried at fair value on the condensed consolidated statements of financial condition, and any increases or decreases in the fair value of these investments are reflected in earnings. The fair value of investments is generally based upon market prices or the net asset value (“NAV”) or its equivalent for investments in funds. See Note 5 of Notes to Condensed Consolidated Financial Statements for additional information on the measurement of the fair value of investments.</w:t>
      </w:r>
    </w:p>
    <w:p>
      <w:pPr>
        <w:spacing w:after="0" w:line="121" w:lineRule="exact"/>
        <w:rPr>
          <w:sz w:val="20"/>
          <w:szCs w:val="20"/>
          <w:color w:val="auto"/>
        </w:rPr>
      </w:pPr>
    </w:p>
    <w:p>
      <w:pPr>
        <w:ind w:right="400" w:firstLine="457"/>
        <w:spacing w:after="0" w:line="296" w:lineRule="auto"/>
        <w:rPr>
          <w:sz w:val="20"/>
          <w:szCs w:val="20"/>
          <w:color w:val="auto"/>
        </w:rPr>
      </w:pPr>
      <w:r>
        <w:rPr>
          <w:rFonts w:ascii="Arial" w:cs="Arial" w:eastAsia="Arial" w:hAnsi="Arial"/>
          <w:sz w:val="16"/>
          <w:szCs w:val="16"/>
          <w:color w:val="auto"/>
        </w:rPr>
        <w:t>Gains and losses on investment positions held, which arise from sales or changes in the fair value of the investments, are not predictable and can cause periodic fluctuations in net income and therefore subject Lazard to market and credit risk.</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Data relating to investments is set forth below:</w:t>
      </w:r>
    </w:p>
    <w:p>
      <w:pPr>
        <w:spacing w:after="0" w:line="194"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40" w:type="dxa"/>
            <w:vAlign w:val="bottom"/>
          </w:tcPr>
          <w:p>
            <w:pPr>
              <w:jc w:val="right"/>
              <w:ind w:right="4"/>
              <w:spacing w:after="0"/>
              <w:rPr>
                <w:sz w:val="20"/>
                <w:szCs w:val="20"/>
                <w:color w:val="auto"/>
              </w:rPr>
            </w:pPr>
            <w:r>
              <w:rPr>
                <w:rFonts w:ascii="Arial" w:cs="Arial" w:eastAsia="Arial" w:hAnsi="Arial"/>
                <w:sz w:val="13"/>
                <w:szCs w:val="13"/>
                <w:b w:val="1"/>
                <w:bCs w:val="1"/>
                <w:color w:val="auto"/>
              </w:rPr>
              <w:t>June 30,</w:t>
            </w:r>
          </w:p>
        </w:tc>
        <w:tc>
          <w:tcPr>
            <w:tcW w:w="1540" w:type="dxa"/>
            <w:vAlign w:val="bottom"/>
            <w:gridSpan w:val="4"/>
          </w:tcPr>
          <w:p>
            <w:pPr>
              <w:ind w:left="700"/>
              <w:spacing w:after="0"/>
              <w:rPr>
                <w:sz w:val="20"/>
                <w:szCs w:val="20"/>
                <w:color w:val="auto"/>
              </w:rPr>
            </w:pPr>
            <w:r>
              <w:rPr>
                <w:rFonts w:ascii="Arial" w:cs="Arial" w:eastAsia="Arial" w:hAnsi="Arial"/>
                <w:sz w:val="13"/>
                <w:szCs w:val="13"/>
                <w:b w:val="1"/>
                <w:bCs w:val="1"/>
                <w:color w:val="auto"/>
                <w:w w:val="96"/>
              </w:rPr>
              <w:t>December 31,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1660" w:type="dxa"/>
            <w:vAlign w:val="bottom"/>
            <w:gridSpan w:val="2"/>
          </w:tcPr>
          <w:p>
            <w:pPr>
              <w:jc w:val="right"/>
              <w:ind w:right="124"/>
              <w:spacing w:after="0"/>
              <w:rPr>
                <w:sz w:val="20"/>
                <w:szCs w:val="20"/>
                <w:color w:val="auto"/>
              </w:rPr>
            </w:pPr>
            <w:r>
              <w:rPr>
                <w:rFonts w:ascii="Arial" w:cs="Arial" w:eastAsia="Arial" w:hAnsi="Arial"/>
                <w:sz w:val="13"/>
                <w:szCs w:val="13"/>
                <w:b w:val="1"/>
                <w:bCs w:val="1"/>
                <w:color w:val="auto"/>
              </w:rPr>
              <w:t>2015</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79"/>
              <w:spacing w:after="0"/>
              <w:rPr>
                <w:sz w:val="20"/>
                <w:szCs w:val="20"/>
                <w:color w:val="auto"/>
              </w:rPr>
            </w:pPr>
            <w:r>
              <w:rPr>
                <w:rFonts w:ascii="Arial" w:cs="Arial" w:eastAsia="Arial" w:hAnsi="Arial"/>
                <w:sz w:val="13"/>
                <w:szCs w:val="13"/>
                <w:b w:val="1"/>
                <w:bCs w:val="1"/>
                <w:color w:val="auto"/>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500" w:type="dxa"/>
            <w:vAlign w:val="bottom"/>
            <w:tcBorders>
              <w:top w:val="single" w:sz="8" w:color="auto"/>
            </w:tcBorders>
            <w:gridSpan w:val="3"/>
          </w:tcPr>
          <w:p>
            <w:pPr>
              <w:ind w:left="600"/>
              <w:spacing w:after="0" w:line="144" w:lineRule="exact"/>
              <w:rPr>
                <w:sz w:val="20"/>
                <w:szCs w:val="20"/>
                <w:color w:val="auto"/>
              </w:rPr>
            </w:pPr>
            <w:r>
              <w:rPr>
                <w:rFonts w:ascii="Arial" w:cs="Arial" w:eastAsia="Arial" w:hAnsi="Arial"/>
                <w:sz w:val="13"/>
                <w:szCs w:val="13"/>
                <w:b w:val="1"/>
                <w:bCs w:val="1"/>
                <w:color w:val="auto"/>
                <w:w w:val="87"/>
              </w:rPr>
              <w:t>($ in thousands)</w:t>
            </w: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6"/>
                <w:szCs w:val="16"/>
                <w:color w:val="auto"/>
              </w:rPr>
              <w:t>Seed investments by asset class:</w:t>
            </w: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60" w:type="dxa"/>
            <w:vAlign w:val="bottom"/>
          </w:tcPr>
          <w:p>
            <w:pPr>
              <w:ind w:left="380"/>
              <w:spacing w:after="0"/>
              <w:rPr>
                <w:sz w:val="20"/>
                <w:szCs w:val="20"/>
                <w:color w:val="auto"/>
              </w:rPr>
            </w:pPr>
            <w:r>
              <w:rPr>
                <w:rFonts w:ascii="Arial" w:cs="Arial" w:eastAsia="Arial" w:hAnsi="Arial"/>
                <w:sz w:val="16"/>
                <w:szCs w:val="16"/>
                <w:color w:val="auto"/>
              </w:rPr>
              <w:t>Equities (a)</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$ 114,167</w:t>
            </w:r>
          </w:p>
        </w:tc>
        <w:tc>
          <w:tcPr>
            <w:tcW w:w="86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121,611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Fixed income</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21,899</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60" w:type="dxa"/>
            <w:vAlign w:val="bottom"/>
          </w:tcPr>
          <w:p>
            <w:pPr>
              <w:ind w:left="380"/>
              <w:spacing w:after="0"/>
              <w:rPr>
                <w:sz w:val="20"/>
                <w:szCs w:val="20"/>
                <w:color w:val="auto"/>
              </w:rPr>
            </w:pPr>
            <w:r>
              <w:rPr>
                <w:rFonts w:ascii="Arial" w:cs="Arial" w:eastAsia="Arial" w:hAnsi="Arial"/>
                <w:sz w:val="16"/>
                <w:szCs w:val="16"/>
                <w:color w:val="auto"/>
              </w:rPr>
              <w:t>Alternative investments</w:t>
            </w:r>
          </w:p>
        </w:tc>
        <w:tc>
          <w:tcPr>
            <w:tcW w:w="102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20,093</w:t>
            </w:r>
          </w:p>
        </w:tc>
        <w:tc>
          <w:tcPr>
            <w:tcW w:w="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6"/>
                <w:szCs w:val="16"/>
                <w:color w:val="auto"/>
              </w:rPr>
              <w:t>Total seed investments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156,159</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174,713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480" w:type="dxa"/>
            <w:vAlign w:val="bottom"/>
            <w:gridSpan w:val="2"/>
          </w:tcPr>
          <w:p>
            <w:pPr>
              <w:spacing w:after="0"/>
              <w:rPr>
                <w:sz w:val="20"/>
                <w:szCs w:val="20"/>
                <w:color w:val="auto"/>
              </w:rPr>
            </w:pPr>
            <w:r>
              <w:rPr>
                <w:rFonts w:ascii="Arial" w:cs="Arial" w:eastAsia="Arial" w:hAnsi="Arial"/>
                <w:sz w:val="16"/>
                <w:szCs w:val="16"/>
                <w:color w:val="auto"/>
              </w:rPr>
              <w:t>Other investments owned:</w:t>
            </w:r>
          </w:p>
        </w:tc>
        <w:tc>
          <w:tcPr>
            <w:tcW w:w="10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4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Private equity (b)</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102,817</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108,049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60" w:type="dxa"/>
            <w:vAlign w:val="bottom"/>
          </w:tcPr>
          <w:p>
            <w:pPr>
              <w:ind w:left="380"/>
              <w:spacing w:after="0"/>
              <w:rPr>
                <w:sz w:val="20"/>
                <w:szCs w:val="20"/>
                <w:color w:val="auto"/>
              </w:rPr>
            </w:pPr>
            <w:r>
              <w:rPr>
                <w:rFonts w:ascii="Arial" w:cs="Arial" w:eastAsia="Arial" w:hAnsi="Arial"/>
                <w:sz w:val="16"/>
                <w:szCs w:val="16"/>
                <w:color w:val="auto"/>
              </w:rPr>
              <w:t>Interest-bearing deposits (c)</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56,411</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84,575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Fixed income and other</w:t>
            </w:r>
          </w:p>
        </w:tc>
        <w:tc>
          <w:tcPr>
            <w:tcW w:w="10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22,144</w:t>
            </w:r>
          </w:p>
        </w:tc>
        <w:tc>
          <w:tcPr>
            <w:tcW w:w="7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80" w:type="dxa"/>
            <w:vAlign w:val="bottom"/>
            <w:gridSpan w:val="2"/>
          </w:tcPr>
          <w:p>
            <w:pPr>
              <w:spacing w:after="0"/>
              <w:rPr>
                <w:sz w:val="20"/>
                <w:szCs w:val="20"/>
                <w:color w:val="auto"/>
              </w:rPr>
            </w:pPr>
            <w:r>
              <w:rPr>
                <w:rFonts w:ascii="Arial" w:cs="Arial" w:eastAsia="Arial" w:hAnsi="Arial"/>
                <w:sz w:val="16"/>
                <w:szCs w:val="16"/>
                <w:color w:val="auto"/>
              </w:rPr>
              <w:t>Total other investments owned</w:t>
            </w:r>
          </w:p>
        </w:tc>
        <w:tc>
          <w:tcPr>
            <w:tcW w:w="102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181,372</w:t>
            </w:r>
          </w:p>
        </w:tc>
        <w:tc>
          <w:tcPr>
            <w:tcW w:w="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218,253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6"/>
                <w:szCs w:val="16"/>
                <w:color w:val="auto"/>
              </w:rPr>
              <w:t>Subtotal</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337,531</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392,966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480" w:type="dxa"/>
            <w:vAlign w:val="bottom"/>
            <w:gridSpan w:val="2"/>
          </w:tcPr>
          <w:p>
            <w:pPr>
              <w:spacing w:after="0"/>
              <w:rPr>
                <w:sz w:val="20"/>
                <w:szCs w:val="20"/>
                <w:color w:val="auto"/>
              </w:rPr>
            </w:pPr>
            <w:r>
              <w:rPr>
                <w:rFonts w:ascii="Arial" w:cs="Arial" w:eastAsia="Arial" w:hAnsi="Arial"/>
                <w:sz w:val="16"/>
                <w:szCs w:val="16"/>
                <w:color w:val="auto"/>
              </w:rPr>
              <w:t>Add:</w:t>
            </w:r>
          </w:p>
        </w:tc>
        <w:tc>
          <w:tcPr>
            <w:tcW w:w="10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4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method and private equity consolidated, not owned (d)</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5,838</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60" w:type="dxa"/>
            <w:vAlign w:val="bottom"/>
          </w:tcPr>
          <w:p>
            <w:pPr>
              <w:ind w:left="380"/>
              <w:spacing w:after="0"/>
              <w:rPr>
                <w:sz w:val="20"/>
                <w:szCs w:val="20"/>
                <w:color w:val="auto"/>
              </w:rPr>
            </w:pPr>
            <w:r>
              <w:rPr>
                <w:rFonts w:ascii="Arial" w:cs="Arial" w:eastAsia="Arial" w:hAnsi="Arial"/>
                <w:sz w:val="16"/>
                <w:szCs w:val="16"/>
                <w:color w:val="auto"/>
              </w:rPr>
              <w:t>LFI (e)</w:t>
            </w:r>
          </w:p>
        </w:tc>
        <w:tc>
          <w:tcPr>
            <w:tcW w:w="102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214,382</w:t>
            </w:r>
          </w:p>
        </w:tc>
        <w:tc>
          <w:tcPr>
            <w:tcW w:w="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213,189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6"/>
                <w:szCs w:val="16"/>
                <w:color w:val="auto"/>
              </w:rPr>
              <w:t>Total investments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557,751</w:t>
            </w:r>
          </w:p>
        </w:tc>
        <w:tc>
          <w:tcPr>
            <w:tcW w:w="86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620,352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jc w:val="right"/>
              <w:ind w:right="978"/>
              <w:spacing w:after="0"/>
              <w:rPr>
                <w:sz w:val="20"/>
                <w:szCs w:val="20"/>
                <w:color w:val="auto"/>
              </w:rPr>
            </w:pPr>
            <w:r>
              <w:rPr>
                <w:rFonts w:ascii="Arial" w:cs="Arial" w:eastAsia="Arial" w:hAnsi="Arial"/>
                <w:sz w:val="16"/>
                <w:szCs w:val="16"/>
                <w:color w:val="auto"/>
              </w:rPr>
              <w:t>72</w:t>
            </w:r>
          </w:p>
        </w:tc>
        <w:tc>
          <w:tcPr>
            <w:tcW w:w="10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48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40" w:right="29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72326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386" w:lineRule="exact"/>
        <w:rPr>
          <w:sz w:val="20"/>
          <w:szCs w:val="20"/>
          <w:color w:val="auto"/>
        </w:rPr>
      </w:pPr>
    </w:p>
    <w:p>
      <w:pPr>
        <w:ind w:left="460" w:hanging="459"/>
        <w:spacing w:after="0"/>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At June 30, 2015 and December 31, 2014, seed investments in directly owned equity securities were invested as follows:</w:t>
      </w:r>
    </w:p>
    <w:p>
      <w:pPr>
        <w:spacing w:after="0" w:line="194"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8340" w:type="dxa"/>
            <w:vAlign w:val="bottom"/>
          </w:tcPr>
          <w:p>
            <w:pPr>
              <w:spacing w:after="0"/>
              <w:rPr>
                <w:sz w:val="13"/>
                <w:szCs w:val="13"/>
                <w:color w:val="auto"/>
              </w:rPr>
            </w:pPr>
          </w:p>
        </w:tc>
        <w:tc>
          <w:tcPr>
            <w:tcW w:w="84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w w:val="85"/>
              </w:rPr>
              <w:t>June</w:t>
            </w: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39"/>
        </w:trPr>
        <w:tc>
          <w:tcPr>
            <w:tcW w:w="8340" w:type="dxa"/>
            <w:vAlign w:val="bottom"/>
          </w:tcPr>
          <w:p>
            <w:pPr>
              <w:spacing w:after="0"/>
              <w:rPr>
                <w:sz w:val="12"/>
                <w:szCs w:val="12"/>
                <w:color w:val="auto"/>
              </w:rPr>
            </w:pPr>
          </w:p>
        </w:tc>
        <w:tc>
          <w:tcPr>
            <w:tcW w:w="300" w:type="dxa"/>
            <w:vAlign w:val="bottom"/>
          </w:tcPr>
          <w:p>
            <w:pPr>
              <w:jc w:val="right"/>
              <w:ind w:right="3"/>
              <w:spacing w:after="0" w:line="139" w:lineRule="exact"/>
              <w:rPr>
                <w:sz w:val="20"/>
                <w:szCs w:val="20"/>
                <w:color w:val="auto"/>
              </w:rPr>
            </w:pPr>
            <w:r>
              <w:rPr>
                <w:rFonts w:ascii="Arial" w:cs="Arial" w:eastAsia="Arial" w:hAnsi="Arial"/>
                <w:sz w:val="13"/>
                <w:szCs w:val="13"/>
                <w:b w:val="1"/>
                <w:bCs w:val="1"/>
                <w:color w:val="auto"/>
              </w:rPr>
              <w:t>30,</w:t>
            </w:r>
          </w:p>
        </w:tc>
        <w:tc>
          <w:tcPr>
            <w:tcW w:w="540" w:type="dxa"/>
            <w:vAlign w:val="bottom"/>
          </w:tcPr>
          <w:p>
            <w:pPr>
              <w:spacing w:after="0"/>
              <w:rPr>
                <w:sz w:val="12"/>
                <w:szCs w:val="12"/>
                <w:color w:val="auto"/>
              </w:rPr>
            </w:pPr>
          </w:p>
        </w:tc>
        <w:tc>
          <w:tcPr>
            <w:tcW w:w="1340" w:type="dxa"/>
            <w:vAlign w:val="bottom"/>
            <w:gridSpan w:val="3"/>
          </w:tcPr>
          <w:p>
            <w:pPr>
              <w:jc w:val="right"/>
              <w:ind w:right="220"/>
              <w:spacing w:after="0" w:line="139" w:lineRule="exact"/>
              <w:rPr>
                <w:sz w:val="20"/>
                <w:szCs w:val="20"/>
                <w:color w:val="auto"/>
              </w:rPr>
            </w:pPr>
            <w:r>
              <w:rPr>
                <w:rFonts w:ascii="Arial" w:cs="Arial" w:eastAsia="Arial" w:hAnsi="Arial"/>
                <w:sz w:val="13"/>
                <w:szCs w:val="13"/>
                <w:b w:val="1"/>
                <w:bCs w:val="1"/>
                <w:color w:val="auto"/>
              </w:rPr>
              <w:t>December 31,</w:t>
            </w:r>
          </w:p>
        </w:tc>
      </w:tr>
      <w:tr>
        <w:trPr>
          <w:trHeight w:val="152"/>
        </w:trPr>
        <w:tc>
          <w:tcPr>
            <w:tcW w:w="83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w w:val="82"/>
              </w:rPr>
              <w:t>2015</w:t>
            </w:r>
          </w:p>
        </w:tc>
        <w:tc>
          <w:tcPr>
            <w:tcW w:w="540" w:type="dxa"/>
            <w:vAlign w:val="bottom"/>
          </w:tcPr>
          <w:p>
            <w:pPr>
              <w:spacing w:after="0"/>
              <w:rPr>
                <w:sz w:val="13"/>
                <w:szCs w:val="13"/>
                <w:color w:val="auto"/>
              </w:rPr>
            </w:pPr>
          </w:p>
        </w:tc>
        <w:tc>
          <w:tcPr>
            <w:tcW w:w="1140" w:type="dxa"/>
            <w:vAlign w:val="bottom"/>
            <w:gridSpan w:val="2"/>
          </w:tcPr>
          <w:p>
            <w:pPr>
              <w:jc w:val="right"/>
              <w:ind w:right="178"/>
              <w:spacing w:after="0"/>
              <w:rPr>
                <w:sz w:val="20"/>
                <w:szCs w:val="20"/>
                <w:color w:val="auto"/>
              </w:rPr>
            </w:pPr>
            <w:r>
              <w:rPr>
                <w:rFonts w:ascii="Arial" w:cs="Arial" w:eastAsia="Arial" w:hAnsi="Arial"/>
                <w:sz w:val="13"/>
                <w:szCs w:val="13"/>
                <w:b w:val="1"/>
                <w:bCs w:val="1"/>
                <w:color w:val="auto"/>
              </w:rPr>
              <w:t>2014</w:t>
            </w:r>
          </w:p>
        </w:tc>
        <w:tc>
          <w:tcPr>
            <w:tcW w:w="200" w:type="dxa"/>
            <w:vAlign w:val="bottom"/>
          </w:tcPr>
          <w:p>
            <w:pPr>
              <w:spacing w:after="0"/>
              <w:rPr>
                <w:sz w:val="13"/>
                <w:szCs w:val="13"/>
                <w:color w:val="auto"/>
              </w:rPr>
            </w:pPr>
          </w:p>
        </w:tc>
      </w:tr>
      <w:tr>
        <w:trPr>
          <w:trHeight w:val="182"/>
        </w:trPr>
        <w:tc>
          <w:tcPr>
            <w:tcW w:w="8340" w:type="dxa"/>
            <w:vAlign w:val="bottom"/>
            <w:tcBorders>
              <w:top w:val="single" w:sz="8" w:color="CCEEFF"/>
            </w:tcBorders>
            <w:shd w:val="clear" w:color="auto" w:fill="CCEEFF"/>
          </w:tcPr>
          <w:p>
            <w:pPr>
              <w:ind w:left="980"/>
              <w:spacing w:after="0" w:line="182" w:lineRule="exact"/>
              <w:rPr>
                <w:sz w:val="20"/>
                <w:szCs w:val="20"/>
                <w:color w:val="auto"/>
              </w:rPr>
            </w:pPr>
            <w:r>
              <w:rPr>
                <w:rFonts w:ascii="Arial" w:cs="Arial" w:eastAsia="Arial" w:hAnsi="Arial"/>
                <w:sz w:val="16"/>
                <w:szCs w:val="16"/>
                <w:color w:val="auto"/>
              </w:rPr>
              <w:t>Percentage invested in:</w:t>
            </w:r>
          </w:p>
        </w:tc>
        <w:tc>
          <w:tcPr>
            <w:tcW w:w="3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r>
      <w:tr>
        <w:trPr>
          <w:trHeight w:val="202"/>
        </w:trPr>
        <w:tc>
          <w:tcPr>
            <w:tcW w:w="8340" w:type="dxa"/>
            <w:vAlign w:val="bottom"/>
          </w:tcPr>
          <w:p>
            <w:pPr>
              <w:ind w:left="1380"/>
              <w:spacing w:after="0"/>
              <w:rPr>
                <w:sz w:val="20"/>
                <w:szCs w:val="20"/>
                <w:color w:val="auto"/>
              </w:rPr>
            </w:pPr>
            <w:r>
              <w:rPr>
                <w:rFonts w:ascii="Arial" w:cs="Arial" w:eastAsia="Arial" w:hAnsi="Arial"/>
                <w:sz w:val="16"/>
                <w:szCs w:val="16"/>
                <w:color w:val="auto"/>
              </w:rPr>
              <w:t>Financials</w:t>
            </w:r>
          </w:p>
        </w:tc>
        <w:tc>
          <w:tcPr>
            <w:tcW w:w="840" w:type="dxa"/>
            <w:vAlign w:val="bottom"/>
            <w:gridSpan w:val="2"/>
          </w:tcPr>
          <w:p>
            <w:pPr>
              <w:jc w:val="right"/>
              <w:ind w:right="420"/>
              <w:spacing w:after="0"/>
              <w:rPr>
                <w:sz w:val="20"/>
                <w:szCs w:val="20"/>
                <w:color w:val="auto"/>
              </w:rPr>
            </w:pPr>
            <w:r>
              <w:rPr>
                <w:rFonts w:ascii="Arial" w:cs="Arial" w:eastAsia="Arial" w:hAnsi="Arial"/>
                <w:sz w:val="16"/>
                <w:szCs w:val="16"/>
                <w:color w:val="auto"/>
              </w:rPr>
              <w:t>34%</w:t>
            </w:r>
          </w:p>
        </w:tc>
        <w:tc>
          <w:tcPr>
            <w:tcW w:w="1340" w:type="dxa"/>
            <w:vAlign w:val="bottom"/>
            <w:gridSpan w:val="3"/>
          </w:tcPr>
          <w:p>
            <w:pPr>
              <w:jc w:val="right"/>
              <w:ind w:right="60"/>
              <w:spacing w:after="0"/>
              <w:rPr>
                <w:sz w:val="20"/>
                <w:szCs w:val="20"/>
                <w:color w:val="auto"/>
              </w:rPr>
            </w:pPr>
            <w:r>
              <w:rPr>
                <w:rFonts w:ascii="Arial" w:cs="Arial" w:eastAsia="Arial" w:hAnsi="Arial"/>
                <w:sz w:val="16"/>
                <w:szCs w:val="16"/>
                <w:color w:val="auto"/>
              </w:rPr>
              <w:t>33%</w:t>
            </w:r>
          </w:p>
        </w:tc>
      </w:tr>
      <w:tr>
        <w:trPr>
          <w:trHeight w:val="202"/>
        </w:trPr>
        <w:tc>
          <w:tcPr>
            <w:tcW w:w="8340" w:type="dxa"/>
            <w:vAlign w:val="bottom"/>
            <w:shd w:val="clear" w:color="auto" w:fill="CCEEFF"/>
          </w:tcPr>
          <w:p>
            <w:pPr>
              <w:ind w:left="1380"/>
              <w:spacing w:after="0"/>
              <w:rPr>
                <w:sz w:val="20"/>
                <w:szCs w:val="20"/>
                <w:color w:val="auto"/>
              </w:rPr>
            </w:pPr>
            <w:r>
              <w:rPr>
                <w:rFonts w:ascii="Arial" w:cs="Arial" w:eastAsia="Arial" w:hAnsi="Arial"/>
                <w:sz w:val="16"/>
                <w:szCs w:val="16"/>
                <w:color w:val="auto"/>
              </w:rPr>
              <w:t>Consumer</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5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00" w:type="dxa"/>
            <w:vAlign w:val="bottom"/>
            <w:shd w:val="clear" w:color="auto" w:fill="CCEEFF"/>
          </w:tcPr>
          <w:p>
            <w:pPr>
              <w:spacing w:after="0"/>
              <w:rPr>
                <w:sz w:val="17"/>
                <w:szCs w:val="17"/>
                <w:color w:val="auto"/>
              </w:rPr>
            </w:pPr>
          </w:p>
        </w:tc>
      </w:tr>
      <w:tr>
        <w:trPr>
          <w:trHeight w:val="202"/>
        </w:trPr>
        <w:tc>
          <w:tcPr>
            <w:tcW w:w="8340" w:type="dxa"/>
            <w:vAlign w:val="bottom"/>
          </w:tcPr>
          <w:p>
            <w:pPr>
              <w:ind w:left="1380"/>
              <w:spacing w:after="0"/>
              <w:rPr>
                <w:sz w:val="20"/>
                <w:szCs w:val="20"/>
                <w:color w:val="auto"/>
              </w:rPr>
            </w:pPr>
            <w:r>
              <w:rPr>
                <w:rFonts w:ascii="Arial" w:cs="Arial" w:eastAsia="Arial" w:hAnsi="Arial"/>
                <w:sz w:val="16"/>
                <w:szCs w:val="16"/>
                <w:color w:val="auto"/>
              </w:rPr>
              <w:t>Industrial</w:t>
            </w:r>
          </w:p>
        </w:tc>
        <w:tc>
          <w:tcPr>
            <w:tcW w:w="300" w:type="dxa"/>
            <w:vAlign w:val="bottom"/>
          </w:tcPr>
          <w:p>
            <w:pPr>
              <w:jc w:val="right"/>
              <w:spacing w:after="0"/>
              <w:rPr>
                <w:sz w:val="20"/>
                <w:szCs w:val="20"/>
                <w:color w:val="auto"/>
              </w:rPr>
            </w:pPr>
            <w:r>
              <w:rPr>
                <w:rFonts w:ascii="Arial" w:cs="Arial" w:eastAsia="Arial" w:hAnsi="Arial"/>
                <w:sz w:val="16"/>
                <w:szCs w:val="16"/>
                <w:color w:val="auto"/>
              </w:rPr>
              <w:t>12</w:t>
            </w:r>
          </w:p>
        </w:tc>
        <w:tc>
          <w:tcPr>
            <w:tcW w:w="54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17"/>
                <w:szCs w:val="17"/>
                <w:color w:val="auto"/>
              </w:rPr>
            </w:pPr>
          </w:p>
        </w:tc>
      </w:tr>
      <w:tr>
        <w:trPr>
          <w:trHeight w:val="202"/>
        </w:trPr>
        <w:tc>
          <w:tcPr>
            <w:tcW w:w="8340" w:type="dxa"/>
            <w:vAlign w:val="bottom"/>
            <w:shd w:val="clear" w:color="auto" w:fill="CCEEFF"/>
          </w:tcPr>
          <w:p>
            <w:pPr>
              <w:ind w:left="1380"/>
              <w:spacing w:after="0"/>
              <w:rPr>
                <w:sz w:val="20"/>
                <w:szCs w:val="20"/>
                <w:color w:val="auto"/>
              </w:rPr>
            </w:pPr>
            <w:r>
              <w:rPr>
                <w:rFonts w:ascii="Arial" w:cs="Arial" w:eastAsia="Arial" w:hAnsi="Arial"/>
                <w:sz w:val="16"/>
                <w:szCs w:val="16"/>
                <w:color w:val="auto"/>
              </w:rPr>
              <w:t>Technology</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5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0" w:type="dxa"/>
            <w:vAlign w:val="bottom"/>
            <w:shd w:val="clear" w:color="auto" w:fill="CCEEFF"/>
          </w:tcPr>
          <w:p>
            <w:pPr>
              <w:spacing w:after="0"/>
              <w:rPr>
                <w:sz w:val="17"/>
                <w:szCs w:val="17"/>
                <w:color w:val="auto"/>
              </w:rPr>
            </w:pPr>
          </w:p>
        </w:tc>
      </w:tr>
      <w:tr>
        <w:trPr>
          <w:trHeight w:val="202"/>
        </w:trPr>
        <w:tc>
          <w:tcPr>
            <w:tcW w:w="8340" w:type="dxa"/>
            <w:vAlign w:val="bottom"/>
          </w:tcPr>
          <w:p>
            <w:pPr>
              <w:ind w:left="1380"/>
              <w:spacing w:after="0"/>
              <w:rPr>
                <w:sz w:val="20"/>
                <w:szCs w:val="20"/>
                <w:color w:val="auto"/>
              </w:rPr>
            </w:pPr>
            <w:r>
              <w:rPr>
                <w:rFonts w:ascii="Arial" w:cs="Arial" w:eastAsia="Arial" w:hAnsi="Arial"/>
                <w:sz w:val="16"/>
                <w:szCs w:val="16"/>
                <w:color w:val="auto"/>
              </w:rPr>
              <w:t>Energy</w:t>
            </w:r>
          </w:p>
        </w:tc>
        <w:tc>
          <w:tcPr>
            <w:tcW w:w="300" w:type="dxa"/>
            <w:vAlign w:val="bottom"/>
          </w:tcPr>
          <w:p>
            <w:pPr>
              <w:jc w:val="right"/>
              <w:spacing w:after="0"/>
              <w:rPr>
                <w:sz w:val="20"/>
                <w:szCs w:val="20"/>
                <w:color w:val="auto"/>
              </w:rPr>
            </w:pPr>
            <w:r>
              <w:rPr>
                <w:rFonts w:ascii="Arial" w:cs="Arial" w:eastAsia="Arial" w:hAnsi="Arial"/>
                <w:sz w:val="16"/>
                <w:szCs w:val="16"/>
                <w:color w:val="auto"/>
              </w:rPr>
              <w:t>4</w:t>
            </w:r>
          </w:p>
        </w:tc>
        <w:tc>
          <w:tcPr>
            <w:tcW w:w="54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7"/>
                <w:szCs w:val="17"/>
                <w:color w:val="auto"/>
              </w:rPr>
            </w:pPr>
          </w:p>
        </w:tc>
      </w:tr>
      <w:tr>
        <w:trPr>
          <w:trHeight w:val="202"/>
        </w:trPr>
        <w:tc>
          <w:tcPr>
            <w:tcW w:w="8340" w:type="dxa"/>
            <w:vAlign w:val="bottom"/>
            <w:shd w:val="clear" w:color="auto" w:fill="CCEEFF"/>
          </w:tcPr>
          <w:p>
            <w:pPr>
              <w:ind w:left="13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00" w:type="dxa"/>
            <w:vAlign w:val="bottom"/>
            <w:shd w:val="clear" w:color="auto" w:fill="CCEEFF"/>
          </w:tcPr>
          <w:p>
            <w:pPr>
              <w:spacing w:after="0"/>
              <w:rPr>
                <w:sz w:val="17"/>
                <w:szCs w:val="17"/>
                <w:color w:val="auto"/>
              </w:rPr>
            </w:pPr>
          </w:p>
        </w:tc>
      </w:tr>
      <w:tr>
        <w:trPr>
          <w:trHeight w:val="206"/>
        </w:trPr>
        <w:tc>
          <w:tcPr>
            <w:tcW w:w="8340" w:type="dxa"/>
            <w:vAlign w:val="bottom"/>
          </w:tcPr>
          <w:p>
            <w:pPr>
              <w:ind w:left="1780"/>
              <w:spacing w:after="0"/>
              <w:rPr>
                <w:sz w:val="20"/>
                <w:szCs w:val="20"/>
                <w:color w:val="auto"/>
              </w:rPr>
            </w:pPr>
            <w:r>
              <w:rPr>
                <w:rFonts w:ascii="Arial" w:cs="Arial" w:eastAsia="Arial" w:hAnsi="Arial"/>
                <w:sz w:val="16"/>
                <w:szCs w:val="16"/>
                <w:color w:val="auto"/>
              </w:rPr>
              <w:t>Total</w:t>
            </w:r>
          </w:p>
        </w:tc>
        <w:tc>
          <w:tcPr>
            <w:tcW w:w="840" w:type="dxa"/>
            <w:vAlign w:val="bottom"/>
            <w:gridSpan w:val="2"/>
          </w:tcPr>
          <w:p>
            <w:pPr>
              <w:jc w:val="right"/>
              <w:ind w:right="420"/>
              <w:spacing w:after="0"/>
              <w:rPr>
                <w:sz w:val="20"/>
                <w:szCs w:val="20"/>
                <w:color w:val="auto"/>
              </w:rPr>
            </w:pPr>
            <w:r>
              <w:rPr>
                <w:rFonts w:ascii="Arial" w:cs="Arial" w:eastAsia="Arial" w:hAnsi="Arial"/>
                <w:sz w:val="16"/>
                <w:szCs w:val="16"/>
                <w:color w:val="auto"/>
                <w:w w:val="97"/>
              </w:rPr>
              <w:t>100%</w:t>
            </w:r>
          </w:p>
        </w:tc>
        <w:tc>
          <w:tcPr>
            <w:tcW w:w="1340" w:type="dxa"/>
            <w:vAlign w:val="bottom"/>
            <w:gridSpan w:val="3"/>
          </w:tcPr>
          <w:p>
            <w:pPr>
              <w:jc w:val="right"/>
              <w:ind w:right="60"/>
              <w:spacing w:after="0"/>
              <w:rPr>
                <w:sz w:val="20"/>
                <w:szCs w:val="20"/>
                <w:color w:val="auto"/>
              </w:rPr>
            </w:pPr>
            <w:r>
              <w:rPr>
                <w:rFonts w:ascii="Arial" w:cs="Arial" w:eastAsia="Arial" w:hAnsi="Arial"/>
                <w:sz w:val="16"/>
                <w:szCs w:val="16"/>
                <w:color w:val="auto"/>
              </w:rPr>
              <w:t>100%</w:t>
            </w:r>
          </w:p>
        </w:tc>
      </w:tr>
      <w:tr>
        <w:trPr>
          <w:trHeight w:val="20"/>
        </w:trPr>
        <w:tc>
          <w:tcPr>
            <w:tcW w:w="8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4" w:lineRule="exact"/>
        <w:rPr>
          <w:sz w:val="20"/>
          <w:szCs w:val="20"/>
          <w:color w:val="auto"/>
        </w:rPr>
      </w:pPr>
    </w:p>
    <w:p>
      <w:pPr>
        <w:ind w:left="460" w:right="240" w:hanging="459"/>
        <w:spacing w:after="0" w:line="296"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Private equity investments include investments related to certain legacy businesses and co-investments in private equity funds managed by our Asset Management business. Co-investments owned were $23 million and $25 million as of June 30, 2015 and December 31, 2014, respectively.</w:t>
      </w:r>
    </w:p>
    <w:p>
      <w:pPr>
        <w:spacing w:after="0" w:line="26" w:lineRule="exact"/>
        <w:rPr>
          <w:rFonts w:ascii="Arial" w:cs="Arial" w:eastAsia="Arial" w:hAnsi="Arial"/>
          <w:sz w:val="16"/>
          <w:szCs w:val="16"/>
          <w:color w:val="auto"/>
        </w:rPr>
      </w:pPr>
    </w:p>
    <w:p>
      <w:pPr>
        <w:ind w:left="460" w:right="100" w:hanging="459"/>
        <w:spacing w:after="0" w:line="274"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Short to medium term interest rates generally turned negative in Europe during 2014 and remain very low in many other countries and regions throughout the world. In the normal course of asset and liability management activities, both from a corporate treasury and LFB perspective, the Company attempts to minimize negative interest rates on its cash investments. Interest-bearing deposits generally provide positive yields when held to maturity, while also generally allowing immediate penalty-free withdrawal at any time (with less or no interest earned in such case).</w:t>
      </w:r>
    </w:p>
    <w:p>
      <w:pPr>
        <w:spacing w:after="0" w:line="45" w:lineRule="exact"/>
        <w:rPr>
          <w:rFonts w:ascii="Arial" w:cs="Arial" w:eastAsia="Arial" w:hAnsi="Arial"/>
          <w:sz w:val="16"/>
          <w:szCs w:val="16"/>
          <w:color w:val="auto"/>
        </w:rPr>
      </w:pPr>
    </w:p>
    <w:p>
      <w:pPr>
        <w:ind w:left="460" w:hanging="459"/>
        <w:spacing w:after="0" w:line="280"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Represents investments accounted for under the equity method of accounting and private equity investments that are consolidated but owned by noncontrolling interests, and therefore do not subject the Company to market or credit risk. The applicable noncontrolling interests are presented within “stockholders’ equity” on the condensed consolidated statements of financial condition.</w:t>
      </w:r>
    </w:p>
    <w:p>
      <w:pPr>
        <w:spacing w:after="0" w:line="39" w:lineRule="exact"/>
        <w:rPr>
          <w:rFonts w:ascii="Arial" w:cs="Arial" w:eastAsia="Arial" w:hAnsi="Arial"/>
          <w:sz w:val="16"/>
          <w:szCs w:val="16"/>
          <w:color w:val="auto"/>
        </w:rPr>
      </w:pPr>
    </w:p>
    <w:p>
      <w:pPr>
        <w:ind w:left="460" w:right="20" w:hanging="459"/>
        <w:spacing w:after="0" w:line="274"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Composed of investments held in connection with LFI and other similar deferred compensation arrangements. The market risk associated with such investments is equally offset by the market risk associated with the derivative liability with respect to awards expected to vest. The Company is subject to market risk associated with any portion of such investments that employees may forfeit. See “—Risk Management—Risks Related to Derivatives” for risk management information relating to derivatives.</w:t>
      </w:r>
    </w:p>
    <w:p>
      <w:pPr>
        <w:spacing w:after="0" w:line="121" w:lineRule="exact"/>
        <w:rPr>
          <w:sz w:val="20"/>
          <w:szCs w:val="20"/>
          <w:color w:val="auto"/>
        </w:rPr>
      </w:pPr>
    </w:p>
    <w:p>
      <w:pPr>
        <w:ind w:right="60" w:firstLine="457"/>
        <w:spacing w:after="0" w:line="294" w:lineRule="auto"/>
        <w:rPr>
          <w:sz w:val="20"/>
          <w:szCs w:val="20"/>
          <w:color w:val="auto"/>
        </w:rPr>
      </w:pPr>
      <w:r>
        <w:rPr>
          <w:rFonts w:ascii="Arial" w:cs="Arial" w:eastAsia="Arial" w:hAnsi="Arial"/>
          <w:sz w:val="15"/>
          <w:szCs w:val="15"/>
          <w:color w:val="auto"/>
        </w:rPr>
        <w:t>At June 30, 2015 and December 31, 2014, total investments with a fair value of $494 million and $528 million, respectively, included $103 million and $116 million, respectively, or 21% and 22%, respectively, of investments that were classified as Level 3 investments. A majority of our Level 3 investments at both dates are priced based on a NAV. During the six months ended June 30, 2015 and 2014, gains of approximately $8 million and $7 million, respectively, were recognized in “revenue-other” on the condensed consolidated statement of operations pertaining to Level 3 investments. See Notes 4 and 5 of Notes to Condensed Consolidated Financial Statements for additional information regarding investments measured at fair value, including the levels of fair value within which such measurements of fair value fall.</w:t>
      </w:r>
    </w:p>
    <w:p>
      <w:pPr>
        <w:spacing w:after="0" w:line="108" w:lineRule="exact"/>
        <w:rPr>
          <w:sz w:val="20"/>
          <w:szCs w:val="20"/>
          <w:color w:val="auto"/>
        </w:rPr>
      </w:pPr>
    </w:p>
    <w:p>
      <w:pPr>
        <w:ind w:right="120" w:firstLine="457"/>
        <w:spacing w:after="0" w:line="280" w:lineRule="auto"/>
        <w:rPr>
          <w:sz w:val="20"/>
          <w:szCs w:val="20"/>
          <w:color w:val="auto"/>
        </w:rPr>
      </w:pPr>
      <w:r>
        <w:rPr>
          <w:rFonts w:ascii="Arial" w:cs="Arial" w:eastAsia="Arial" w:hAnsi="Arial"/>
          <w:sz w:val="16"/>
          <w:szCs w:val="16"/>
          <w:color w:val="auto"/>
        </w:rPr>
        <w:t>As of June 30, 2015 and December 31, 2014, the Company held seed investments of approximately $156 million and $175 million, respectively. Seed investments held in entities in which the Company maintained a controlling interest were $51 million in nine entities as of June 30, 2015, as compared to $54 million in eight entities as of December 31, 2014.</w:t>
      </w:r>
    </w:p>
    <w:p>
      <w:pPr>
        <w:spacing w:after="0" w:line="115" w:lineRule="exact"/>
        <w:rPr>
          <w:sz w:val="20"/>
          <w:szCs w:val="20"/>
          <w:color w:val="auto"/>
        </w:rPr>
      </w:pPr>
    </w:p>
    <w:p>
      <w:pPr>
        <w:ind w:right="80" w:firstLine="457"/>
        <w:spacing w:after="0" w:line="280" w:lineRule="auto"/>
        <w:rPr>
          <w:sz w:val="20"/>
          <w:szCs w:val="20"/>
          <w:color w:val="auto"/>
        </w:rPr>
      </w:pPr>
      <w:r>
        <w:rPr>
          <w:rFonts w:ascii="Arial" w:cs="Arial" w:eastAsia="Arial" w:hAnsi="Arial"/>
          <w:sz w:val="16"/>
          <w:szCs w:val="16"/>
          <w:color w:val="auto"/>
        </w:rPr>
        <w:t>As of June 30, 2015 and December 31, 2014, the Company did not consolidate or deconsolidate any seed investment entities. As such, 100% of the recorded balance of seed investments as of June 30, 2015 and December 31, 2014 represented the Company’s economic interest in the seed investments. See “—Consolidation of Variable Interest Entities” below for more information on the Company’s policy regarding the consolidation of seed investment entities.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00"/>
          </w:cols>
          <w:pgMar w:left="240" w:top="440" w:right="25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160" w:firstLine="457"/>
        <w:spacing w:after="0" w:line="331" w:lineRule="auto"/>
        <w:rPr>
          <w:sz w:val="20"/>
          <w:szCs w:val="20"/>
          <w:color w:val="auto"/>
        </w:rPr>
      </w:pPr>
      <w:r>
        <w:rPr>
          <w:rFonts w:ascii="Arial" w:cs="Arial" w:eastAsia="Arial" w:hAnsi="Arial"/>
          <w:sz w:val="15"/>
          <w:szCs w:val="15"/>
          <w:color w:val="auto"/>
        </w:rPr>
        <w:t>For additional information regarding risks associated with our investments, see “Risk Management—Investments” below as well as Item 1A, “Risk Factors—Other Business Risks—Our results of operations may be affected by fluctuations in the fair value of positions held in our investment portfolios” in our Form 10-K.</w:t>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Assets Under Management</w:t>
      </w:r>
    </w:p>
    <w:p>
      <w:pPr>
        <w:spacing w:after="0" w:line="94" w:lineRule="exact"/>
        <w:rPr>
          <w:sz w:val="20"/>
          <w:szCs w:val="20"/>
          <w:color w:val="auto"/>
        </w:rPr>
      </w:pPr>
    </w:p>
    <w:p>
      <w:pPr>
        <w:ind w:right="60" w:firstLine="457"/>
        <w:spacing w:after="0" w:line="296" w:lineRule="auto"/>
        <w:rPr>
          <w:sz w:val="20"/>
          <w:szCs w:val="20"/>
          <w:color w:val="auto"/>
        </w:rPr>
      </w:pPr>
      <w:r>
        <w:rPr>
          <w:rFonts w:ascii="Arial" w:cs="Arial" w:eastAsia="Arial" w:hAnsi="Arial"/>
          <w:sz w:val="16"/>
          <w:szCs w:val="16"/>
          <w:color w:val="auto"/>
        </w:rPr>
        <w:t>AUM primarily consists of debt and equity instruments, which have a value that is readily available based on either prices quoted on a recognized exchange or prices provided by external pricing services.</w:t>
      </w:r>
    </w:p>
    <w:p>
      <w:pPr>
        <w:spacing w:after="0" w:line="103" w:lineRule="exact"/>
        <w:rPr>
          <w:sz w:val="20"/>
          <w:szCs w:val="20"/>
          <w:color w:val="auto"/>
        </w:rPr>
      </w:pPr>
    </w:p>
    <w:p>
      <w:pPr>
        <w:ind w:right="80" w:firstLine="457"/>
        <w:spacing w:after="0" w:line="280" w:lineRule="auto"/>
        <w:rPr>
          <w:sz w:val="20"/>
          <w:szCs w:val="20"/>
          <w:color w:val="auto"/>
        </w:rPr>
      </w:pPr>
      <w:r>
        <w:rPr>
          <w:rFonts w:ascii="Arial" w:cs="Arial" w:eastAsia="Arial" w:hAnsi="Arial"/>
          <w:sz w:val="16"/>
          <w:szCs w:val="16"/>
          <w:color w:val="auto"/>
        </w:rPr>
        <w:t>Prices of equity and debt securities and other instruments that comprise our AUM are generally provided by well-recognized, independent, third-party vendors. Such third-party vendors rely on prices provided by external pricing services which are obtained from recognized exchanges or markets, or, for certain fixed income securities, from an evaluated bid or other similarly sourced price.</w:t>
      </w:r>
    </w:p>
    <w:p>
      <w:pPr>
        <w:spacing w:after="0" w:line="115" w:lineRule="exact"/>
        <w:rPr>
          <w:sz w:val="20"/>
          <w:szCs w:val="20"/>
          <w:color w:val="auto"/>
        </w:rPr>
      </w:pPr>
    </w:p>
    <w:p>
      <w:pPr>
        <w:ind w:right="200" w:firstLine="457"/>
        <w:spacing w:after="0" w:line="280" w:lineRule="auto"/>
        <w:rPr>
          <w:sz w:val="20"/>
          <w:szCs w:val="20"/>
          <w:color w:val="auto"/>
        </w:rPr>
      </w:pPr>
      <w:r>
        <w:rPr>
          <w:rFonts w:ascii="Arial" w:cs="Arial" w:eastAsia="Arial" w:hAnsi="Arial"/>
          <w:sz w:val="16"/>
          <w:szCs w:val="16"/>
          <w:color w:val="auto"/>
        </w:rPr>
        <w:t>Either directly, or through our third-party vendors, we perform a variety of regular due diligence procedures on our pricing service providers. Those procedures include oversight by our internal operations group, review of the pricing service providers’ internal control frameworks, review of the pricing service providers’ valuation methodologies, reconciliation to client custodial account values and comparison of significant pricing differences.</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Goodwill</w:t>
      </w:r>
    </w:p>
    <w:p>
      <w:pPr>
        <w:spacing w:after="0" w:line="94" w:lineRule="exact"/>
        <w:rPr>
          <w:sz w:val="20"/>
          <w:szCs w:val="20"/>
          <w:color w:val="auto"/>
        </w:rPr>
      </w:pPr>
    </w:p>
    <w:p>
      <w:pPr>
        <w:ind w:right="280" w:firstLine="457"/>
        <w:spacing w:after="0" w:line="274" w:lineRule="auto"/>
        <w:rPr>
          <w:sz w:val="20"/>
          <w:szCs w:val="20"/>
          <w:color w:val="auto"/>
        </w:rPr>
      </w:pPr>
      <w:r>
        <w:rPr>
          <w:rFonts w:ascii="Arial" w:cs="Arial" w:eastAsia="Arial" w:hAnsi="Arial"/>
          <w:sz w:val="16"/>
          <w:szCs w:val="16"/>
          <w:color w:val="auto"/>
        </w:rPr>
        <w:t>In accordance with current accounting guidance, goodwill has an indefinite life and is tested for impairment annually, as of November 1, or more frequently if 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 See Note 8 of Notes to Condensed Consolidated Financial Statements for additional information regarding goodwill.</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Consolidation of Variable Interest Entities</w:t>
      </w:r>
    </w:p>
    <w:p>
      <w:pPr>
        <w:spacing w:after="0" w:line="94" w:lineRule="exact"/>
        <w:rPr>
          <w:sz w:val="20"/>
          <w:szCs w:val="20"/>
          <w:color w:val="auto"/>
        </w:rPr>
      </w:pPr>
    </w:p>
    <w:p>
      <w:pPr>
        <w:ind w:firstLine="457"/>
        <w:spacing w:after="0" w:line="331" w:lineRule="auto"/>
        <w:rPr>
          <w:sz w:val="20"/>
          <w:szCs w:val="20"/>
          <w:color w:val="auto"/>
        </w:rPr>
      </w:pPr>
      <w:r>
        <w:rPr>
          <w:rFonts w:ascii="Arial" w:cs="Arial" w:eastAsia="Arial" w:hAnsi="Arial"/>
          <w:sz w:val="15"/>
          <w:szCs w:val="15"/>
          <w:color w:val="auto"/>
        </w:rPr>
        <w:t>The condensed consolidated financial statements include the accounts of Lazard Group and entities in which it has a controlling interest. Lazard determines whether it has a controlling interest in an entity by first evaluating whether the entity is a voting interest entity (“VOE”) or a variable interest entity (“VIE”) under U.S. GAAP.</w:t>
      </w:r>
    </w:p>
    <w:p>
      <w:pPr>
        <w:spacing w:after="0" w:line="5" w:lineRule="exact"/>
        <w:rPr>
          <w:sz w:val="20"/>
          <w:szCs w:val="20"/>
          <w:color w:val="auto"/>
        </w:rPr>
      </w:pPr>
    </w:p>
    <w:p>
      <w:pPr>
        <w:ind w:left="920" w:right="20" w:hanging="349"/>
        <w:spacing w:after="0" w:line="274" w:lineRule="auto"/>
        <w:tabs>
          <w:tab w:leader="none" w:pos="9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Voting Interest Entities. VOEs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VOE if it either holds a majority of the voting interest in such entity or is the general partner in such entity and the third-party investors do not have the right to replace the general partner.</w:t>
      </w:r>
    </w:p>
    <w:p>
      <w:pPr>
        <w:spacing w:after="0" w:line="45" w:lineRule="exact"/>
        <w:rPr>
          <w:rFonts w:ascii="Arial" w:cs="Arial" w:eastAsia="Arial" w:hAnsi="Arial"/>
          <w:sz w:val="16"/>
          <w:szCs w:val="16"/>
          <w:color w:val="auto"/>
        </w:rPr>
      </w:pPr>
    </w:p>
    <w:p>
      <w:pPr>
        <w:jc w:val="both"/>
        <w:ind w:left="920" w:right="60" w:hanging="349"/>
        <w:spacing w:after="0" w:line="280" w:lineRule="auto"/>
        <w:tabs>
          <w:tab w:leader="none" w:pos="9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VOE. If Lazard has a variable interest, or a combination of variable interests, in a VIE, it is required to analyze whether it needs to consolidate such VIE. Lazard is required to consolidate a VIE if, through our variable interests, we absorb a majority of the expected losses, expected residual returns, or both, of such entity.</w:t>
      </w:r>
    </w:p>
    <w:p>
      <w:pPr>
        <w:spacing w:after="0" w:line="115" w:lineRule="exact"/>
        <w:rPr>
          <w:sz w:val="20"/>
          <w:szCs w:val="20"/>
          <w:color w:val="auto"/>
        </w:rPr>
      </w:pPr>
    </w:p>
    <w:p>
      <w:pPr>
        <w:ind w:right="40" w:firstLine="457"/>
        <w:spacing w:after="0" w:line="274" w:lineRule="auto"/>
        <w:rPr>
          <w:sz w:val="20"/>
          <w:szCs w:val="20"/>
          <w:color w:val="auto"/>
        </w:rPr>
      </w:pPr>
      <w:r>
        <w:rPr>
          <w:rFonts w:ascii="Arial" w:cs="Arial" w:eastAsia="Arial" w:hAnsi="Arial"/>
          <w:sz w:val="16"/>
          <w:szCs w:val="16"/>
          <w:color w:val="auto"/>
        </w:rPr>
        <w:t>Lazard’s involvement with various entities that are VOEs or VIEs primarily arises from investment management contracts with fund entities in our Asset Management business. Lazard is not required to consolidate such entities because, with the exception of certain seed investments, as discussed below, we do not hold more than an inconsequential equity interest in such entities and we do not hold other variable interests (including our investment management agreements, which do not meet the definition of variable interests) in such entities.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00"/>
          </w:cols>
          <w:pgMar w:left="240" w:top="440" w:right="25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140" w:firstLine="457"/>
        <w:spacing w:after="0" w:line="298" w:lineRule="auto"/>
        <w:rPr>
          <w:sz w:val="20"/>
          <w:szCs w:val="20"/>
          <w:color w:val="auto"/>
        </w:rPr>
      </w:pPr>
      <w:r>
        <w:rPr>
          <w:rFonts w:ascii="Arial" w:cs="Arial" w:eastAsia="Arial" w:hAnsi="Arial"/>
          <w:sz w:val="15"/>
          <w:szCs w:val="15"/>
          <w:color w:val="auto"/>
        </w:rPr>
        <w:t>Lazard makes seed investments in certain entities that are considered VOEs and often require consolidation as a result of our investment. The impact of seed investment entities that require consolidation on the condensed consolidated financial statements, including any consolidation or deconsolidation of such entities, is not material to our financial statements. Our exposure to loss from entities in which we have made seed investments is limited to the extent of our investment in, or investment commitment to, such entities. See “Critical Accounting Policies and Estimates—Investments” above for more information regarding our investments.</w:t>
      </w:r>
    </w:p>
    <w:p>
      <w:pPr>
        <w:spacing w:after="0" w:line="105" w:lineRule="exact"/>
        <w:rPr>
          <w:sz w:val="20"/>
          <w:szCs w:val="20"/>
          <w:color w:val="auto"/>
        </w:rPr>
      </w:pPr>
    </w:p>
    <w:p>
      <w:pPr>
        <w:ind w:right="60" w:firstLine="457"/>
        <w:spacing w:after="0" w:line="274" w:lineRule="auto"/>
        <w:rPr>
          <w:sz w:val="20"/>
          <w:szCs w:val="20"/>
          <w:color w:val="auto"/>
        </w:rPr>
      </w:pPr>
      <w:r>
        <w:rPr>
          <w:rFonts w:ascii="Arial" w:cs="Arial" w:eastAsia="Arial" w:hAnsi="Arial"/>
          <w:sz w:val="16"/>
          <w:szCs w:val="16"/>
          <w:color w:val="auto"/>
        </w:rPr>
        <w:t>Generally, when the Company initially invests to seed an investment entity, the Company is the majority owner of the entity. Our majority ownership in seed investment entities represents a controlling interest, except when we are the general partner in such entities and the third-party investors have the right to replace the general partner. To the extent material, we consolidate seed investment entities in which we own a controlling interest, and we would deconsolidate any such entity when we no longer have a controlling interest in such entity.</w:t>
      </w:r>
    </w:p>
    <w:p>
      <w:pPr>
        <w:spacing w:after="0" w:line="193" w:lineRule="exact"/>
        <w:rPr>
          <w:sz w:val="20"/>
          <w:szCs w:val="20"/>
          <w:color w:val="auto"/>
        </w:rPr>
      </w:pPr>
    </w:p>
    <w:p>
      <w:pPr>
        <w:jc w:val="center"/>
        <w:ind w:right="10120"/>
        <w:spacing w:after="0"/>
        <w:rPr>
          <w:sz w:val="20"/>
          <w:szCs w:val="20"/>
          <w:color w:val="auto"/>
        </w:rPr>
      </w:pPr>
      <w:r>
        <w:rPr>
          <w:rFonts w:ascii="Arial" w:cs="Arial" w:eastAsia="Arial" w:hAnsi="Arial"/>
          <w:sz w:val="15"/>
          <w:szCs w:val="15"/>
          <w:b w:val="1"/>
          <w:bCs w:val="1"/>
          <w:color w:val="auto"/>
        </w:rPr>
        <w:t>Risk Management</w:t>
      </w:r>
    </w:p>
    <w:p>
      <w:pPr>
        <w:spacing w:after="0" w:line="110" w:lineRule="exact"/>
        <w:rPr>
          <w:sz w:val="20"/>
          <w:szCs w:val="20"/>
          <w:color w:val="auto"/>
        </w:rPr>
      </w:pPr>
    </w:p>
    <w:p>
      <w:pPr>
        <w:jc w:val="center"/>
        <w:ind w:right="10120"/>
        <w:spacing w:after="0"/>
        <w:rPr>
          <w:sz w:val="20"/>
          <w:szCs w:val="20"/>
          <w:color w:val="auto"/>
        </w:rPr>
      </w:pPr>
      <w:r>
        <w:rPr>
          <w:rFonts w:ascii="Arial" w:cs="Arial" w:eastAsia="Arial" w:hAnsi="Arial"/>
          <w:sz w:val="16"/>
          <w:szCs w:val="16"/>
          <w:b w:val="1"/>
          <w:bCs w:val="1"/>
          <w:i w:val="1"/>
          <w:iCs w:val="1"/>
          <w:color w:val="auto"/>
        </w:rPr>
        <w:t>Investments</w:t>
      </w:r>
    </w:p>
    <w:p>
      <w:pPr>
        <w:spacing w:after="0" w:line="94" w:lineRule="exact"/>
        <w:rPr>
          <w:sz w:val="20"/>
          <w:szCs w:val="20"/>
          <w:color w:val="auto"/>
        </w:rPr>
      </w:pPr>
    </w:p>
    <w:p>
      <w:pPr>
        <w:ind w:right="180" w:firstLine="457"/>
        <w:spacing w:after="0" w:line="272" w:lineRule="auto"/>
        <w:rPr>
          <w:sz w:val="20"/>
          <w:szCs w:val="20"/>
          <w:color w:val="auto"/>
        </w:rPr>
      </w:pPr>
      <w:r>
        <w:rPr>
          <w:rFonts w:ascii="Arial" w:cs="Arial" w:eastAsia="Arial" w:hAnsi="Arial"/>
          <w:sz w:val="16"/>
          <w:szCs w:val="16"/>
          <w:color w:val="auto"/>
        </w:rPr>
        <w:t>The Company has investments in a variety of asset classes, primarily debt and equity securities, and interests in alternative investments, debt, equity and private equity funds. The Company makes investments primarily to seed strategies in our Asset Management business or to reduce exposure arising from LFI and other similar deferred compensation arrangements. The Company measures its net economic exposure to market and other risks arising from investments that it owns, excluding (i) investments held in connection with LFI and other similar deferred compensation arrangements and (ii) investments in funds owned entirely by the noncontrolling interest holders of certain acquired entities.</w:t>
      </w:r>
    </w:p>
    <w:p>
      <w:pPr>
        <w:spacing w:after="0" w:line="121" w:lineRule="exact"/>
        <w:rPr>
          <w:sz w:val="20"/>
          <w:szCs w:val="20"/>
          <w:color w:val="auto"/>
        </w:rPr>
      </w:pPr>
    </w:p>
    <w:p>
      <w:pPr>
        <w:jc w:val="both"/>
        <w:ind w:right="60" w:firstLine="457"/>
        <w:spacing w:after="0" w:line="306" w:lineRule="auto"/>
        <w:rPr>
          <w:sz w:val="20"/>
          <w:szCs w:val="20"/>
          <w:color w:val="auto"/>
        </w:rPr>
      </w:pPr>
      <w:r>
        <w:rPr>
          <w:rFonts w:ascii="Arial" w:cs="Arial" w:eastAsia="Arial" w:hAnsi="Arial"/>
          <w:sz w:val="15"/>
          <w:szCs w:val="15"/>
          <w:color w:val="auto"/>
        </w:rPr>
        <w:t>Risk sensitivities include the effects of economic hedging. For equity market price risk, investment portfolios and their corresponding hedges are beta-adjusted to the All-Country World equity index. Fair value and sensitivity measurements presented herein are based on various portfolio exposures at a particular point in time and may not be representative of future results. Risk exposures may change as a result of ongoing portfolio activities and changing market conditions, among other things.</w:t>
      </w:r>
    </w:p>
    <w:p>
      <w:pPr>
        <w:spacing w:after="0" w:line="99" w:lineRule="exact"/>
        <w:rPr>
          <w:sz w:val="20"/>
          <w:szCs w:val="20"/>
          <w:color w:val="auto"/>
        </w:rPr>
      </w:pPr>
    </w:p>
    <w:p>
      <w:pPr>
        <w:ind w:firstLine="457"/>
        <w:spacing w:after="0" w:line="272" w:lineRule="auto"/>
        <w:rPr>
          <w:sz w:val="20"/>
          <w:szCs w:val="20"/>
          <w:color w:val="auto"/>
        </w:rPr>
      </w:pPr>
      <w:r>
        <w:rPr>
          <w:rFonts w:ascii="Arial" w:cs="Arial" w:eastAsia="Arial" w:hAnsi="Arial"/>
          <w:sz w:val="16"/>
          <w:szCs w:val="16"/>
          <w:color w:val="auto"/>
        </w:rPr>
        <w:t>Equity Market Price Risk—At June 30, 2015 and December 31, 2014, the Company’s exposure to equity market price risk in its investment portfolio, which primarily relates to investments in equity securities, equity funds and hedge funds, was approximately $123 million and $131 million, respectively. The Company hedges market exposure arising from a significant portion of our equity investment portfolios by entering into total return swaps. The Company estimates that a hypothetical 10% adverse change in market prices would result in a net decrease of approximately $1.0 million and $2.0 million in the carrying value of such investments as of June 30, 2015 and December 31, 2014, respectively, including the effect of the hedging transactions.</w:t>
      </w:r>
    </w:p>
    <w:p>
      <w:pPr>
        <w:spacing w:after="0" w:line="121" w:lineRule="exact"/>
        <w:rPr>
          <w:sz w:val="20"/>
          <w:szCs w:val="20"/>
          <w:color w:val="auto"/>
        </w:rPr>
      </w:pPr>
    </w:p>
    <w:p>
      <w:pPr>
        <w:ind w:right="180" w:firstLine="457"/>
        <w:spacing w:after="0" w:line="272" w:lineRule="auto"/>
        <w:rPr>
          <w:sz w:val="20"/>
          <w:szCs w:val="20"/>
          <w:color w:val="auto"/>
        </w:rPr>
      </w:pPr>
      <w:r>
        <w:rPr>
          <w:rFonts w:ascii="Arial" w:cs="Arial" w:eastAsia="Arial" w:hAnsi="Arial"/>
          <w:sz w:val="16"/>
          <w:szCs w:val="16"/>
          <w:color w:val="auto"/>
        </w:rPr>
        <w:t>Interest Rate/Credit Spread Risk—At both June 30, 2015 and December 31, 2014, the Company’s exposure to interest rate and credit spread risk in its investment portfolio related to investments in debt securities or funds which invest primarily in debt securities was $54 million. The Company hedges market exposure arising from a portion of our debt investment portfolios by entering into total return swaps. The Company estimates that a hypothetical 100 basis point adverse change in interest rates or credit spreads would result in a decrease of approximately $0.9 million and $1.0 million in the carrying value of such investments as of June 30, 2015 and December 31, 2014, respectively, including the effect of the hedging transactions.</w:t>
      </w:r>
    </w:p>
    <w:p>
      <w:pPr>
        <w:spacing w:after="0" w:line="121" w:lineRule="exact"/>
        <w:rPr>
          <w:sz w:val="20"/>
          <w:szCs w:val="20"/>
          <w:color w:val="auto"/>
        </w:rPr>
      </w:pPr>
    </w:p>
    <w:p>
      <w:pPr>
        <w:ind w:firstLine="457"/>
        <w:spacing w:after="0" w:line="274" w:lineRule="auto"/>
        <w:rPr>
          <w:sz w:val="20"/>
          <w:szCs w:val="20"/>
          <w:color w:val="auto"/>
        </w:rPr>
      </w:pPr>
      <w:r>
        <w:rPr>
          <w:rFonts w:ascii="Arial" w:cs="Arial" w:eastAsia="Arial" w:hAnsi="Arial"/>
          <w:sz w:val="16"/>
          <w:szCs w:val="16"/>
          <w:color w:val="auto"/>
        </w:rPr>
        <w:t>Foreign Exchange Rate Risk—At both June 30, 2015 and December 31, 2014, the Company’s exposure to foreign exchange rate risk in its investment portfolio, which primarily relates to investments in foreign currency denominated equity and debt securities, was $68 million. A significant portion of the Company’s foreign currency exposure related to our equity and debt investment portfolios is hedged through the aforementioned total return swaps. The Company estimates that a 10% adverse change in foreign exchange rates versus the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00"/>
          </w:cols>
          <w:pgMar w:left="240" w:top="440" w:right="259"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US dollar would result in a decrease of approximately $0.7 million and $0.6 million in the carrying value of such investments as of June 30, 2015 and December 31, 2014, respectively, including the effect of the hedging transactions.</w:t>
      </w:r>
    </w:p>
    <w:p>
      <w:pPr>
        <w:spacing w:after="0" w:line="103" w:lineRule="exact"/>
        <w:rPr>
          <w:sz w:val="20"/>
          <w:szCs w:val="20"/>
          <w:color w:val="auto"/>
        </w:rPr>
      </w:pPr>
    </w:p>
    <w:p>
      <w:pPr>
        <w:ind w:firstLine="457"/>
        <w:spacing w:after="0" w:line="274" w:lineRule="auto"/>
        <w:rPr>
          <w:sz w:val="20"/>
          <w:szCs w:val="20"/>
          <w:color w:val="auto"/>
        </w:rPr>
      </w:pPr>
      <w:r>
        <w:rPr>
          <w:rFonts w:ascii="Arial" w:cs="Arial" w:eastAsia="Arial" w:hAnsi="Arial"/>
          <w:sz w:val="16"/>
          <w:szCs w:val="16"/>
          <w:color w:val="auto"/>
        </w:rPr>
        <w:t>Private Equity—The Company invests in private equity primarily as a part of its co-investment activities and in connection with certain legacy businesses. At June 30, 2015 and December 31, 2014, the Company’s exposure to changes in fair value of such investments was approximately $103 million and $108 million, respectively. The Company estimates that a hypothetical 10% adverse change in fair value would result in a decrease of approximately $10.3 million and $10.8 million in the carrying value of such investments as of June 30, 2015 and December 31, 2014, respectively.</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Risks Related to Receivables</w:t>
      </w:r>
    </w:p>
    <w:p>
      <w:pPr>
        <w:spacing w:after="0" w:line="94" w:lineRule="exact"/>
        <w:rPr>
          <w:sz w:val="20"/>
          <w:szCs w:val="20"/>
          <w:color w:val="auto"/>
        </w:rPr>
      </w:pPr>
    </w:p>
    <w:p>
      <w:pPr>
        <w:ind w:right="60" w:firstLine="457"/>
        <w:spacing w:after="0" w:line="288" w:lineRule="auto"/>
        <w:rPr>
          <w:sz w:val="20"/>
          <w:szCs w:val="20"/>
          <w:color w:val="auto"/>
        </w:rPr>
      </w:pPr>
      <w:r>
        <w:rPr>
          <w:rFonts w:ascii="Arial" w:cs="Arial" w:eastAsia="Arial" w:hAnsi="Arial"/>
          <w:sz w:val="15"/>
          <w:szCs w:val="15"/>
          <w:color w:val="auto"/>
        </w:rPr>
        <w:t>We maintain an allowance for doubtful accounts to provide coverage for probable losses from our receivables. We determine the adequacy of the allowance by estimating the probability of loss based on our analysis of the client’s creditworthiness, among other things, and specifically provide for exposures where we determine the receivables are impaired. At June 30, 2015, total receivables amounted to $502 million, net of an allowance for doubtful accounts of $21 million. As of that date, Financial Advisory and Asset Management fees, and customer receivables comprised 88% and 12% of total receivables, respectively. At December 31, 2014, total receivables amounted to $558 million, net of an allowance for doubtful accounts of $24 million. As of that date, Financial Advisory and Asset Management fees, and customer receivables comprised 87% and 13% of total receivables, respectively. At June 30, 2015 and December 31, 2014, the Company had receivables past due or deemed uncollectible of approximately $23 million and $25 million, respectively. See also “Critical Accounting Policies and Estimates—Revenue Recognition” above and Note 3 of Notes to Condensed Consolidated Financial Statements for additional information regarding receivables.</w:t>
      </w:r>
    </w:p>
    <w:p>
      <w:pPr>
        <w:spacing w:after="0" w:line="116" w:lineRule="exact"/>
        <w:rPr>
          <w:sz w:val="20"/>
          <w:szCs w:val="20"/>
          <w:color w:val="auto"/>
        </w:rPr>
      </w:pPr>
    </w:p>
    <w:p>
      <w:pPr>
        <w:ind w:right="540" w:firstLine="457"/>
        <w:spacing w:after="0" w:line="280" w:lineRule="auto"/>
        <w:rPr>
          <w:sz w:val="20"/>
          <w:szCs w:val="20"/>
          <w:color w:val="auto"/>
        </w:rPr>
      </w:pPr>
      <w:r>
        <w:rPr>
          <w:rFonts w:ascii="Arial" w:cs="Arial" w:eastAsia="Arial" w:hAnsi="Arial"/>
          <w:sz w:val="16"/>
          <w:szCs w:val="16"/>
          <w:color w:val="auto"/>
        </w:rPr>
        <w:t>LFB engages in lending activities, including commitments to extend credit (primarily for clients of LFG). At June 30, 2015 and December 31, 2014, customer receivables included $31 million and $35 million of LFB loans, respectively, with such loans being fully collateralized and closely monitored for counterparty creditworthiness.</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Credit Concentrations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reduce the exposure to concentrations of credit, the Company monitors exposure to individual counterparties.</w:t>
      </w:r>
    </w:p>
    <w:p>
      <w:pPr>
        <w:spacing w:after="0" w:line="246"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Risks Related to Derivatives</w:t>
      </w:r>
    </w:p>
    <w:p>
      <w:pPr>
        <w:spacing w:after="0" w:line="94" w:lineRule="exact"/>
        <w:rPr>
          <w:sz w:val="20"/>
          <w:szCs w:val="20"/>
          <w:color w:val="auto"/>
        </w:rPr>
      </w:pPr>
    </w:p>
    <w:p>
      <w:pPr>
        <w:ind w:firstLine="457"/>
        <w:spacing w:after="0" w:line="272" w:lineRule="auto"/>
        <w:rPr>
          <w:sz w:val="20"/>
          <w:szCs w:val="20"/>
          <w:color w:val="auto"/>
        </w:rPr>
      </w:pPr>
      <w:r>
        <w:rPr>
          <w:rFonts w:ascii="Arial" w:cs="Arial" w:eastAsia="Arial" w:hAnsi="Arial"/>
          <w:sz w:val="16"/>
          <w:szCs w:val="16"/>
          <w:color w:val="auto"/>
        </w:rPr>
        <w:t>Lazard enters into forward foreign currency exchange contracts and interest rate swaps to hedge exposures to currency exchange rates and interest rates and uses total return swap contracts on various equity and debt indices to hedge a portion of its market exposure with respect to certain seed investments related to our Asset Management business. Derivative contracts are recorded at fair value. Derivative assets amounted to $2 million at both June 30, 2015 and December 31, 2014, and derivative liabilities, excluding the derivative liability arising from the Company’s obligation pertaining to LFI and other similar deferred compensation arrangements, amounted to $1 million and $0.8 million at such respective dates.</w:t>
      </w:r>
    </w:p>
    <w:p>
      <w:pPr>
        <w:spacing w:after="0" w:line="121" w:lineRule="exact"/>
        <w:rPr>
          <w:sz w:val="20"/>
          <w:szCs w:val="20"/>
          <w:color w:val="auto"/>
        </w:rPr>
      </w:pPr>
    </w:p>
    <w:p>
      <w:pPr>
        <w:ind w:right="80" w:firstLine="457"/>
        <w:spacing w:after="0" w:line="274" w:lineRule="auto"/>
        <w:rPr>
          <w:sz w:val="20"/>
          <w:szCs w:val="20"/>
          <w:color w:val="auto"/>
        </w:rPr>
      </w:pPr>
      <w:r>
        <w:rPr>
          <w:rFonts w:ascii="Arial" w:cs="Arial" w:eastAsia="Arial" w:hAnsi="Arial"/>
          <w:sz w:val="16"/>
          <w:szCs w:val="16"/>
          <w:color w:val="auto"/>
        </w:rPr>
        <w:t>The Company also records derivative liabilities relating to its obligations pertaining to LFI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expected to be delivered upon settlement of LFI awards. Derivative liabilities relating to LFI amounted to $202 million and $207 million at June 30, 2015 and December 31, 2014, respectively.</w:t>
      </w:r>
    </w:p>
    <w:p>
      <w:pPr>
        <w:spacing w:after="0" w:line="10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440" w:right="239"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Cash and Cash Equivalents and Corporate Indebtedness</w:t>
      </w:r>
    </w:p>
    <w:p>
      <w:pPr>
        <w:spacing w:after="0" w:line="98" w:lineRule="exact"/>
        <w:rPr>
          <w:sz w:val="20"/>
          <w:szCs w:val="20"/>
          <w:color w:val="auto"/>
        </w:rPr>
      </w:pPr>
    </w:p>
    <w:p>
      <w:pPr>
        <w:ind w:right="80" w:firstLine="457"/>
        <w:spacing w:after="0" w:line="280" w:lineRule="auto"/>
        <w:rPr>
          <w:sz w:val="20"/>
          <w:szCs w:val="20"/>
          <w:color w:val="auto"/>
        </w:rPr>
      </w:pPr>
      <w:r>
        <w:rPr>
          <w:rFonts w:ascii="Arial" w:cs="Arial" w:eastAsia="Arial" w:hAnsi="Arial"/>
          <w:sz w:val="16"/>
          <w:szCs w:val="16"/>
          <w:color w:val="auto"/>
        </w:rPr>
        <w:t>A significant portion of the Company’s indebtedness has fixed interest rates, while its cash and cash equivalents generally have market interest rates. Based on account balances as of June 30, 2015, Lazard estimates that its annual operating income relating to cash and cash equivalents would increase by approximately $7 million in the event interest rates were to increase by 1% and decrease by approximately $7 million if rates were to decrease by 1%.</w:t>
      </w:r>
    </w:p>
    <w:p>
      <w:pPr>
        <w:spacing w:after="0" w:line="115" w:lineRule="exact"/>
        <w:rPr>
          <w:sz w:val="20"/>
          <w:szCs w:val="20"/>
          <w:color w:val="auto"/>
        </w:rPr>
      </w:pPr>
    </w:p>
    <w:p>
      <w:pPr>
        <w:ind w:right="20" w:firstLine="457"/>
        <w:spacing w:after="0" w:line="272" w:lineRule="auto"/>
        <w:rPr>
          <w:sz w:val="20"/>
          <w:szCs w:val="20"/>
          <w:color w:val="auto"/>
        </w:rPr>
      </w:pPr>
      <w:r>
        <w:rPr>
          <w:rFonts w:ascii="Arial" w:cs="Arial" w:eastAsia="Arial" w:hAnsi="Arial"/>
          <w:sz w:val="16"/>
          <w:szCs w:val="16"/>
          <w:color w:val="auto"/>
        </w:rPr>
        <w:t>As of June 30, 2015, the Company’s cash and cash equivalents totaled approximately $701 million. Substantially all of the Company’s cash and cash equivalents were invested in highly liquid institutional money market funds (a significant majority of which were invested solely in U.S. Government or Agency money market funds), in short-term interest bearing and non-interest bearing accounts at a number of leading banks throughout the world, and in short-term certificates of deposit from such banks.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Risk</w:t>
      </w:r>
    </w:p>
    <w:p>
      <w:pPr>
        <w:spacing w:after="0" w:line="98" w:lineRule="exact"/>
        <w:rPr>
          <w:sz w:val="20"/>
          <w:szCs w:val="20"/>
          <w:color w:val="auto"/>
        </w:rPr>
      </w:pPr>
    </w:p>
    <w:p>
      <w:pPr>
        <w:ind w:right="40" w:firstLine="457"/>
        <w:spacing w:after="0" w:line="269" w:lineRule="auto"/>
        <w:rPr>
          <w:sz w:val="20"/>
          <w:szCs w:val="20"/>
          <w:color w:val="auto"/>
        </w:rPr>
      </w:pPr>
      <w:r>
        <w:rPr>
          <w:rFonts w:ascii="Arial" w:cs="Arial" w:eastAsia="Arial" w:hAnsi="Arial"/>
          <w:sz w:val="16"/>
          <w:szCs w:val="16"/>
          <w:color w:val="auto"/>
        </w:rPr>
        <w:t>Operational risk is inherent in all our business and may, for example, manifest itself in the form of errors, breaches in the system of internal controls, employee misconduct, business interruptions, fraud, including fraud perpetrated by third parties,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policies designed to help protect the Company against accidental loss and losses that may significantly affect our financial objectives, personnel, property or our ability to continue to meet our responsibilities to our various stakeholder groups.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Developments</w:t>
      </w:r>
    </w:p>
    <w:p>
      <w:pPr>
        <w:spacing w:after="0" w:line="98" w:lineRule="exact"/>
        <w:rPr>
          <w:sz w:val="20"/>
          <w:szCs w:val="20"/>
          <w:color w:val="auto"/>
        </w:rPr>
      </w:pPr>
    </w:p>
    <w:p>
      <w:pPr>
        <w:ind w:firstLine="457"/>
        <w:spacing w:after="0" w:line="296" w:lineRule="auto"/>
        <w:rPr>
          <w:sz w:val="20"/>
          <w:szCs w:val="20"/>
          <w:color w:val="auto"/>
        </w:rPr>
      </w:pPr>
      <w:r>
        <w:rPr>
          <w:rFonts w:ascii="Arial" w:cs="Arial" w:eastAsia="Arial" w:hAnsi="Arial"/>
          <w:sz w:val="16"/>
          <w:szCs w:val="16"/>
          <w:color w:val="auto"/>
        </w:rPr>
        <w:t>For a discussion of recently issued accounting developments and their impact or potential impact on Lazard’s consolidated financial statements, see Note 2 of Notes to Condensed Consolidated Financial Statements.</w:t>
      </w:r>
    </w:p>
    <w:p>
      <w:pPr>
        <w:spacing w:after="0" w:line="213"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Management</w:t>
      </w:r>
    </w:p>
    <w:p>
      <w:pPr>
        <w:spacing w:after="0" w:line="98" w:lineRule="exact"/>
        <w:rPr>
          <w:sz w:val="20"/>
          <w:szCs w:val="20"/>
          <w:color w:val="auto"/>
        </w:rPr>
      </w:pPr>
    </w:p>
    <w:p>
      <w:pPr>
        <w:ind w:right="60" w:firstLine="457"/>
        <w:spacing w:after="0" w:line="296" w:lineRule="auto"/>
        <w:rPr>
          <w:sz w:val="20"/>
          <w:szCs w:val="20"/>
          <w:color w:val="auto"/>
        </w:rPr>
      </w:pPr>
      <w:r>
        <w:rPr>
          <w:rFonts w:ascii="Arial" w:cs="Arial" w:eastAsia="Arial" w:hAnsi="Arial"/>
          <w:sz w:val="16"/>
          <w:szCs w:val="16"/>
          <w:color w:val="auto"/>
        </w:rPr>
        <w:t>Quantitative and qualitative disclosures about market risk are included under the caption “Management’s Discussion and Analysis of Financial Condition and Results of Operations—Risk Management.”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440" w:right="23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4"/>
          <w:szCs w:val="14"/>
          <w:b w:val="1"/>
          <w:bCs w:val="1"/>
          <w:color w:val="auto"/>
        </w:rPr>
        <w:t>Controls and Procedures</w:t>
      </w:r>
    </w:p>
    <w:p>
      <w:pPr>
        <w:spacing w:after="0" w:line="98" w:lineRule="exact"/>
        <w:rPr>
          <w:sz w:val="20"/>
          <w:szCs w:val="20"/>
          <w:color w:val="auto"/>
        </w:rPr>
      </w:pPr>
    </w:p>
    <w:p>
      <w:pPr>
        <w:ind w:firstLine="457"/>
        <w:spacing w:after="0" w:line="269" w:lineRule="auto"/>
        <w:rPr>
          <w:sz w:val="20"/>
          <w:szCs w:val="20"/>
          <w:color w:val="auto"/>
        </w:rPr>
      </w:pPr>
      <w:r>
        <w:rPr>
          <w:rFonts w:ascii="Arial" w:cs="Arial" w:eastAsia="Arial" w:hAnsi="Arial"/>
          <w:sz w:val="16"/>
          <w:szCs w:val="16"/>
          <w:color w:val="auto"/>
        </w:rPr>
        <w:t>Our management, including our Chief Executive Officer and Chief Financial Officer, evaluated the effectiveness of our disclosure controls and procedures pursuant to Rule 13a-15 under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25" w:lineRule="exact"/>
        <w:rPr>
          <w:sz w:val="20"/>
          <w:szCs w:val="20"/>
          <w:color w:val="auto"/>
        </w:rPr>
      </w:pPr>
    </w:p>
    <w:p>
      <w:pPr>
        <w:ind w:right="220" w:firstLine="457"/>
        <w:spacing w:after="0" w:line="296" w:lineRule="auto"/>
        <w:rPr>
          <w:sz w:val="20"/>
          <w:szCs w:val="20"/>
          <w:color w:val="auto"/>
        </w:rPr>
      </w:pPr>
      <w:r>
        <w:rPr>
          <w:rFonts w:ascii="Arial" w:cs="Arial" w:eastAsia="Arial" w:hAnsi="Arial"/>
          <w:sz w:val="16"/>
          <w:szCs w:val="16"/>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00"/>
          </w:cols>
          <w:pgMar w:left="240" w:top="440" w:right="259"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II. OTHER INFORMATION</w:t>
      </w:r>
    </w:p>
    <w:p>
      <w:pPr>
        <w:spacing w:after="0" w:line="208"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4"/>
          <w:szCs w:val="14"/>
          <w:b w:val="1"/>
          <w:bCs w:val="1"/>
          <w:color w:val="auto"/>
        </w:rPr>
        <w:t>Legal Proceedings</w:t>
      </w:r>
    </w:p>
    <w:p>
      <w:pPr>
        <w:spacing w:after="0" w:line="98" w:lineRule="exact"/>
        <w:rPr>
          <w:sz w:val="20"/>
          <w:szCs w:val="20"/>
          <w:color w:val="auto"/>
        </w:rPr>
      </w:pPr>
    </w:p>
    <w:p>
      <w:pPr>
        <w:ind w:firstLine="457"/>
        <w:spacing w:after="0" w:line="270" w:lineRule="auto"/>
        <w:rPr>
          <w:sz w:val="20"/>
          <w:szCs w:val="20"/>
          <w:color w:val="auto"/>
        </w:rPr>
      </w:pPr>
      <w:r>
        <w:rPr>
          <w:rFonts w:ascii="Arial" w:cs="Arial" w:eastAsia="Arial" w:hAnsi="Arial"/>
          <w:sz w:val="16"/>
          <w:szCs w:val="16"/>
          <w:color w:val="auto"/>
        </w:rPr>
        <w:t>The Company is involved from time to time in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34"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were no material changes from the risk factors previously disclosed in the Company’s Annual Report on Form 10-K.</w:t>
      </w:r>
    </w:p>
    <w:p>
      <w:pPr>
        <w:spacing w:after="0" w:line="280"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4"/>
          <w:szCs w:val="14"/>
          <w:b w:val="1"/>
          <w:bCs w:val="1"/>
          <w:color w:val="auto"/>
        </w:rPr>
        <w:t>Unregistered Sales of Equity Securities and Use of Proceeds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None.</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Issuer Repurchases of Equity Securities</w:t>
      </w:r>
    </w:p>
    <w:p>
      <w:pPr>
        <w:spacing w:after="0" w:line="98" w:lineRule="exact"/>
        <w:rPr>
          <w:sz w:val="20"/>
          <w:szCs w:val="20"/>
          <w:color w:val="auto"/>
        </w:rPr>
      </w:pPr>
    </w:p>
    <w:p>
      <w:pPr>
        <w:ind w:right="300" w:firstLine="457"/>
        <w:spacing w:after="0" w:line="296" w:lineRule="auto"/>
        <w:rPr>
          <w:sz w:val="20"/>
          <w:szCs w:val="20"/>
          <w:color w:val="auto"/>
        </w:rPr>
      </w:pPr>
      <w:r>
        <w:rPr>
          <w:rFonts w:ascii="Arial" w:cs="Arial" w:eastAsia="Arial" w:hAnsi="Arial"/>
          <w:sz w:val="16"/>
          <w:szCs w:val="16"/>
          <w:color w:val="auto"/>
        </w:rPr>
        <w:t>The following table sets forth information regarding Lazard’s purchases of its Class A common stock on a monthly basis during the second quarter of 2015. Share repurchases are recorded on a trade date basis.</w:t>
      </w:r>
    </w:p>
    <w:p>
      <w:pPr>
        <w:spacing w:after="0" w:line="126"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0"/>
              </w:rPr>
              <w:t>Total Number</w:t>
            </w:r>
          </w:p>
        </w:tc>
        <w:tc>
          <w:tcPr>
            <w:tcW w:w="5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4"/>
              </w:rPr>
              <w:t>of Shares</w:t>
            </w:r>
          </w:p>
        </w:tc>
        <w:tc>
          <w:tcPr>
            <w:tcW w:w="500" w:type="dxa"/>
            <w:vAlign w:val="bottom"/>
          </w:tcPr>
          <w:p>
            <w:pPr>
              <w:spacing w:after="0"/>
              <w:rPr>
                <w:sz w:val="12"/>
                <w:szCs w:val="12"/>
                <w:color w:val="auto"/>
              </w:rPr>
            </w:pPr>
          </w:p>
        </w:tc>
        <w:tc>
          <w:tcPr>
            <w:tcW w:w="1120" w:type="dxa"/>
            <w:vAlign w:val="bottom"/>
            <w:gridSpan w:val="2"/>
          </w:tcPr>
          <w:p>
            <w:pPr>
              <w:jc w:val="center"/>
              <w:ind w:right="120"/>
              <w:spacing w:after="0" w:line="139" w:lineRule="exact"/>
              <w:rPr>
                <w:sz w:val="20"/>
                <w:szCs w:val="20"/>
                <w:color w:val="auto"/>
              </w:rPr>
            </w:pPr>
            <w:r>
              <w:rPr>
                <w:rFonts w:ascii="Arial" w:cs="Arial" w:eastAsia="Arial" w:hAnsi="Arial"/>
                <w:sz w:val="13"/>
                <w:szCs w:val="13"/>
                <w:b w:val="1"/>
                <w:bCs w:val="1"/>
                <w:color w:val="auto"/>
                <w:w w:val="90"/>
              </w:rPr>
              <w:t>Approximate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w w:val="85"/>
              </w:rPr>
              <w:t>Average</w:t>
            </w:r>
          </w:p>
        </w:tc>
        <w:tc>
          <w:tcPr>
            <w:tcW w:w="520" w:type="dxa"/>
            <w:vAlign w:val="bottom"/>
          </w:tcPr>
          <w:p>
            <w:pPr>
              <w:spacing w:after="0"/>
              <w:rPr>
                <w:sz w:val="12"/>
                <w:szCs w:val="12"/>
                <w:color w:val="auto"/>
              </w:rPr>
            </w:pPr>
          </w:p>
        </w:tc>
        <w:tc>
          <w:tcPr>
            <w:tcW w:w="86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5"/>
              </w:rPr>
              <w:t>Purchased as</w:t>
            </w:r>
          </w:p>
        </w:tc>
        <w:tc>
          <w:tcPr>
            <w:tcW w:w="500" w:type="dxa"/>
            <w:vAlign w:val="bottom"/>
          </w:tcPr>
          <w:p>
            <w:pPr>
              <w:spacing w:after="0"/>
              <w:rPr>
                <w:sz w:val="12"/>
                <w:szCs w:val="12"/>
                <w:color w:val="auto"/>
              </w:rPr>
            </w:pPr>
          </w:p>
        </w:tc>
        <w:tc>
          <w:tcPr>
            <w:tcW w:w="1120" w:type="dxa"/>
            <w:vAlign w:val="bottom"/>
            <w:gridSpan w:val="2"/>
          </w:tcPr>
          <w:p>
            <w:pPr>
              <w:jc w:val="center"/>
              <w:ind w:right="100"/>
              <w:spacing w:after="0" w:line="139" w:lineRule="exact"/>
              <w:rPr>
                <w:sz w:val="20"/>
                <w:szCs w:val="20"/>
                <w:color w:val="auto"/>
              </w:rPr>
            </w:pPr>
            <w:r>
              <w:rPr>
                <w:rFonts w:ascii="Arial" w:cs="Arial" w:eastAsia="Arial" w:hAnsi="Arial"/>
                <w:sz w:val="13"/>
                <w:szCs w:val="13"/>
                <w:b w:val="1"/>
                <w:bCs w:val="1"/>
                <w:color w:val="auto"/>
                <w:w w:val="90"/>
              </w:rPr>
              <w:t>Dollar Value of</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9"/>
              </w:rPr>
              <w:t>Total</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center"/>
              <w:ind w:right="23"/>
              <w:spacing w:after="0" w:line="139" w:lineRule="exact"/>
              <w:rPr>
                <w:sz w:val="20"/>
                <w:szCs w:val="20"/>
                <w:color w:val="auto"/>
              </w:rPr>
            </w:pPr>
            <w:r>
              <w:rPr>
                <w:rFonts w:ascii="Arial" w:cs="Arial" w:eastAsia="Arial" w:hAnsi="Arial"/>
                <w:sz w:val="13"/>
                <w:szCs w:val="13"/>
                <w:b w:val="1"/>
                <w:bCs w:val="1"/>
                <w:color w:val="auto"/>
                <w:w w:val="87"/>
              </w:rPr>
              <w:t>Price</w:t>
            </w:r>
          </w:p>
        </w:tc>
        <w:tc>
          <w:tcPr>
            <w:tcW w:w="1380" w:type="dxa"/>
            <w:vAlign w:val="bottom"/>
            <w:gridSpan w:val="2"/>
          </w:tcPr>
          <w:p>
            <w:pPr>
              <w:jc w:val="center"/>
              <w:ind w:left="423"/>
              <w:spacing w:after="0" w:line="139" w:lineRule="exact"/>
              <w:rPr>
                <w:sz w:val="20"/>
                <w:szCs w:val="20"/>
                <w:color w:val="auto"/>
              </w:rPr>
            </w:pPr>
            <w:r>
              <w:rPr>
                <w:rFonts w:ascii="Arial" w:cs="Arial" w:eastAsia="Arial" w:hAnsi="Arial"/>
                <w:sz w:val="13"/>
                <w:szCs w:val="13"/>
                <w:b w:val="1"/>
                <w:bCs w:val="1"/>
                <w:color w:val="auto"/>
                <w:w w:val="88"/>
              </w:rPr>
              <w:t>Part of Publicly</w:t>
            </w:r>
          </w:p>
        </w:tc>
        <w:tc>
          <w:tcPr>
            <w:tcW w:w="500" w:type="dxa"/>
            <w:vAlign w:val="bottom"/>
          </w:tcPr>
          <w:p>
            <w:pPr>
              <w:spacing w:after="0"/>
              <w:rPr>
                <w:sz w:val="12"/>
                <w:szCs w:val="12"/>
                <w:color w:val="auto"/>
              </w:rPr>
            </w:pPr>
          </w:p>
        </w:tc>
        <w:tc>
          <w:tcPr>
            <w:tcW w:w="1120" w:type="dxa"/>
            <w:vAlign w:val="bottom"/>
            <w:gridSpan w:val="2"/>
          </w:tcPr>
          <w:p>
            <w:pPr>
              <w:jc w:val="center"/>
              <w:ind w:right="120"/>
              <w:spacing w:after="0" w:line="139" w:lineRule="exact"/>
              <w:rPr>
                <w:sz w:val="20"/>
                <w:szCs w:val="20"/>
                <w:color w:val="auto"/>
              </w:rPr>
            </w:pPr>
            <w:r>
              <w:rPr>
                <w:rFonts w:ascii="Arial" w:cs="Arial" w:eastAsia="Arial" w:hAnsi="Arial"/>
                <w:sz w:val="13"/>
                <w:szCs w:val="13"/>
                <w:b w:val="1"/>
                <w:bCs w:val="1"/>
                <w:color w:val="auto"/>
                <w:w w:val="88"/>
              </w:rPr>
              <w:t>Shares that May</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3"/>
              </w:rPr>
              <w:t>Number</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center"/>
              <w:ind w:right="23"/>
              <w:spacing w:after="0" w:line="139" w:lineRule="exact"/>
              <w:rPr>
                <w:sz w:val="20"/>
                <w:szCs w:val="20"/>
                <w:color w:val="auto"/>
              </w:rPr>
            </w:pPr>
            <w:r>
              <w:rPr>
                <w:rFonts w:ascii="Arial" w:cs="Arial" w:eastAsia="Arial" w:hAnsi="Arial"/>
                <w:sz w:val="13"/>
                <w:szCs w:val="13"/>
                <w:b w:val="1"/>
                <w:bCs w:val="1"/>
                <w:color w:val="auto"/>
                <w:w w:val="87"/>
              </w:rPr>
              <w:t>Paid</w:t>
            </w:r>
          </w:p>
        </w:tc>
        <w:tc>
          <w:tcPr>
            <w:tcW w:w="520" w:type="dxa"/>
            <w:vAlign w:val="bottom"/>
          </w:tcPr>
          <w:p>
            <w:pPr>
              <w:spacing w:after="0"/>
              <w:rPr>
                <w:sz w:val="12"/>
                <w:szCs w:val="12"/>
                <w:color w:val="auto"/>
              </w:rPr>
            </w:pPr>
          </w:p>
        </w:tc>
        <w:tc>
          <w:tcPr>
            <w:tcW w:w="86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6"/>
              </w:rPr>
              <w:t>Announced</w:t>
            </w:r>
          </w:p>
        </w:tc>
        <w:tc>
          <w:tcPr>
            <w:tcW w:w="500" w:type="dxa"/>
            <w:vAlign w:val="bottom"/>
          </w:tcPr>
          <w:p>
            <w:pPr>
              <w:spacing w:after="0"/>
              <w:rPr>
                <w:sz w:val="12"/>
                <w:szCs w:val="12"/>
                <w:color w:val="auto"/>
              </w:rPr>
            </w:pPr>
          </w:p>
        </w:tc>
        <w:tc>
          <w:tcPr>
            <w:tcW w:w="1120" w:type="dxa"/>
            <w:vAlign w:val="bottom"/>
            <w:gridSpan w:val="2"/>
          </w:tcPr>
          <w:p>
            <w:pPr>
              <w:jc w:val="center"/>
              <w:ind w:right="100"/>
              <w:spacing w:after="0" w:line="139" w:lineRule="exact"/>
              <w:rPr>
                <w:sz w:val="20"/>
                <w:szCs w:val="20"/>
                <w:color w:val="auto"/>
              </w:rPr>
            </w:pPr>
            <w:r>
              <w:rPr>
                <w:rFonts w:ascii="Arial" w:cs="Arial" w:eastAsia="Arial" w:hAnsi="Arial"/>
                <w:sz w:val="13"/>
                <w:szCs w:val="13"/>
                <w:b w:val="1"/>
                <w:bCs w:val="1"/>
                <w:color w:val="auto"/>
                <w:w w:val="84"/>
              </w:rPr>
              <w:t>Yet Be Purchased</w:t>
            </w:r>
          </w:p>
        </w:tc>
        <w:tc>
          <w:tcPr>
            <w:tcW w:w="0" w:type="dxa"/>
            <w:vAlign w:val="bottom"/>
          </w:tcPr>
          <w:p>
            <w:pPr>
              <w:spacing w:after="0"/>
              <w:rPr>
                <w:sz w:val="1"/>
                <w:szCs w:val="1"/>
                <w:color w:val="auto"/>
              </w:rPr>
            </w:pPr>
          </w:p>
        </w:tc>
      </w:tr>
      <w:tr>
        <w:trPr>
          <w:trHeight w:val="139"/>
        </w:trPr>
        <w:tc>
          <w:tcPr>
            <w:tcW w:w="36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Period</w:t>
            </w:r>
          </w:p>
        </w:tc>
        <w:tc>
          <w:tcPr>
            <w:tcW w:w="2360" w:type="dxa"/>
            <w:vAlign w:val="bottom"/>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4"/>
              </w:rPr>
              <w:t>of Shares</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center"/>
              <w:ind w:right="3"/>
              <w:spacing w:after="0" w:line="139" w:lineRule="exact"/>
              <w:rPr>
                <w:sz w:val="20"/>
                <w:szCs w:val="20"/>
                <w:color w:val="auto"/>
              </w:rPr>
            </w:pPr>
            <w:r>
              <w:rPr>
                <w:rFonts w:ascii="Arial" w:cs="Arial" w:eastAsia="Arial" w:hAnsi="Arial"/>
                <w:sz w:val="13"/>
                <w:szCs w:val="13"/>
                <w:b w:val="1"/>
                <w:bCs w:val="1"/>
                <w:color w:val="auto"/>
                <w:w w:val="88"/>
              </w:rPr>
              <w:t>per</w:t>
            </w:r>
          </w:p>
        </w:tc>
        <w:tc>
          <w:tcPr>
            <w:tcW w:w="520" w:type="dxa"/>
            <w:vAlign w:val="bottom"/>
          </w:tcPr>
          <w:p>
            <w:pPr>
              <w:spacing w:after="0"/>
              <w:rPr>
                <w:sz w:val="12"/>
                <w:szCs w:val="12"/>
                <w:color w:val="auto"/>
              </w:rPr>
            </w:pPr>
          </w:p>
        </w:tc>
        <w:tc>
          <w:tcPr>
            <w:tcW w:w="86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5"/>
              </w:rPr>
              <w:t>Plans or</w:t>
            </w:r>
          </w:p>
        </w:tc>
        <w:tc>
          <w:tcPr>
            <w:tcW w:w="1620" w:type="dxa"/>
            <w:vAlign w:val="bottom"/>
            <w:gridSpan w:val="3"/>
          </w:tcPr>
          <w:p>
            <w:pPr>
              <w:jc w:val="center"/>
              <w:ind w:left="322"/>
              <w:spacing w:after="0" w:line="139" w:lineRule="exact"/>
              <w:rPr>
                <w:sz w:val="20"/>
                <w:szCs w:val="20"/>
                <w:color w:val="auto"/>
              </w:rPr>
            </w:pPr>
            <w:r>
              <w:rPr>
                <w:rFonts w:ascii="Arial" w:cs="Arial" w:eastAsia="Arial" w:hAnsi="Arial"/>
                <w:sz w:val="13"/>
                <w:szCs w:val="13"/>
                <w:b w:val="1"/>
                <w:bCs w:val="1"/>
                <w:color w:val="auto"/>
                <w:w w:val="88"/>
              </w:rPr>
              <w:t>Under the Plans or</w:t>
            </w:r>
          </w:p>
        </w:tc>
        <w:tc>
          <w:tcPr>
            <w:tcW w:w="0" w:type="dxa"/>
            <w:vAlign w:val="bottom"/>
          </w:tcPr>
          <w:p>
            <w:pPr>
              <w:spacing w:after="0"/>
              <w:rPr>
                <w:sz w:val="1"/>
                <w:szCs w:val="1"/>
                <w:color w:val="auto"/>
              </w:rPr>
            </w:pPr>
          </w:p>
        </w:tc>
      </w:tr>
      <w:tr>
        <w:trPr>
          <w:trHeight w:val="139"/>
        </w:trPr>
        <w:tc>
          <w:tcPr>
            <w:tcW w:w="3600" w:type="dxa"/>
            <w:vAlign w:val="bottom"/>
            <w:gridSpan w:val="3"/>
            <w:vMerge w:val="continue"/>
          </w:tcPr>
          <w:p>
            <w:pPr>
              <w:spacing w:after="0"/>
              <w:rPr>
                <w:sz w:val="12"/>
                <w:szCs w:val="12"/>
                <w:color w:val="auto"/>
              </w:rPr>
            </w:pPr>
          </w:p>
        </w:tc>
        <w:tc>
          <w:tcPr>
            <w:tcW w:w="2360" w:type="dxa"/>
            <w:vAlign w:val="bottom"/>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7"/>
              </w:rPr>
              <w:t>Purchased</w:t>
            </w:r>
          </w:p>
        </w:tc>
        <w:tc>
          <w:tcPr>
            <w:tcW w:w="500" w:type="dxa"/>
            <w:vAlign w:val="bottom"/>
          </w:tcPr>
          <w:p>
            <w:pPr>
              <w:spacing w:after="0"/>
              <w:rPr>
                <w:sz w:val="12"/>
                <w:szCs w:val="12"/>
                <w:color w:val="auto"/>
              </w:rPr>
            </w:pPr>
          </w:p>
        </w:tc>
        <w:tc>
          <w:tcPr>
            <w:tcW w:w="46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88"/>
              </w:rPr>
              <w:t>Share</w:t>
            </w:r>
          </w:p>
        </w:tc>
        <w:tc>
          <w:tcPr>
            <w:tcW w:w="520" w:type="dxa"/>
            <w:vAlign w:val="bottom"/>
          </w:tcPr>
          <w:p>
            <w:pPr>
              <w:spacing w:after="0"/>
              <w:rPr>
                <w:sz w:val="12"/>
                <w:szCs w:val="12"/>
                <w:color w:val="auto"/>
              </w:rPr>
            </w:pPr>
          </w:p>
        </w:tc>
        <w:tc>
          <w:tcPr>
            <w:tcW w:w="86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8"/>
              </w:rPr>
              <w:t>Programs</w:t>
            </w:r>
          </w:p>
        </w:tc>
        <w:tc>
          <w:tcPr>
            <w:tcW w:w="500" w:type="dxa"/>
            <w:vAlign w:val="bottom"/>
          </w:tcPr>
          <w:p>
            <w:pPr>
              <w:spacing w:after="0"/>
              <w:rPr>
                <w:sz w:val="12"/>
                <w:szCs w:val="12"/>
                <w:color w:val="auto"/>
              </w:rPr>
            </w:pPr>
          </w:p>
        </w:tc>
        <w:tc>
          <w:tcPr>
            <w:tcW w:w="1120" w:type="dxa"/>
            <w:vAlign w:val="bottom"/>
            <w:gridSpan w:val="2"/>
          </w:tcPr>
          <w:p>
            <w:pPr>
              <w:jc w:val="center"/>
              <w:ind w:right="120"/>
              <w:spacing w:after="0" w:line="139" w:lineRule="exact"/>
              <w:rPr>
                <w:sz w:val="20"/>
                <w:szCs w:val="20"/>
                <w:color w:val="auto"/>
              </w:rPr>
            </w:pPr>
            <w:r>
              <w:rPr>
                <w:rFonts w:ascii="Arial" w:cs="Arial" w:eastAsia="Arial" w:hAnsi="Arial"/>
                <w:sz w:val="13"/>
                <w:szCs w:val="13"/>
                <w:b w:val="1"/>
                <w:bCs w:val="1"/>
                <w:color w:val="auto"/>
                <w:w w:val="85"/>
              </w:rPr>
              <w:t>Programs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58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April 1 – April 30, 2015</w:t>
            </w:r>
          </w:p>
        </w:tc>
        <w:tc>
          <w:tcPr>
            <w:tcW w:w="23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gridSpan w:val="2"/>
          </w:tcPr>
          <w:p>
            <w:pPr>
              <w:spacing w:after="0"/>
              <w:rPr>
                <w:sz w:val="20"/>
                <w:szCs w:val="20"/>
                <w:color w:val="auto"/>
              </w:rPr>
            </w:pPr>
            <w:r>
              <w:rPr>
                <w:rFonts w:ascii="Arial" w:cs="Arial" w:eastAsia="Arial" w:hAnsi="Arial"/>
                <w:sz w:val="16"/>
                <w:szCs w:val="16"/>
                <w:color w:val="auto"/>
              </w:rPr>
              <w:t>Share Repurchase Program (1)</w:t>
            </w:r>
          </w:p>
        </w:tc>
        <w:tc>
          <w:tcPr>
            <w:tcW w:w="23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tcPr>
          <w:p>
            <w:pPr>
              <w:ind w:left="500"/>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3"/>
          </w:tcPr>
          <w:p>
            <w:pPr>
              <w:jc w:val="center"/>
              <w:ind w:left="322"/>
              <w:spacing w:after="0"/>
              <w:rPr>
                <w:sz w:val="20"/>
                <w:szCs w:val="20"/>
                <w:color w:val="auto"/>
              </w:rPr>
            </w:pPr>
            <w:r>
              <w:rPr>
                <w:rFonts w:ascii="Arial" w:cs="Arial" w:eastAsia="Arial" w:hAnsi="Arial"/>
                <w:sz w:val="16"/>
                <w:szCs w:val="16"/>
                <w:color w:val="auto"/>
                <w:w w:val="98"/>
              </w:rPr>
              <w:t>$ 196.0 million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Employee Transactions (2)</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5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50.88</w:t>
            </w: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01"/>
        </w:trPr>
        <w:tc>
          <w:tcPr>
            <w:tcW w:w="3600" w:type="dxa"/>
            <w:vAlign w:val="bottom"/>
            <w:gridSpan w:val="3"/>
          </w:tcPr>
          <w:p>
            <w:pPr>
              <w:spacing w:after="0"/>
              <w:rPr>
                <w:sz w:val="20"/>
                <w:szCs w:val="20"/>
                <w:color w:val="auto"/>
              </w:rPr>
            </w:pPr>
            <w:r>
              <w:rPr>
                <w:rFonts w:ascii="Arial" w:cs="Arial" w:eastAsia="Arial" w:hAnsi="Arial"/>
                <w:sz w:val="16"/>
                <w:szCs w:val="16"/>
                <w:b w:val="1"/>
                <w:bCs w:val="1"/>
                <w:color w:val="auto"/>
              </w:rPr>
              <w:t>May 1 – May 31, 2015</w:t>
            </w:r>
          </w:p>
        </w:tc>
        <w:tc>
          <w:tcPr>
            <w:tcW w:w="2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Share Repurchase Program (1)</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589,567</w:t>
            </w:r>
          </w:p>
        </w:tc>
        <w:tc>
          <w:tcPr>
            <w:tcW w:w="5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55.23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589,567</w:t>
            </w:r>
          </w:p>
        </w:tc>
        <w:tc>
          <w:tcPr>
            <w:tcW w:w="1620" w:type="dxa"/>
            <w:vAlign w:val="bottom"/>
            <w:gridSpan w:val="3"/>
            <w:shd w:val="clear" w:color="auto" w:fill="CCEEFF"/>
          </w:tcPr>
          <w:p>
            <w:pPr>
              <w:jc w:val="center"/>
              <w:ind w:left="322"/>
              <w:spacing w:after="0"/>
              <w:rPr>
                <w:sz w:val="20"/>
                <w:szCs w:val="20"/>
                <w:color w:val="auto"/>
              </w:rPr>
            </w:pPr>
            <w:r>
              <w:rPr>
                <w:rFonts w:ascii="Arial" w:cs="Arial" w:eastAsia="Arial" w:hAnsi="Arial"/>
                <w:sz w:val="16"/>
                <w:szCs w:val="16"/>
                <w:color w:val="auto"/>
                <w:w w:val="98"/>
              </w:rPr>
              <w:t>$ 163.4 million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6"/>
                <w:szCs w:val="16"/>
                <w:color w:val="auto"/>
              </w:rPr>
              <w:t>Employee Transactions (2)</w:t>
            </w:r>
          </w:p>
        </w:tc>
        <w:tc>
          <w:tcPr>
            <w:tcW w:w="2960" w:type="dxa"/>
            <w:vAlign w:val="bottom"/>
            <w:gridSpan w:val="2"/>
          </w:tcPr>
          <w:p>
            <w:pPr>
              <w:jc w:val="right"/>
              <w:spacing w:after="0"/>
              <w:rPr>
                <w:sz w:val="20"/>
                <w:szCs w:val="20"/>
                <w:color w:val="auto"/>
              </w:rPr>
            </w:pPr>
            <w:r>
              <w:rPr>
                <w:rFonts w:ascii="Arial" w:cs="Arial" w:eastAsia="Arial" w:hAnsi="Arial"/>
                <w:sz w:val="16"/>
                <w:szCs w:val="16"/>
                <w:color w:val="auto"/>
              </w:rPr>
              <w:t>6,467</w:t>
            </w:r>
          </w:p>
        </w:tc>
        <w:tc>
          <w:tcPr>
            <w:tcW w:w="580" w:type="dxa"/>
            <w:vAlign w:val="bottom"/>
            <w:gridSpan w:val="2"/>
          </w:tcPr>
          <w:p>
            <w:pPr>
              <w:ind w:left="500"/>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6"/>
                <w:szCs w:val="16"/>
                <w:color w:val="auto"/>
                <w:w w:val="89"/>
              </w:rPr>
              <w:t>54.81</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12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32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June 1 – June 30, 2015</w:t>
            </w:r>
          </w:p>
        </w:tc>
        <w:tc>
          <w:tcPr>
            <w:tcW w:w="23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gridSpan w:val="2"/>
          </w:tcPr>
          <w:p>
            <w:pPr>
              <w:spacing w:after="0"/>
              <w:rPr>
                <w:sz w:val="20"/>
                <w:szCs w:val="20"/>
                <w:color w:val="auto"/>
              </w:rPr>
            </w:pPr>
            <w:r>
              <w:rPr>
                <w:rFonts w:ascii="Arial" w:cs="Arial" w:eastAsia="Arial" w:hAnsi="Arial"/>
                <w:sz w:val="16"/>
                <w:szCs w:val="16"/>
                <w:color w:val="auto"/>
              </w:rPr>
              <w:t>Share Repurchase Program (1)</w:t>
            </w:r>
          </w:p>
        </w:tc>
        <w:tc>
          <w:tcPr>
            <w:tcW w:w="2960" w:type="dxa"/>
            <w:vAlign w:val="bottom"/>
            <w:gridSpan w:val="2"/>
          </w:tcPr>
          <w:p>
            <w:pPr>
              <w:jc w:val="right"/>
              <w:spacing w:after="0"/>
              <w:rPr>
                <w:sz w:val="20"/>
                <w:szCs w:val="20"/>
                <w:color w:val="auto"/>
              </w:rPr>
            </w:pPr>
            <w:r>
              <w:rPr>
                <w:rFonts w:ascii="Arial" w:cs="Arial" w:eastAsia="Arial" w:hAnsi="Arial"/>
                <w:sz w:val="16"/>
                <w:szCs w:val="16"/>
                <w:color w:val="auto"/>
              </w:rPr>
              <w:t>39,663</w:t>
            </w:r>
          </w:p>
        </w:tc>
        <w:tc>
          <w:tcPr>
            <w:tcW w:w="580" w:type="dxa"/>
            <w:vAlign w:val="bottom"/>
            <w:gridSpan w:val="2"/>
          </w:tcPr>
          <w:p>
            <w:pPr>
              <w:ind w:left="500"/>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6"/>
                <w:szCs w:val="16"/>
                <w:color w:val="auto"/>
                <w:w w:val="89"/>
              </w:rPr>
              <w:t>55.75</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39,663</w:t>
            </w:r>
          </w:p>
        </w:tc>
        <w:tc>
          <w:tcPr>
            <w:tcW w:w="1620" w:type="dxa"/>
            <w:vAlign w:val="bottom"/>
            <w:gridSpan w:val="3"/>
          </w:tcPr>
          <w:p>
            <w:pPr>
              <w:jc w:val="center"/>
              <w:ind w:left="322"/>
              <w:spacing w:after="0"/>
              <w:rPr>
                <w:sz w:val="20"/>
                <w:szCs w:val="20"/>
                <w:color w:val="auto"/>
              </w:rPr>
            </w:pPr>
            <w:r>
              <w:rPr>
                <w:rFonts w:ascii="Arial" w:cs="Arial" w:eastAsia="Arial" w:hAnsi="Arial"/>
                <w:sz w:val="16"/>
                <w:szCs w:val="16"/>
                <w:color w:val="auto"/>
                <w:w w:val="98"/>
              </w:rPr>
              <w:t>$ 161.2 million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Employee Transactions (2)</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7,222</w:t>
            </w:r>
          </w:p>
        </w:tc>
        <w:tc>
          <w:tcPr>
            <w:tcW w:w="5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53.24</w:t>
            </w: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01"/>
        </w:trPr>
        <w:tc>
          <w:tcPr>
            <w:tcW w:w="3600" w:type="dxa"/>
            <w:vAlign w:val="bottom"/>
            <w:gridSpan w:val="3"/>
          </w:tcPr>
          <w:p>
            <w:pPr>
              <w:spacing w:after="0"/>
              <w:rPr>
                <w:sz w:val="20"/>
                <w:szCs w:val="20"/>
                <w:color w:val="auto"/>
              </w:rPr>
            </w:pPr>
            <w:r>
              <w:rPr>
                <w:rFonts w:ascii="Arial" w:cs="Arial" w:eastAsia="Arial" w:hAnsi="Arial"/>
                <w:sz w:val="16"/>
                <w:szCs w:val="16"/>
                <w:b w:val="1"/>
                <w:bCs w:val="1"/>
                <w:color w:val="auto"/>
              </w:rPr>
              <w:t>Total</w:t>
            </w:r>
          </w:p>
        </w:tc>
        <w:tc>
          <w:tcPr>
            <w:tcW w:w="2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Share Repurchase Program (1)</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629,230</w:t>
            </w:r>
          </w:p>
        </w:tc>
        <w:tc>
          <w:tcPr>
            <w:tcW w:w="5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55.26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629,230</w:t>
            </w:r>
          </w:p>
        </w:tc>
        <w:tc>
          <w:tcPr>
            <w:tcW w:w="1620" w:type="dxa"/>
            <w:vAlign w:val="bottom"/>
            <w:gridSpan w:val="3"/>
            <w:shd w:val="clear" w:color="auto" w:fill="CCEEFF"/>
          </w:tcPr>
          <w:p>
            <w:pPr>
              <w:jc w:val="center"/>
              <w:ind w:left="322"/>
              <w:spacing w:after="0"/>
              <w:rPr>
                <w:sz w:val="20"/>
                <w:szCs w:val="20"/>
                <w:color w:val="auto"/>
              </w:rPr>
            </w:pPr>
            <w:r>
              <w:rPr>
                <w:rFonts w:ascii="Arial" w:cs="Arial" w:eastAsia="Arial" w:hAnsi="Arial"/>
                <w:sz w:val="16"/>
                <w:szCs w:val="16"/>
                <w:color w:val="auto"/>
                <w:w w:val="98"/>
              </w:rPr>
              <w:t>$ 161.2 million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6"/>
                <w:szCs w:val="16"/>
                <w:color w:val="auto"/>
              </w:rPr>
              <w:t>Employee Transactions (2)</w:t>
            </w:r>
          </w:p>
        </w:tc>
        <w:tc>
          <w:tcPr>
            <w:tcW w:w="2960" w:type="dxa"/>
            <w:vAlign w:val="bottom"/>
            <w:gridSpan w:val="2"/>
          </w:tcPr>
          <w:p>
            <w:pPr>
              <w:jc w:val="right"/>
              <w:spacing w:after="0"/>
              <w:rPr>
                <w:sz w:val="20"/>
                <w:szCs w:val="20"/>
                <w:color w:val="auto"/>
              </w:rPr>
            </w:pPr>
            <w:r>
              <w:rPr>
                <w:rFonts w:ascii="Arial" w:cs="Arial" w:eastAsia="Arial" w:hAnsi="Arial"/>
                <w:sz w:val="16"/>
                <w:szCs w:val="16"/>
                <w:color w:val="auto"/>
              </w:rPr>
              <w:t>13,702</w:t>
            </w:r>
          </w:p>
        </w:tc>
        <w:tc>
          <w:tcPr>
            <w:tcW w:w="580" w:type="dxa"/>
            <w:vAlign w:val="bottom"/>
            <w:gridSpan w:val="2"/>
          </w:tcPr>
          <w:p>
            <w:pPr>
              <w:ind w:left="500"/>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6"/>
                <w:szCs w:val="16"/>
                <w:color w:val="auto"/>
                <w:w w:val="89"/>
              </w:rPr>
              <w:t>53.98</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12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360" w:type="dxa"/>
            <w:vAlign w:val="bottom"/>
          </w:tcPr>
          <w:p>
            <w:pPr>
              <w:jc w:val="right"/>
              <w:ind w:right="538"/>
              <w:spacing w:after="0"/>
              <w:rPr>
                <w:sz w:val="20"/>
                <w:szCs w:val="20"/>
                <w:color w:val="auto"/>
              </w:rPr>
            </w:pPr>
            <w:r>
              <w:rPr>
                <w:rFonts w:ascii="Arial" w:cs="Arial" w:eastAsia="Arial" w:hAnsi="Arial"/>
                <w:sz w:val="16"/>
                <w:szCs w:val="16"/>
                <w:color w:val="auto"/>
              </w:rPr>
              <w:t>79</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0" w:right="239"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255270</wp:posOffset>
            </wp:positionV>
            <wp:extent cx="7232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460" w:right="80" w:hanging="459"/>
        <w:spacing w:after="0" w:line="296"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During the six months ended June 30, 2015 and for the years ended December 31, 2014, 2013, and 2012, the Board of Directors of Lazard authorized the repurchase of Class A common stock and Lazard Group common membership interests as set forth in the table below.</w:t>
      </w:r>
    </w:p>
    <w:p>
      <w:pPr>
        <w:spacing w:after="0" w:line="126"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260" w:type="dxa"/>
            <w:vAlign w:val="bottom"/>
            <w:vMerge w:val="restart"/>
          </w:tcPr>
          <w:p>
            <w:pPr>
              <w:spacing w:after="0"/>
              <w:rPr>
                <w:sz w:val="20"/>
                <w:szCs w:val="20"/>
                <w:color w:val="auto"/>
              </w:rPr>
            </w:pPr>
            <w:r>
              <w:rPr>
                <w:rFonts w:ascii="Arial" w:cs="Arial" w:eastAsia="Arial" w:hAnsi="Arial"/>
                <w:sz w:val="13"/>
                <w:szCs w:val="13"/>
                <w:b w:val="1"/>
                <w:bCs w:val="1"/>
                <w:color w:val="auto"/>
                <w:w w:val="85"/>
              </w:rPr>
              <w:t>Date</w:t>
            </w:r>
          </w:p>
        </w:tc>
        <w:tc>
          <w:tcPr>
            <w:tcW w:w="2900" w:type="dxa"/>
            <w:vAlign w:val="bottom"/>
            <w:vMerge w:val="restart"/>
          </w:tcPr>
          <w:p>
            <w:pPr>
              <w:spacing w:after="0"/>
              <w:rPr>
                <w:sz w:val="13"/>
                <w:szCs w:val="13"/>
                <w:color w:val="auto"/>
              </w:rPr>
            </w:pPr>
          </w:p>
        </w:tc>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740"/>
              <w:spacing w:after="0"/>
              <w:rPr>
                <w:sz w:val="20"/>
                <w:szCs w:val="20"/>
                <w:color w:val="auto"/>
              </w:rPr>
            </w:pPr>
            <w:r>
              <w:rPr>
                <w:rFonts w:ascii="Arial" w:cs="Arial" w:eastAsia="Arial" w:hAnsi="Arial"/>
                <w:sz w:val="13"/>
                <w:szCs w:val="13"/>
                <w:b w:val="1"/>
                <w:bCs w:val="1"/>
                <w:color w:val="auto"/>
                <w:w w:val="85"/>
              </w:rPr>
              <w:t>Repurchase</w:t>
            </w: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60" w:type="dxa"/>
            <w:vAlign w:val="bottom"/>
            <w:tcBorders>
              <w:bottom w:val="single" w:sz="8" w:color="auto"/>
            </w:tcBorders>
            <w:vMerge w:val="continue"/>
          </w:tcPr>
          <w:p>
            <w:pPr>
              <w:spacing w:after="0"/>
              <w:rPr>
                <w:sz w:val="13"/>
                <w:szCs w:val="13"/>
                <w:color w:val="auto"/>
              </w:rPr>
            </w:pPr>
          </w:p>
        </w:tc>
        <w:tc>
          <w:tcPr>
            <w:tcW w:w="2900" w:type="dxa"/>
            <w:vAlign w:val="bottom"/>
            <w:vMerge w:val="continue"/>
          </w:tcPr>
          <w:p>
            <w:pPr>
              <w:spacing w:after="0"/>
              <w:rPr>
                <w:sz w:val="13"/>
                <w:szCs w:val="13"/>
                <w:color w:val="auto"/>
              </w:rPr>
            </w:pPr>
          </w:p>
        </w:tc>
        <w:tc>
          <w:tcPr>
            <w:tcW w:w="2220" w:type="dxa"/>
            <w:vAlign w:val="bottom"/>
          </w:tcPr>
          <w:p>
            <w:pPr>
              <w:spacing w:after="0"/>
              <w:rPr>
                <w:sz w:val="13"/>
                <w:szCs w:val="13"/>
                <w:color w:val="auto"/>
              </w:rPr>
            </w:pPr>
          </w:p>
        </w:tc>
        <w:tc>
          <w:tcPr>
            <w:tcW w:w="1520" w:type="dxa"/>
            <w:vAlign w:val="bottom"/>
            <w:gridSpan w:val="3"/>
          </w:tcPr>
          <w:p>
            <w:pPr>
              <w:jc w:val="center"/>
              <w:ind w:right="640"/>
              <w:spacing w:after="0" w:line="139" w:lineRule="exact"/>
              <w:rPr>
                <w:sz w:val="20"/>
                <w:szCs w:val="20"/>
                <w:color w:val="auto"/>
              </w:rPr>
            </w:pPr>
            <w:r>
              <w:rPr>
                <w:rFonts w:ascii="Arial" w:cs="Arial" w:eastAsia="Arial" w:hAnsi="Arial"/>
                <w:sz w:val="13"/>
                <w:szCs w:val="13"/>
                <w:b w:val="1"/>
                <w:bCs w:val="1"/>
                <w:color w:val="auto"/>
                <w:w w:val="90"/>
              </w:rPr>
              <w:t>Authorization</w:t>
            </w:r>
          </w:p>
        </w:tc>
        <w:tc>
          <w:tcPr>
            <w:tcW w:w="1780" w:type="dxa"/>
            <w:vAlign w:val="bottom"/>
            <w:gridSpan w:val="2"/>
          </w:tcPr>
          <w:p>
            <w:pPr>
              <w:ind w:left="540"/>
              <w:spacing w:after="0" w:line="139" w:lineRule="exact"/>
              <w:rPr>
                <w:sz w:val="20"/>
                <w:szCs w:val="20"/>
                <w:color w:val="auto"/>
              </w:rPr>
            </w:pPr>
            <w:r>
              <w:rPr>
                <w:rFonts w:ascii="Arial" w:cs="Arial" w:eastAsia="Arial" w:hAnsi="Arial"/>
                <w:sz w:val="13"/>
                <w:szCs w:val="13"/>
                <w:b w:val="1"/>
                <w:bCs w:val="1"/>
                <w:color w:val="auto"/>
              </w:rPr>
              <w:t>Expiration</w:t>
            </w:r>
          </w:p>
        </w:tc>
        <w:tc>
          <w:tcPr>
            <w:tcW w:w="0" w:type="dxa"/>
            <w:vAlign w:val="bottom"/>
          </w:tcPr>
          <w:p>
            <w:pPr>
              <w:spacing w:after="0"/>
              <w:rPr>
                <w:sz w:val="1"/>
                <w:szCs w:val="1"/>
                <w:color w:val="auto"/>
              </w:rPr>
            </w:pPr>
          </w:p>
        </w:tc>
      </w:tr>
      <w:tr>
        <w:trPr>
          <w:trHeight w:val="188"/>
        </w:trPr>
        <w:tc>
          <w:tcPr>
            <w:tcW w:w="3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October 2012</w:t>
            </w:r>
          </w:p>
        </w:tc>
        <w:tc>
          <w:tcPr>
            <w:tcW w:w="2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62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w w:val="91"/>
              </w:rPr>
              <w:t>December 31, 2014</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160" w:type="dxa"/>
            <w:vAlign w:val="bottom"/>
            <w:gridSpan w:val="2"/>
          </w:tcPr>
          <w:p>
            <w:pPr>
              <w:spacing w:after="0"/>
              <w:rPr>
                <w:sz w:val="20"/>
                <w:szCs w:val="20"/>
                <w:color w:val="auto"/>
              </w:rPr>
            </w:pPr>
            <w:r>
              <w:rPr>
                <w:rFonts w:ascii="Arial" w:cs="Arial" w:eastAsia="Arial" w:hAnsi="Arial"/>
                <w:sz w:val="16"/>
                <w:szCs w:val="16"/>
                <w:color w:val="auto"/>
              </w:rPr>
              <w:t>October 2013</w:t>
            </w:r>
          </w:p>
        </w:tc>
        <w:tc>
          <w:tcPr>
            <w:tcW w:w="2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100,000</w:t>
            </w:r>
          </w:p>
        </w:tc>
        <w:tc>
          <w:tcPr>
            <w:tcW w:w="620" w:type="dxa"/>
            <w:vAlign w:val="bottom"/>
          </w:tcPr>
          <w:p>
            <w:pPr>
              <w:spacing w:after="0"/>
              <w:rPr>
                <w:sz w:val="17"/>
                <w:szCs w:val="17"/>
                <w:color w:val="auto"/>
              </w:rPr>
            </w:pPr>
          </w:p>
        </w:tc>
        <w:tc>
          <w:tcPr>
            <w:tcW w:w="1780" w:type="dxa"/>
            <w:vAlign w:val="bottom"/>
            <w:gridSpan w:val="2"/>
          </w:tcPr>
          <w:p>
            <w:pPr>
              <w:ind w:left="360"/>
              <w:spacing w:after="0"/>
              <w:rPr>
                <w:sz w:val="20"/>
                <w:szCs w:val="20"/>
                <w:color w:val="auto"/>
              </w:rPr>
            </w:pPr>
            <w:r>
              <w:rPr>
                <w:rFonts w:ascii="Arial" w:cs="Arial" w:eastAsia="Arial" w:hAnsi="Arial"/>
                <w:sz w:val="16"/>
                <w:szCs w:val="16"/>
                <w:color w:val="auto"/>
                <w:w w:val="99"/>
              </w:rPr>
              <w:t>December 31, 2015</w:t>
            </w:r>
          </w:p>
        </w:tc>
        <w:tc>
          <w:tcPr>
            <w:tcW w:w="0" w:type="dxa"/>
            <w:vAlign w:val="bottom"/>
          </w:tcPr>
          <w:p>
            <w:pPr>
              <w:spacing w:after="0"/>
              <w:rPr>
                <w:sz w:val="1"/>
                <w:szCs w:val="1"/>
                <w:color w:val="auto"/>
              </w:rPr>
            </w:pPr>
          </w:p>
        </w:tc>
      </w:tr>
      <w:tr>
        <w:trPr>
          <w:trHeight w:val="202"/>
        </w:trPr>
        <w:tc>
          <w:tcPr>
            <w:tcW w:w="3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April 2014</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62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w w:val="99"/>
              </w:rPr>
              <w:t>December 31, 2015</w:t>
            </w:r>
          </w:p>
        </w:tc>
        <w:tc>
          <w:tcPr>
            <w:tcW w:w="0" w:type="dxa"/>
            <w:vAlign w:val="bottom"/>
          </w:tcPr>
          <w:p>
            <w:pPr>
              <w:spacing w:after="0"/>
              <w:rPr>
                <w:sz w:val="1"/>
                <w:szCs w:val="1"/>
                <w:color w:val="auto"/>
              </w:rPr>
            </w:pPr>
          </w:p>
        </w:tc>
      </w:tr>
      <w:tr>
        <w:trPr>
          <w:trHeight w:val="209"/>
        </w:trPr>
        <w:tc>
          <w:tcPr>
            <w:tcW w:w="3160" w:type="dxa"/>
            <w:vAlign w:val="bottom"/>
            <w:gridSpan w:val="2"/>
          </w:tcPr>
          <w:p>
            <w:pPr>
              <w:spacing w:after="0"/>
              <w:rPr>
                <w:sz w:val="20"/>
                <w:szCs w:val="20"/>
                <w:color w:val="auto"/>
              </w:rPr>
            </w:pPr>
            <w:r>
              <w:rPr>
                <w:rFonts w:ascii="Arial" w:cs="Arial" w:eastAsia="Arial" w:hAnsi="Arial"/>
                <w:sz w:val="16"/>
                <w:szCs w:val="16"/>
                <w:color w:val="auto"/>
              </w:rPr>
              <w:t>February 2015</w:t>
            </w:r>
          </w:p>
        </w:tc>
        <w:tc>
          <w:tcPr>
            <w:tcW w:w="2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150,000</w:t>
            </w:r>
          </w:p>
        </w:tc>
        <w:tc>
          <w:tcPr>
            <w:tcW w:w="620" w:type="dxa"/>
            <w:vAlign w:val="bottom"/>
          </w:tcPr>
          <w:p>
            <w:pPr>
              <w:spacing w:after="0"/>
              <w:rPr>
                <w:sz w:val="18"/>
                <w:szCs w:val="18"/>
                <w:color w:val="auto"/>
              </w:rPr>
            </w:pPr>
          </w:p>
        </w:tc>
        <w:tc>
          <w:tcPr>
            <w:tcW w:w="1780" w:type="dxa"/>
            <w:vAlign w:val="bottom"/>
            <w:gridSpan w:val="2"/>
          </w:tcPr>
          <w:p>
            <w:pPr>
              <w:ind w:left="360"/>
              <w:spacing w:after="0"/>
              <w:rPr>
                <w:sz w:val="20"/>
                <w:szCs w:val="20"/>
                <w:color w:val="auto"/>
              </w:rPr>
            </w:pPr>
            <w:r>
              <w:rPr>
                <w:rFonts w:ascii="Arial" w:cs="Arial" w:eastAsia="Arial" w:hAnsi="Arial"/>
                <w:sz w:val="16"/>
                <w:szCs w:val="16"/>
                <w:color w:val="auto"/>
                <w:w w:val="99"/>
              </w:rPr>
              <w:t>December 31, 2016</w:t>
            </w: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460"/>
        <w:spacing w:after="0" w:line="265" w:lineRule="auto"/>
        <w:rPr>
          <w:sz w:val="20"/>
          <w:szCs w:val="20"/>
          <w:color w:val="auto"/>
        </w:rPr>
      </w:pPr>
      <w:r>
        <w:rPr>
          <w:rFonts w:ascii="Arial" w:cs="Arial" w:eastAsia="Arial" w:hAnsi="Arial"/>
          <w:sz w:val="16"/>
          <w:szCs w:val="16"/>
          <w:color w:val="auto"/>
        </w:rPr>
        <w:t>The share repurchase program is used primarily to offset a portion of the shares that have been or will be issued under the 2005 Plan and the 2008 Plan. Purchases under the share repurchase program may be made in the open market or through privately negotiated transactions. The rate at which the Company purchases shares in connection with the share repurchase program may vary from quarter to quarter due to a variety of factors. Amounts shown in this line item include repurchases of Class A common stock and exclude the shares of Class A common stock withheld by the Company to meet the minimum statutory tax withholding requirements as described below.</w:t>
      </w:r>
    </w:p>
    <w:p>
      <w:pPr>
        <w:spacing w:after="0" w:line="3" w:lineRule="exact"/>
        <w:rPr>
          <w:sz w:val="20"/>
          <w:szCs w:val="20"/>
          <w:color w:val="auto"/>
        </w:rPr>
      </w:pPr>
    </w:p>
    <w:p>
      <w:pPr>
        <w:jc w:val="both"/>
        <w:ind w:left="460" w:right="80" w:hanging="459"/>
        <w:spacing w:after="0" w:line="295" w:lineRule="auto"/>
        <w:tabs>
          <w:tab w:leader="none" w:pos="4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Under the terms of the 2005 Plan, which expired in the second quarter of 2015, and the 2008 Plan, upon the vesting of RSUs, PRSUs and delivery of restricted Class A common stock, shares of Class A common stock may be withheld by the Company to meet the minimum statutory tax withholding requirements. During the three month period ended June 30, 2015, the Company satisfied such obligations in lieu of issuing (i) 9,694 shares of Class A common stock upon the vesting of 632,281 RSUs (including certain PRSUs) and (ii) 4,008 shares of Class A common stock upon the vesting of 62,555 shares of restricted Class A common stock.</w:t>
      </w:r>
    </w:p>
    <w:p>
      <w:pPr>
        <w:spacing w:after="0" w:line="217"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4"/>
          <w:szCs w:val="14"/>
          <w:b w:val="1"/>
          <w:bCs w:val="1"/>
          <w:color w:val="auto"/>
        </w:rPr>
        <w:t>Defaults Upon Senior Securities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None.</w:t>
      </w:r>
    </w:p>
    <w:p>
      <w:pPr>
        <w:spacing w:after="0" w:line="280"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4"/>
          <w:szCs w:val="14"/>
          <w:b w:val="1"/>
          <w:bCs w:val="1"/>
          <w:color w:val="auto"/>
        </w:rPr>
        <w:t>Mine Safety Disclosures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280"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5"/>
          <w:szCs w:val="15"/>
          <w:b w:val="1"/>
          <w:bCs w:val="1"/>
          <w:color w:val="auto"/>
        </w:rPr>
        <w:t>Other Information</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380"/>
          </w:cols>
          <w:pgMar w:left="240" w:top="440" w:right="279"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0" w:type="dxa"/>
            <w:vAlign w:val="bottom"/>
          </w:tcPr>
          <w:p>
            <w:pPr>
              <w:spacing w:after="0"/>
              <w:rPr>
                <w:sz w:val="18"/>
                <w:szCs w:val="18"/>
                <w:color w:val="auto"/>
              </w:rPr>
            </w:pPr>
          </w:p>
        </w:tc>
        <w:tc>
          <w:tcPr>
            <w:tcW w:w="10640" w:type="dxa"/>
            <w:vAlign w:val="bottom"/>
          </w:tcPr>
          <w:p>
            <w:pPr>
              <w:ind w:left="4620"/>
              <w:spacing w:after="0"/>
              <w:rPr>
                <w:sz w:val="20"/>
                <w:szCs w:val="20"/>
                <w:color w:val="auto"/>
              </w:rPr>
            </w:pPr>
            <w:r>
              <w:rPr>
                <w:rFonts w:ascii="Arial" w:cs="Arial" w:eastAsia="Arial" w:hAnsi="Arial"/>
                <w:sz w:val="16"/>
                <w:szCs w:val="16"/>
                <w:b w:val="1"/>
                <w:bCs w:val="1"/>
                <w:color w:val="auto"/>
              </w:rPr>
              <w:t>PART IV</w:t>
            </w:r>
          </w:p>
        </w:tc>
      </w:tr>
      <w:tr>
        <w:trPr>
          <w:trHeight w:val="392"/>
        </w:trPr>
        <w:tc>
          <w:tcPr>
            <w:tcW w:w="760" w:type="dxa"/>
            <w:vAlign w:val="bottom"/>
          </w:tcPr>
          <w:p>
            <w:pPr>
              <w:jc w:val="right"/>
              <w:ind w:right="178"/>
              <w:spacing w:after="0"/>
              <w:rPr>
                <w:sz w:val="20"/>
                <w:szCs w:val="20"/>
                <w:color w:val="auto"/>
              </w:rPr>
            </w:pPr>
            <w:r>
              <w:rPr>
                <w:rFonts w:ascii="Arial" w:cs="Arial" w:eastAsia="Arial" w:hAnsi="Arial"/>
                <w:sz w:val="16"/>
                <w:szCs w:val="16"/>
                <w:b w:val="1"/>
                <w:bCs w:val="1"/>
                <w:color w:val="auto"/>
                <w:w w:val="94"/>
              </w:rPr>
              <w:t>Item 6.</w:t>
            </w:r>
          </w:p>
        </w:tc>
        <w:tc>
          <w:tcPr>
            <w:tcW w:w="10640" w:type="dxa"/>
            <w:vAlign w:val="bottom"/>
          </w:tcPr>
          <w:p>
            <w:pPr>
              <w:ind w:left="260"/>
              <w:spacing w:after="0"/>
              <w:rPr>
                <w:sz w:val="20"/>
                <w:szCs w:val="20"/>
                <w:color w:val="auto"/>
              </w:rPr>
            </w:pPr>
            <w:r>
              <w:rPr>
                <w:rFonts w:ascii="Arial" w:cs="Arial" w:eastAsia="Arial" w:hAnsi="Arial"/>
                <w:sz w:val="16"/>
                <w:szCs w:val="16"/>
                <w:b w:val="1"/>
                <w:bCs w:val="1"/>
                <w:color w:val="auto"/>
              </w:rPr>
              <w:t>Exhibits</w:t>
            </w:r>
          </w:p>
        </w:tc>
      </w:tr>
      <w:tr>
        <w:trPr>
          <w:trHeight w:val="386"/>
        </w:trPr>
        <w:tc>
          <w:tcPr>
            <w:tcW w:w="760" w:type="dxa"/>
            <w:vAlign w:val="bottom"/>
          </w:tcPr>
          <w:p>
            <w:pPr>
              <w:jc w:val="right"/>
              <w:ind w:right="398"/>
              <w:spacing w:after="0"/>
              <w:rPr>
                <w:sz w:val="20"/>
                <w:szCs w:val="20"/>
                <w:color w:val="auto"/>
              </w:rPr>
            </w:pPr>
            <w:r>
              <w:rPr>
                <w:rFonts w:ascii="Arial" w:cs="Arial" w:eastAsia="Arial" w:hAnsi="Arial"/>
                <w:sz w:val="16"/>
                <w:szCs w:val="16"/>
                <w:color w:val="auto"/>
              </w:rPr>
              <w:t>3.1</w:t>
            </w:r>
          </w:p>
        </w:tc>
        <w:tc>
          <w:tcPr>
            <w:tcW w:w="10640" w:type="dxa"/>
            <w:vAlign w:val="bottom"/>
          </w:tcPr>
          <w:p>
            <w:pPr>
              <w:ind w:left="500"/>
              <w:spacing w:after="0"/>
              <w:rPr>
                <w:sz w:val="20"/>
                <w:szCs w:val="20"/>
                <w:color w:val="auto"/>
              </w:rPr>
            </w:pPr>
            <w:r>
              <w:rPr>
                <w:rFonts w:ascii="Arial" w:cs="Arial" w:eastAsia="Arial" w:hAnsi="Arial"/>
                <w:sz w:val="16"/>
                <w:szCs w:val="16"/>
                <w:color w:val="auto"/>
                <w:w w:val="95"/>
              </w:rPr>
              <w:t>Certificate of Incorporation and Memorandum of Association of the Registrant (incorporated by reference to Exhibit 3.1 to the Registrant’s Registration</w:t>
            </w:r>
          </w:p>
        </w:tc>
      </w:tr>
      <w:tr>
        <w:trPr>
          <w:trHeight w:val="209"/>
        </w:trPr>
        <w:tc>
          <w:tcPr>
            <w:tcW w:w="760" w:type="dxa"/>
            <w:vAlign w:val="bottom"/>
          </w:tcPr>
          <w:p>
            <w:pPr>
              <w:spacing w:after="0"/>
              <w:rPr>
                <w:sz w:val="18"/>
                <w:szCs w:val="18"/>
                <w:color w:val="auto"/>
              </w:rPr>
            </w:pPr>
          </w:p>
        </w:tc>
        <w:tc>
          <w:tcPr>
            <w:tcW w:w="10640" w:type="dxa"/>
            <w:vAlign w:val="bottom"/>
          </w:tcPr>
          <w:p>
            <w:pPr>
              <w:ind w:left="500"/>
              <w:spacing w:after="0"/>
              <w:rPr>
                <w:sz w:val="20"/>
                <w:szCs w:val="20"/>
                <w:color w:val="auto"/>
              </w:rPr>
            </w:pPr>
            <w:r>
              <w:rPr>
                <w:rFonts w:ascii="Arial" w:cs="Arial" w:eastAsia="Arial" w:hAnsi="Arial"/>
                <w:sz w:val="16"/>
                <w:szCs w:val="16"/>
                <w:color w:val="auto"/>
              </w:rPr>
              <w:t>Statement (File No. 333-121407) on Form S-1/A filed on March 21, 2005).</w:t>
            </w:r>
          </w:p>
        </w:tc>
      </w:tr>
      <w:tr>
        <w:trPr>
          <w:trHeight w:val="298"/>
        </w:trPr>
        <w:tc>
          <w:tcPr>
            <w:tcW w:w="760" w:type="dxa"/>
            <w:vAlign w:val="bottom"/>
          </w:tcPr>
          <w:p>
            <w:pPr>
              <w:jc w:val="right"/>
              <w:ind w:right="398"/>
              <w:spacing w:after="0"/>
              <w:rPr>
                <w:sz w:val="20"/>
                <w:szCs w:val="20"/>
                <w:color w:val="auto"/>
              </w:rPr>
            </w:pPr>
            <w:r>
              <w:rPr>
                <w:rFonts w:ascii="Arial" w:cs="Arial" w:eastAsia="Arial" w:hAnsi="Arial"/>
                <w:sz w:val="16"/>
                <w:szCs w:val="16"/>
                <w:color w:val="auto"/>
              </w:rPr>
              <w:t>3.2</w:t>
            </w:r>
          </w:p>
        </w:tc>
        <w:tc>
          <w:tcPr>
            <w:tcW w:w="10640" w:type="dxa"/>
            <w:vAlign w:val="bottom"/>
          </w:tcPr>
          <w:p>
            <w:pPr>
              <w:ind w:left="500"/>
              <w:spacing w:after="0"/>
              <w:rPr>
                <w:sz w:val="20"/>
                <w:szCs w:val="20"/>
                <w:color w:val="auto"/>
              </w:rPr>
            </w:pPr>
            <w:r>
              <w:rPr>
                <w:rFonts w:ascii="Arial" w:cs="Arial" w:eastAsia="Arial" w:hAnsi="Arial"/>
                <w:sz w:val="16"/>
                <w:szCs w:val="16"/>
                <w:color w:val="auto"/>
                <w:w w:val="93"/>
              </w:rPr>
              <w:t>Certificate of Incorporation in Change of Name of the Registrant (incorporated by reference to Exhibit 3.2 to the Registrant’s Registration Statement (File</w:t>
            </w:r>
          </w:p>
        </w:tc>
      </w:tr>
      <w:tr>
        <w:trPr>
          <w:trHeight w:val="209"/>
        </w:trPr>
        <w:tc>
          <w:tcPr>
            <w:tcW w:w="760" w:type="dxa"/>
            <w:vAlign w:val="bottom"/>
          </w:tcPr>
          <w:p>
            <w:pPr>
              <w:spacing w:after="0"/>
              <w:rPr>
                <w:sz w:val="18"/>
                <w:szCs w:val="18"/>
                <w:color w:val="auto"/>
              </w:rPr>
            </w:pPr>
          </w:p>
        </w:tc>
        <w:tc>
          <w:tcPr>
            <w:tcW w:w="10640" w:type="dxa"/>
            <w:vAlign w:val="bottom"/>
          </w:tcPr>
          <w:p>
            <w:pPr>
              <w:ind w:left="500"/>
              <w:spacing w:after="0"/>
              <w:rPr>
                <w:sz w:val="20"/>
                <w:szCs w:val="20"/>
                <w:color w:val="auto"/>
              </w:rPr>
            </w:pPr>
            <w:r>
              <w:rPr>
                <w:rFonts w:ascii="Arial" w:cs="Arial" w:eastAsia="Arial" w:hAnsi="Arial"/>
                <w:sz w:val="16"/>
                <w:szCs w:val="16"/>
                <w:color w:val="auto"/>
              </w:rPr>
              <w:t>No. 333-121407) on Form S-1/A filed on March 21, 2005).</w:t>
            </w:r>
          </w:p>
        </w:tc>
      </w:tr>
      <w:tr>
        <w:trPr>
          <w:trHeight w:val="298"/>
        </w:trPr>
        <w:tc>
          <w:tcPr>
            <w:tcW w:w="760" w:type="dxa"/>
            <w:vAlign w:val="bottom"/>
          </w:tcPr>
          <w:p>
            <w:pPr>
              <w:jc w:val="right"/>
              <w:ind w:right="398"/>
              <w:spacing w:after="0"/>
              <w:rPr>
                <w:sz w:val="20"/>
                <w:szCs w:val="20"/>
                <w:color w:val="auto"/>
              </w:rPr>
            </w:pPr>
            <w:r>
              <w:rPr>
                <w:rFonts w:ascii="Arial" w:cs="Arial" w:eastAsia="Arial" w:hAnsi="Arial"/>
                <w:sz w:val="16"/>
                <w:szCs w:val="16"/>
                <w:color w:val="auto"/>
              </w:rPr>
              <w:t>3.3</w:t>
            </w:r>
          </w:p>
        </w:tc>
        <w:tc>
          <w:tcPr>
            <w:tcW w:w="10640" w:type="dxa"/>
            <w:vAlign w:val="bottom"/>
          </w:tcPr>
          <w:p>
            <w:pPr>
              <w:ind w:left="500"/>
              <w:spacing w:after="0"/>
              <w:rPr>
                <w:sz w:val="20"/>
                <w:szCs w:val="20"/>
                <w:color w:val="auto"/>
              </w:rPr>
            </w:pPr>
            <w:r>
              <w:rPr>
                <w:rFonts w:ascii="Arial" w:cs="Arial" w:eastAsia="Arial" w:hAnsi="Arial"/>
                <w:sz w:val="16"/>
                <w:szCs w:val="16"/>
                <w:color w:val="auto"/>
                <w:w w:val="95"/>
              </w:rPr>
              <w:t>Amended and Restated Bye-Laws of Lazard Ltd (incorporated by reference to Exhibit 3.3 to the Registrant’s Quarterly Report (File No. 001-32492) on</w:t>
            </w:r>
          </w:p>
        </w:tc>
      </w:tr>
      <w:tr>
        <w:trPr>
          <w:trHeight w:val="209"/>
        </w:trPr>
        <w:tc>
          <w:tcPr>
            <w:tcW w:w="760" w:type="dxa"/>
            <w:vAlign w:val="bottom"/>
          </w:tcPr>
          <w:p>
            <w:pPr>
              <w:spacing w:after="0"/>
              <w:rPr>
                <w:sz w:val="18"/>
                <w:szCs w:val="18"/>
                <w:color w:val="auto"/>
              </w:rPr>
            </w:pPr>
          </w:p>
        </w:tc>
        <w:tc>
          <w:tcPr>
            <w:tcW w:w="10640" w:type="dxa"/>
            <w:vAlign w:val="bottom"/>
          </w:tcPr>
          <w:p>
            <w:pPr>
              <w:ind w:left="500"/>
              <w:spacing w:after="0"/>
              <w:rPr>
                <w:sz w:val="20"/>
                <w:szCs w:val="20"/>
                <w:color w:val="auto"/>
              </w:rPr>
            </w:pPr>
            <w:r>
              <w:rPr>
                <w:rFonts w:ascii="Arial" w:cs="Arial" w:eastAsia="Arial" w:hAnsi="Arial"/>
                <w:sz w:val="16"/>
                <w:szCs w:val="16"/>
                <w:color w:val="auto"/>
              </w:rPr>
              <w:t>Form 10-Q filed on June 16, 2005).</w:t>
            </w:r>
          </w:p>
        </w:tc>
      </w:tr>
      <w:tr>
        <w:trPr>
          <w:trHeight w:val="298"/>
        </w:trPr>
        <w:tc>
          <w:tcPr>
            <w:tcW w:w="760" w:type="dxa"/>
            <w:vAlign w:val="bottom"/>
          </w:tcPr>
          <w:p>
            <w:pPr>
              <w:jc w:val="right"/>
              <w:ind w:right="398"/>
              <w:spacing w:after="0"/>
              <w:rPr>
                <w:sz w:val="20"/>
                <w:szCs w:val="20"/>
                <w:color w:val="auto"/>
              </w:rPr>
            </w:pPr>
            <w:r>
              <w:rPr>
                <w:rFonts w:ascii="Arial" w:cs="Arial" w:eastAsia="Arial" w:hAnsi="Arial"/>
                <w:sz w:val="16"/>
                <w:szCs w:val="16"/>
                <w:color w:val="auto"/>
              </w:rPr>
              <w:t>3.4</w:t>
            </w:r>
          </w:p>
        </w:tc>
        <w:tc>
          <w:tcPr>
            <w:tcW w:w="10640" w:type="dxa"/>
            <w:vAlign w:val="bottom"/>
          </w:tcPr>
          <w:p>
            <w:pPr>
              <w:ind w:left="500"/>
              <w:spacing w:after="0"/>
              <w:rPr>
                <w:sz w:val="20"/>
                <w:szCs w:val="20"/>
                <w:color w:val="auto"/>
              </w:rPr>
            </w:pPr>
            <w:r>
              <w:rPr>
                <w:rFonts w:ascii="Arial" w:cs="Arial" w:eastAsia="Arial" w:hAnsi="Arial"/>
                <w:sz w:val="16"/>
                <w:szCs w:val="16"/>
                <w:color w:val="auto"/>
                <w:w w:val="94"/>
              </w:rPr>
              <w:t>First Amendment to Amended and Restated Bye-Laws of Lazard Ltd (incorporated by reference to Exhibit 3.4 to the Registrant’s Quarterly Report (File</w:t>
            </w:r>
          </w:p>
        </w:tc>
      </w:tr>
      <w:tr>
        <w:trPr>
          <w:trHeight w:val="209"/>
        </w:trPr>
        <w:tc>
          <w:tcPr>
            <w:tcW w:w="760" w:type="dxa"/>
            <w:vAlign w:val="bottom"/>
          </w:tcPr>
          <w:p>
            <w:pPr>
              <w:spacing w:after="0"/>
              <w:rPr>
                <w:sz w:val="18"/>
                <w:szCs w:val="18"/>
                <w:color w:val="auto"/>
              </w:rPr>
            </w:pPr>
          </w:p>
        </w:tc>
        <w:tc>
          <w:tcPr>
            <w:tcW w:w="10640" w:type="dxa"/>
            <w:vAlign w:val="bottom"/>
          </w:tcPr>
          <w:p>
            <w:pPr>
              <w:ind w:left="500"/>
              <w:spacing w:after="0"/>
              <w:rPr>
                <w:sz w:val="20"/>
                <w:szCs w:val="20"/>
                <w:color w:val="auto"/>
              </w:rPr>
            </w:pPr>
            <w:r>
              <w:rPr>
                <w:rFonts w:ascii="Arial" w:cs="Arial" w:eastAsia="Arial" w:hAnsi="Arial"/>
                <w:sz w:val="16"/>
                <w:szCs w:val="16"/>
                <w:color w:val="auto"/>
              </w:rPr>
              <w:t>No. 001-32492) on Form 10-Q filed on May 9, 2008).</w:t>
            </w:r>
          </w:p>
        </w:tc>
      </w:tr>
      <w:tr>
        <w:trPr>
          <w:trHeight w:val="298"/>
        </w:trPr>
        <w:tc>
          <w:tcPr>
            <w:tcW w:w="760" w:type="dxa"/>
            <w:vAlign w:val="bottom"/>
          </w:tcPr>
          <w:p>
            <w:pPr>
              <w:jc w:val="right"/>
              <w:ind w:right="398"/>
              <w:spacing w:after="0"/>
              <w:rPr>
                <w:sz w:val="20"/>
                <w:szCs w:val="20"/>
                <w:color w:val="auto"/>
              </w:rPr>
            </w:pPr>
            <w:r>
              <w:rPr>
                <w:rFonts w:ascii="Arial" w:cs="Arial" w:eastAsia="Arial" w:hAnsi="Arial"/>
                <w:sz w:val="16"/>
                <w:szCs w:val="16"/>
                <w:color w:val="auto"/>
              </w:rPr>
              <w:t>3.5</w:t>
            </w:r>
          </w:p>
        </w:tc>
        <w:tc>
          <w:tcPr>
            <w:tcW w:w="10640" w:type="dxa"/>
            <w:vAlign w:val="bottom"/>
          </w:tcPr>
          <w:p>
            <w:pPr>
              <w:ind w:left="500"/>
              <w:spacing w:after="0"/>
              <w:rPr>
                <w:sz w:val="20"/>
                <w:szCs w:val="20"/>
                <w:color w:val="auto"/>
              </w:rPr>
            </w:pPr>
            <w:r>
              <w:rPr>
                <w:rFonts w:ascii="Arial" w:cs="Arial" w:eastAsia="Arial" w:hAnsi="Arial"/>
                <w:sz w:val="16"/>
                <w:szCs w:val="16"/>
                <w:color w:val="auto"/>
                <w:w w:val="93"/>
              </w:rPr>
              <w:t>Second Amendment to the Amended and Restated Bye-Laws of Lazard Ltd (incorporated by reference to Exhibit 3.5 to the Registrant’s Quarterly Report</w:t>
            </w:r>
          </w:p>
        </w:tc>
      </w:tr>
      <w:tr>
        <w:trPr>
          <w:trHeight w:val="209"/>
        </w:trPr>
        <w:tc>
          <w:tcPr>
            <w:tcW w:w="760" w:type="dxa"/>
            <w:vAlign w:val="bottom"/>
          </w:tcPr>
          <w:p>
            <w:pPr>
              <w:spacing w:after="0"/>
              <w:rPr>
                <w:sz w:val="18"/>
                <w:szCs w:val="18"/>
                <w:color w:val="auto"/>
              </w:rPr>
            </w:pPr>
          </w:p>
        </w:tc>
        <w:tc>
          <w:tcPr>
            <w:tcW w:w="10640" w:type="dxa"/>
            <w:vAlign w:val="bottom"/>
          </w:tcPr>
          <w:p>
            <w:pPr>
              <w:ind w:left="500"/>
              <w:spacing w:after="0"/>
              <w:rPr>
                <w:sz w:val="20"/>
                <w:szCs w:val="20"/>
                <w:color w:val="auto"/>
              </w:rPr>
            </w:pPr>
            <w:r>
              <w:rPr>
                <w:rFonts w:ascii="Arial" w:cs="Arial" w:eastAsia="Arial" w:hAnsi="Arial"/>
                <w:sz w:val="16"/>
                <w:szCs w:val="16"/>
                <w:color w:val="auto"/>
              </w:rPr>
              <w:t>(File No. 001-32492) on Form 10-Q filed on April 30, 2010).</w:t>
            </w:r>
          </w:p>
        </w:tc>
      </w:tr>
      <w:tr>
        <w:trPr>
          <w:trHeight w:val="298"/>
        </w:trPr>
        <w:tc>
          <w:tcPr>
            <w:tcW w:w="760" w:type="dxa"/>
            <w:vAlign w:val="bottom"/>
          </w:tcPr>
          <w:p>
            <w:pPr>
              <w:jc w:val="right"/>
              <w:ind w:right="398"/>
              <w:spacing w:after="0"/>
              <w:rPr>
                <w:sz w:val="20"/>
                <w:szCs w:val="20"/>
                <w:color w:val="auto"/>
              </w:rPr>
            </w:pPr>
            <w:r>
              <w:rPr>
                <w:rFonts w:ascii="Arial" w:cs="Arial" w:eastAsia="Arial" w:hAnsi="Arial"/>
                <w:sz w:val="16"/>
                <w:szCs w:val="16"/>
                <w:color w:val="auto"/>
              </w:rPr>
              <w:t>4.1</w:t>
            </w:r>
          </w:p>
        </w:tc>
        <w:tc>
          <w:tcPr>
            <w:tcW w:w="10640" w:type="dxa"/>
            <w:vAlign w:val="bottom"/>
          </w:tcPr>
          <w:p>
            <w:pPr>
              <w:ind w:left="500"/>
              <w:spacing w:after="0"/>
              <w:rPr>
                <w:sz w:val="20"/>
                <w:szCs w:val="20"/>
                <w:color w:val="auto"/>
              </w:rPr>
            </w:pPr>
            <w:r>
              <w:rPr>
                <w:rFonts w:ascii="Arial" w:cs="Arial" w:eastAsia="Arial" w:hAnsi="Arial"/>
                <w:sz w:val="16"/>
                <w:szCs w:val="16"/>
                <w:color w:val="auto"/>
                <w:w w:val="96"/>
              </w:rPr>
              <w:t>Form of Specimen Certificate for Class A common stock (incorporated by reference to Exhibit 4.1 to the Registrant’s Registration Statement (File No.</w:t>
            </w:r>
          </w:p>
        </w:tc>
      </w:tr>
      <w:tr>
        <w:trPr>
          <w:trHeight w:val="209"/>
        </w:trPr>
        <w:tc>
          <w:tcPr>
            <w:tcW w:w="760" w:type="dxa"/>
            <w:vAlign w:val="bottom"/>
          </w:tcPr>
          <w:p>
            <w:pPr>
              <w:spacing w:after="0"/>
              <w:rPr>
                <w:sz w:val="18"/>
                <w:szCs w:val="18"/>
                <w:color w:val="auto"/>
              </w:rPr>
            </w:pPr>
          </w:p>
        </w:tc>
        <w:tc>
          <w:tcPr>
            <w:tcW w:w="10640" w:type="dxa"/>
            <w:vAlign w:val="bottom"/>
          </w:tcPr>
          <w:p>
            <w:pPr>
              <w:ind w:left="500"/>
              <w:spacing w:after="0"/>
              <w:rPr>
                <w:sz w:val="20"/>
                <w:szCs w:val="20"/>
                <w:color w:val="auto"/>
              </w:rPr>
            </w:pPr>
            <w:r>
              <w:rPr>
                <w:rFonts w:ascii="Arial" w:cs="Arial" w:eastAsia="Arial" w:hAnsi="Arial"/>
                <w:sz w:val="16"/>
                <w:szCs w:val="16"/>
                <w:color w:val="auto"/>
              </w:rPr>
              <w:t>333-121407) on Form S-1/A filed on April 11, 2005).</w:t>
            </w:r>
          </w:p>
        </w:tc>
      </w:tr>
      <w:tr>
        <w:trPr>
          <w:trHeight w:val="298"/>
        </w:trPr>
        <w:tc>
          <w:tcPr>
            <w:tcW w:w="760" w:type="dxa"/>
            <w:vAlign w:val="bottom"/>
          </w:tcPr>
          <w:p>
            <w:pPr>
              <w:jc w:val="right"/>
              <w:ind w:right="398"/>
              <w:spacing w:after="0"/>
              <w:rPr>
                <w:sz w:val="20"/>
                <w:szCs w:val="20"/>
                <w:color w:val="auto"/>
              </w:rPr>
            </w:pPr>
            <w:r>
              <w:rPr>
                <w:rFonts w:ascii="Arial" w:cs="Arial" w:eastAsia="Arial" w:hAnsi="Arial"/>
                <w:sz w:val="16"/>
                <w:szCs w:val="16"/>
                <w:color w:val="auto"/>
              </w:rPr>
              <w:t>4.2</w:t>
            </w:r>
          </w:p>
        </w:tc>
        <w:tc>
          <w:tcPr>
            <w:tcW w:w="10640" w:type="dxa"/>
            <w:vAlign w:val="bottom"/>
          </w:tcPr>
          <w:p>
            <w:pPr>
              <w:ind w:left="500"/>
              <w:spacing w:after="0"/>
              <w:rPr>
                <w:sz w:val="20"/>
                <w:szCs w:val="20"/>
                <w:color w:val="auto"/>
              </w:rPr>
            </w:pPr>
            <w:r>
              <w:rPr>
                <w:rFonts w:ascii="Arial" w:cs="Arial" w:eastAsia="Arial" w:hAnsi="Arial"/>
                <w:sz w:val="16"/>
                <w:szCs w:val="16"/>
                <w:color w:val="auto"/>
                <w:w w:val="93"/>
              </w:rPr>
              <w:t>Indenture, dated as of May 10, 2005, by and between Lazard Group LLC and The Bank of New York, as Trustee (incorporated by reference to Exhibit 4.1</w:t>
            </w:r>
          </w:p>
        </w:tc>
      </w:tr>
      <w:tr>
        <w:trPr>
          <w:trHeight w:val="209"/>
        </w:trPr>
        <w:tc>
          <w:tcPr>
            <w:tcW w:w="760" w:type="dxa"/>
            <w:vAlign w:val="bottom"/>
          </w:tcPr>
          <w:p>
            <w:pPr>
              <w:spacing w:after="0"/>
              <w:rPr>
                <w:sz w:val="18"/>
                <w:szCs w:val="18"/>
                <w:color w:val="auto"/>
              </w:rPr>
            </w:pPr>
          </w:p>
        </w:tc>
        <w:tc>
          <w:tcPr>
            <w:tcW w:w="10640" w:type="dxa"/>
            <w:vAlign w:val="bottom"/>
          </w:tcPr>
          <w:p>
            <w:pPr>
              <w:ind w:left="500"/>
              <w:spacing w:after="0"/>
              <w:rPr>
                <w:sz w:val="20"/>
                <w:szCs w:val="20"/>
                <w:color w:val="auto"/>
              </w:rPr>
            </w:pPr>
            <w:r>
              <w:rPr>
                <w:rFonts w:ascii="Arial" w:cs="Arial" w:eastAsia="Arial" w:hAnsi="Arial"/>
                <w:sz w:val="16"/>
                <w:szCs w:val="16"/>
                <w:color w:val="auto"/>
              </w:rPr>
              <w:t>to Lazard Group LLC’s Registration Statement (File No. 333-126751) on Form S-4 filed on July 21, 2005).</w:t>
            </w:r>
          </w:p>
        </w:tc>
      </w:tr>
      <w:tr>
        <w:trPr>
          <w:trHeight w:val="298"/>
        </w:trPr>
        <w:tc>
          <w:tcPr>
            <w:tcW w:w="760" w:type="dxa"/>
            <w:vAlign w:val="bottom"/>
          </w:tcPr>
          <w:p>
            <w:pPr>
              <w:jc w:val="right"/>
              <w:ind w:right="398"/>
              <w:spacing w:after="0"/>
              <w:rPr>
                <w:sz w:val="20"/>
                <w:szCs w:val="20"/>
                <w:color w:val="auto"/>
              </w:rPr>
            </w:pPr>
            <w:r>
              <w:rPr>
                <w:rFonts w:ascii="Arial" w:cs="Arial" w:eastAsia="Arial" w:hAnsi="Arial"/>
                <w:sz w:val="16"/>
                <w:szCs w:val="16"/>
                <w:color w:val="auto"/>
              </w:rPr>
              <w:t>4.3</w:t>
            </w:r>
          </w:p>
        </w:tc>
        <w:tc>
          <w:tcPr>
            <w:tcW w:w="10640" w:type="dxa"/>
            <w:vAlign w:val="bottom"/>
          </w:tcPr>
          <w:p>
            <w:pPr>
              <w:ind w:left="500"/>
              <w:spacing w:after="0"/>
              <w:rPr>
                <w:sz w:val="20"/>
                <w:szCs w:val="20"/>
                <w:color w:val="auto"/>
              </w:rPr>
            </w:pPr>
            <w:r>
              <w:rPr>
                <w:rFonts w:ascii="Arial" w:cs="Arial" w:eastAsia="Arial" w:hAnsi="Arial"/>
                <w:sz w:val="16"/>
                <w:szCs w:val="16"/>
                <w:color w:val="auto"/>
                <w:w w:val="96"/>
              </w:rPr>
              <w:t>First Supplemental Indenture, dated as of May 10, 2005, by and between Lazard Group LLC and The Bank of New York, as trustee (incorporated by</w:t>
            </w:r>
          </w:p>
        </w:tc>
      </w:tr>
      <w:tr>
        <w:trPr>
          <w:trHeight w:val="209"/>
        </w:trPr>
        <w:tc>
          <w:tcPr>
            <w:tcW w:w="760" w:type="dxa"/>
            <w:vAlign w:val="bottom"/>
          </w:tcPr>
          <w:p>
            <w:pPr>
              <w:spacing w:after="0"/>
              <w:rPr>
                <w:sz w:val="18"/>
                <w:szCs w:val="18"/>
                <w:color w:val="auto"/>
              </w:rPr>
            </w:pPr>
          </w:p>
        </w:tc>
        <w:tc>
          <w:tcPr>
            <w:tcW w:w="10640" w:type="dxa"/>
            <w:vAlign w:val="bottom"/>
          </w:tcPr>
          <w:p>
            <w:pPr>
              <w:ind w:left="500"/>
              <w:spacing w:after="0"/>
              <w:rPr>
                <w:sz w:val="20"/>
                <w:szCs w:val="20"/>
                <w:color w:val="auto"/>
              </w:rPr>
            </w:pPr>
            <w:r>
              <w:rPr>
                <w:rFonts w:ascii="Arial" w:cs="Arial" w:eastAsia="Arial" w:hAnsi="Arial"/>
                <w:sz w:val="16"/>
                <w:szCs w:val="16"/>
                <w:color w:val="auto"/>
              </w:rPr>
              <w:t>reference to Exhibit 4.2 to Lazard Group LLC’s Registration Statement (File No. 333-126751) on Form S-4 filed on July 21, 2005).</w:t>
            </w:r>
          </w:p>
        </w:tc>
      </w:tr>
      <w:tr>
        <w:trPr>
          <w:trHeight w:val="310"/>
        </w:trPr>
        <w:tc>
          <w:tcPr>
            <w:tcW w:w="760" w:type="dxa"/>
            <w:vAlign w:val="bottom"/>
          </w:tcPr>
          <w:p>
            <w:pPr>
              <w:jc w:val="right"/>
              <w:ind w:right="398"/>
              <w:spacing w:after="0"/>
              <w:rPr>
                <w:sz w:val="20"/>
                <w:szCs w:val="20"/>
                <w:color w:val="auto"/>
              </w:rPr>
            </w:pPr>
            <w:r>
              <w:rPr>
                <w:rFonts w:ascii="Arial" w:cs="Arial" w:eastAsia="Arial" w:hAnsi="Arial"/>
                <w:sz w:val="16"/>
                <w:szCs w:val="16"/>
                <w:color w:val="auto"/>
              </w:rPr>
              <w:t>4.4</w:t>
            </w:r>
          </w:p>
        </w:tc>
        <w:tc>
          <w:tcPr>
            <w:tcW w:w="10640" w:type="dxa"/>
            <w:vAlign w:val="bottom"/>
          </w:tcPr>
          <w:p>
            <w:pPr>
              <w:ind w:left="500"/>
              <w:spacing w:after="0"/>
              <w:rPr>
                <w:sz w:val="20"/>
                <w:szCs w:val="20"/>
                <w:color w:val="auto"/>
              </w:rPr>
            </w:pPr>
            <w:r>
              <w:rPr>
                <w:rFonts w:ascii="Arial" w:cs="Arial" w:eastAsia="Arial" w:hAnsi="Arial"/>
                <w:sz w:val="16"/>
                <w:szCs w:val="16"/>
                <w:color w:val="auto"/>
                <w:w w:val="93"/>
              </w:rPr>
              <w:t>Fourth Supplemental Indenture, dated as of June 21, 2007, between Lazard Group LLC and The Bank of New York, as trustee (incorporated by reference</w:t>
            </w:r>
          </w:p>
        </w:tc>
      </w:tr>
      <w:tr>
        <w:trPr>
          <w:trHeight w:val="209"/>
        </w:trPr>
        <w:tc>
          <w:tcPr>
            <w:tcW w:w="760" w:type="dxa"/>
            <w:vAlign w:val="bottom"/>
          </w:tcPr>
          <w:p>
            <w:pPr>
              <w:spacing w:after="0"/>
              <w:rPr>
                <w:sz w:val="18"/>
                <w:szCs w:val="18"/>
                <w:color w:val="auto"/>
              </w:rPr>
            </w:pPr>
          </w:p>
        </w:tc>
        <w:tc>
          <w:tcPr>
            <w:tcW w:w="10640" w:type="dxa"/>
            <w:vAlign w:val="bottom"/>
          </w:tcPr>
          <w:p>
            <w:pPr>
              <w:ind w:left="500"/>
              <w:spacing w:after="0"/>
              <w:rPr>
                <w:sz w:val="20"/>
                <w:szCs w:val="20"/>
                <w:color w:val="auto"/>
              </w:rPr>
            </w:pPr>
            <w:r>
              <w:rPr>
                <w:rFonts w:ascii="Arial" w:cs="Arial" w:eastAsia="Arial" w:hAnsi="Arial"/>
                <w:sz w:val="16"/>
                <w:szCs w:val="16"/>
                <w:color w:val="auto"/>
              </w:rPr>
              <w:t>to Exhibit 4.1 to the Registrant’s Current Report on Form 8-K (File No. 001-32492) filed on June 22, 2007).</w:t>
            </w:r>
          </w:p>
        </w:tc>
      </w:tr>
      <w:tr>
        <w:trPr>
          <w:trHeight w:val="298"/>
        </w:trPr>
        <w:tc>
          <w:tcPr>
            <w:tcW w:w="760" w:type="dxa"/>
            <w:vAlign w:val="bottom"/>
          </w:tcPr>
          <w:p>
            <w:pPr>
              <w:jc w:val="right"/>
              <w:ind w:right="398"/>
              <w:spacing w:after="0"/>
              <w:rPr>
                <w:sz w:val="20"/>
                <w:szCs w:val="20"/>
                <w:color w:val="auto"/>
              </w:rPr>
            </w:pPr>
            <w:r>
              <w:rPr>
                <w:rFonts w:ascii="Arial" w:cs="Arial" w:eastAsia="Arial" w:hAnsi="Arial"/>
                <w:sz w:val="16"/>
                <w:szCs w:val="16"/>
                <w:color w:val="auto"/>
              </w:rPr>
              <w:t>4.5</w:t>
            </w:r>
          </w:p>
        </w:tc>
        <w:tc>
          <w:tcPr>
            <w:tcW w:w="10640" w:type="dxa"/>
            <w:vAlign w:val="bottom"/>
          </w:tcPr>
          <w:p>
            <w:pPr>
              <w:ind w:left="500"/>
              <w:spacing w:after="0"/>
              <w:rPr>
                <w:sz w:val="20"/>
                <w:szCs w:val="20"/>
                <w:color w:val="auto"/>
              </w:rPr>
            </w:pPr>
            <w:r>
              <w:rPr>
                <w:rFonts w:ascii="Arial" w:cs="Arial" w:eastAsia="Arial" w:hAnsi="Arial"/>
                <w:sz w:val="16"/>
                <w:szCs w:val="16"/>
                <w:color w:val="auto"/>
                <w:w w:val="94"/>
              </w:rPr>
              <w:t>Fifth Supplemental Indenture, dated as of November 14, 2013, between Lazard Group LLC and The Bank of New York Mellon, as trustee (incorporated</w:t>
            </w:r>
          </w:p>
        </w:tc>
      </w:tr>
      <w:tr>
        <w:trPr>
          <w:trHeight w:val="209"/>
        </w:trPr>
        <w:tc>
          <w:tcPr>
            <w:tcW w:w="760" w:type="dxa"/>
            <w:vAlign w:val="bottom"/>
          </w:tcPr>
          <w:p>
            <w:pPr>
              <w:spacing w:after="0"/>
              <w:rPr>
                <w:sz w:val="18"/>
                <w:szCs w:val="18"/>
                <w:color w:val="auto"/>
              </w:rPr>
            </w:pPr>
          </w:p>
        </w:tc>
        <w:tc>
          <w:tcPr>
            <w:tcW w:w="10640" w:type="dxa"/>
            <w:vAlign w:val="bottom"/>
          </w:tcPr>
          <w:p>
            <w:pPr>
              <w:ind w:left="500"/>
              <w:spacing w:after="0"/>
              <w:rPr>
                <w:sz w:val="20"/>
                <w:szCs w:val="20"/>
                <w:color w:val="auto"/>
              </w:rPr>
            </w:pPr>
            <w:r>
              <w:rPr>
                <w:rFonts w:ascii="Arial" w:cs="Arial" w:eastAsia="Arial" w:hAnsi="Arial"/>
                <w:sz w:val="16"/>
                <w:szCs w:val="16"/>
                <w:color w:val="auto"/>
              </w:rPr>
              <w:t>by reference to Exhibit 4.1 to the Registrant’s Current Report on Form 8-K (File No. 001-32492) filed on November 14, 2013).</w:t>
            </w:r>
          </w:p>
        </w:tc>
      </w:tr>
      <w:tr>
        <w:trPr>
          <w:trHeight w:val="304"/>
        </w:trPr>
        <w:tc>
          <w:tcPr>
            <w:tcW w:w="760" w:type="dxa"/>
            <w:vAlign w:val="bottom"/>
          </w:tcPr>
          <w:p>
            <w:pPr>
              <w:jc w:val="right"/>
              <w:ind w:right="398"/>
              <w:spacing w:after="0"/>
              <w:rPr>
                <w:sz w:val="20"/>
                <w:szCs w:val="20"/>
                <w:color w:val="auto"/>
              </w:rPr>
            </w:pPr>
            <w:r>
              <w:rPr>
                <w:rFonts w:ascii="Arial" w:cs="Arial" w:eastAsia="Arial" w:hAnsi="Arial"/>
                <w:sz w:val="16"/>
                <w:szCs w:val="16"/>
                <w:color w:val="auto"/>
              </w:rPr>
              <w:t>4.6</w:t>
            </w:r>
          </w:p>
        </w:tc>
        <w:tc>
          <w:tcPr>
            <w:tcW w:w="10640" w:type="dxa"/>
            <w:vAlign w:val="bottom"/>
          </w:tcPr>
          <w:p>
            <w:pPr>
              <w:ind w:left="500"/>
              <w:spacing w:after="0"/>
              <w:rPr>
                <w:sz w:val="20"/>
                <w:szCs w:val="20"/>
                <w:color w:val="auto"/>
              </w:rPr>
            </w:pPr>
            <w:r>
              <w:rPr>
                <w:rFonts w:ascii="Arial" w:cs="Arial" w:eastAsia="Arial" w:hAnsi="Arial"/>
                <w:sz w:val="16"/>
                <w:szCs w:val="16"/>
                <w:color w:val="auto"/>
              </w:rPr>
              <w:t>Form of Senior Note (included in Exhibits 4.3, 4.4 and 4.5).</w:t>
            </w:r>
          </w:p>
        </w:tc>
      </w:tr>
      <w:tr>
        <w:trPr>
          <w:trHeight w:val="298"/>
        </w:trPr>
        <w:tc>
          <w:tcPr>
            <w:tcW w:w="760" w:type="dxa"/>
            <w:vAlign w:val="bottom"/>
          </w:tcPr>
          <w:p>
            <w:pPr>
              <w:jc w:val="right"/>
              <w:ind w:right="398"/>
              <w:spacing w:after="0"/>
              <w:rPr>
                <w:sz w:val="20"/>
                <w:szCs w:val="20"/>
                <w:color w:val="auto"/>
              </w:rPr>
            </w:pPr>
            <w:r>
              <w:rPr>
                <w:rFonts w:ascii="Arial" w:cs="Arial" w:eastAsia="Arial" w:hAnsi="Arial"/>
                <w:sz w:val="16"/>
                <w:szCs w:val="16"/>
                <w:color w:val="auto"/>
                <w:w w:val="83"/>
              </w:rPr>
              <w:t>10.1</w:t>
            </w:r>
          </w:p>
        </w:tc>
        <w:tc>
          <w:tcPr>
            <w:tcW w:w="10640" w:type="dxa"/>
            <w:vAlign w:val="bottom"/>
          </w:tcPr>
          <w:p>
            <w:pPr>
              <w:ind w:left="500"/>
              <w:spacing w:after="0"/>
              <w:rPr>
                <w:sz w:val="20"/>
                <w:szCs w:val="20"/>
                <w:color w:val="auto"/>
              </w:rPr>
            </w:pPr>
            <w:r>
              <w:rPr>
                <w:rFonts w:ascii="Arial" w:cs="Arial" w:eastAsia="Arial" w:hAnsi="Arial"/>
                <w:sz w:val="16"/>
                <w:szCs w:val="16"/>
                <w:color w:val="auto"/>
                <w:w w:val="96"/>
              </w:rPr>
              <w:t>Operating Agreement of Lazard Group LLC, dated as of May 10, 2005 (incorporated by reference to Exhibit 10.2 to the Registrant’s Quarterly Report</w:t>
            </w:r>
          </w:p>
        </w:tc>
      </w:tr>
      <w:tr>
        <w:trPr>
          <w:trHeight w:val="209"/>
        </w:trPr>
        <w:tc>
          <w:tcPr>
            <w:tcW w:w="760" w:type="dxa"/>
            <w:vAlign w:val="bottom"/>
          </w:tcPr>
          <w:p>
            <w:pPr>
              <w:spacing w:after="0"/>
              <w:rPr>
                <w:sz w:val="18"/>
                <w:szCs w:val="18"/>
                <w:color w:val="auto"/>
              </w:rPr>
            </w:pPr>
          </w:p>
        </w:tc>
        <w:tc>
          <w:tcPr>
            <w:tcW w:w="10640" w:type="dxa"/>
            <w:vAlign w:val="bottom"/>
          </w:tcPr>
          <w:p>
            <w:pPr>
              <w:ind w:left="500"/>
              <w:spacing w:after="0"/>
              <w:rPr>
                <w:sz w:val="20"/>
                <w:szCs w:val="20"/>
                <w:color w:val="auto"/>
              </w:rPr>
            </w:pPr>
            <w:r>
              <w:rPr>
                <w:rFonts w:ascii="Arial" w:cs="Arial" w:eastAsia="Arial" w:hAnsi="Arial"/>
                <w:sz w:val="16"/>
                <w:szCs w:val="16"/>
                <w:color w:val="auto"/>
              </w:rPr>
              <w:t>(File No. 001-32492) on Form 10-Q filed on June 16, 2005).</w:t>
            </w:r>
          </w:p>
        </w:tc>
      </w:tr>
      <w:tr>
        <w:trPr>
          <w:trHeight w:val="298"/>
        </w:trPr>
        <w:tc>
          <w:tcPr>
            <w:tcW w:w="760" w:type="dxa"/>
            <w:vAlign w:val="bottom"/>
          </w:tcPr>
          <w:p>
            <w:pPr>
              <w:jc w:val="right"/>
              <w:ind w:right="398"/>
              <w:spacing w:after="0"/>
              <w:rPr>
                <w:sz w:val="20"/>
                <w:szCs w:val="20"/>
                <w:color w:val="auto"/>
              </w:rPr>
            </w:pPr>
            <w:r>
              <w:rPr>
                <w:rFonts w:ascii="Arial" w:cs="Arial" w:eastAsia="Arial" w:hAnsi="Arial"/>
                <w:sz w:val="16"/>
                <w:szCs w:val="16"/>
                <w:color w:val="auto"/>
                <w:w w:val="83"/>
              </w:rPr>
              <w:t>10.2</w:t>
            </w:r>
          </w:p>
        </w:tc>
        <w:tc>
          <w:tcPr>
            <w:tcW w:w="10640" w:type="dxa"/>
            <w:vAlign w:val="bottom"/>
          </w:tcPr>
          <w:p>
            <w:pPr>
              <w:ind w:left="500"/>
              <w:spacing w:after="0"/>
              <w:rPr>
                <w:sz w:val="20"/>
                <w:szCs w:val="20"/>
                <w:color w:val="auto"/>
              </w:rPr>
            </w:pPr>
            <w:r>
              <w:rPr>
                <w:rFonts w:ascii="Arial" w:cs="Arial" w:eastAsia="Arial" w:hAnsi="Arial"/>
                <w:sz w:val="16"/>
                <w:szCs w:val="16"/>
                <w:color w:val="auto"/>
                <w:w w:val="97"/>
              </w:rPr>
              <w:t>Amendment No. 1 to the Operating Agreement of Lazard Group LLC, dated as of December 19, 2005 (incorporated by reference to Exhibit 3.01 to</w:t>
            </w:r>
          </w:p>
        </w:tc>
      </w:tr>
      <w:tr>
        <w:trPr>
          <w:trHeight w:val="209"/>
        </w:trPr>
        <w:tc>
          <w:tcPr>
            <w:tcW w:w="760" w:type="dxa"/>
            <w:vAlign w:val="bottom"/>
          </w:tcPr>
          <w:p>
            <w:pPr>
              <w:spacing w:after="0"/>
              <w:rPr>
                <w:sz w:val="18"/>
                <w:szCs w:val="18"/>
                <w:color w:val="auto"/>
              </w:rPr>
            </w:pPr>
          </w:p>
        </w:tc>
        <w:tc>
          <w:tcPr>
            <w:tcW w:w="10640" w:type="dxa"/>
            <w:vAlign w:val="bottom"/>
          </w:tcPr>
          <w:p>
            <w:pPr>
              <w:ind w:left="500"/>
              <w:spacing w:after="0"/>
              <w:rPr>
                <w:sz w:val="20"/>
                <w:szCs w:val="20"/>
                <w:color w:val="auto"/>
              </w:rPr>
            </w:pPr>
            <w:r>
              <w:rPr>
                <w:rFonts w:ascii="Arial" w:cs="Arial" w:eastAsia="Arial" w:hAnsi="Arial"/>
                <w:sz w:val="16"/>
                <w:szCs w:val="16"/>
                <w:color w:val="auto"/>
              </w:rPr>
              <w:t>Lazard Group LLC’s Current Report on Form 8-K (File No. 333-126751) filed on December 19, 2005).</w:t>
            </w:r>
          </w:p>
        </w:tc>
      </w:tr>
      <w:tr>
        <w:trPr>
          <w:trHeight w:val="298"/>
        </w:trPr>
        <w:tc>
          <w:tcPr>
            <w:tcW w:w="760" w:type="dxa"/>
            <w:vAlign w:val="bottom"/>
          </w:tcPr>
          <w:p>
            <w:pPr>
              <w:jc w:val="right"/>
              <w:ind w:right="398"/>
              <w:spacing w:after="0"/>
              <w:rPr>
                <w:sz w:val="20"/>
                <w:szCs w:val="20"/>
                <w:color w:val="auto"/>
              </w:rPr>
            </w:pPr>
            <w:r>
              <w:rPr>
                <w:rFonts w:ascii="Arial" w:cs="Arial" w:eastAsia="Arial" w:hAnsi="Arial"/>
                <w:sz w:val="16"/>
                <w:szCs w:val="16"/>
                <w:color w:val="auto"/>
                <w:w w:val="83"/>
              </w:rPr>
              <w:t>10.3</w:t>
            </w:r>
          </w:p>
        </w:tc>
        <w:tc>
          <w:tcPr>
            <w:tcW w:w="10640" w:type="dxa"/>
            <w:vAlign w:val="bottom"/>
          </w:tcPr>
          <w:p>
            <w:pPr>
              <w:ind w:left="500"/>
              <w:spacing w:after="0"/>
              <w:rPr>
                <w:sz w:val="20"/>
                <w:szCs w:val="20"/>
                <w:color w:val="auto"/>
              </w:rPr>
            </w:pPr>
            <w:r>
              <w:rPr>
                <w:rFonts w:ascii="Arial" w:cs="Arial" w:eastAsia="Arial" w:hAnsi="Arial"/>
                <w:sz w:val="16"/>
                <w:szCs w:val="16"/>
                <w:color w:val="auto"/>
                <w:w w:val="94"/>
              </w:rPr>
              <w:t>Amendment No. 2, dated as of May 9, 2008, to the Operating Agreement of Lazard Group LLC, dated as of May 10, 2005 (incorporated by reference to</w:t>
            </w:r>
          </w:p>
        </w:tc>
      </w:tr>
      <w:tr>
        <w:trPr>
          <w:trHeight w:val="209"/>
        </w:trPr>
        <w:tc>
          <w:tcPr>
            <w:tcW w:w="760" w:type="dxa"/>
            <w:vAlign w:val="bottom"/>
          </w:tcPr>
          <w:p>
            <w:pPr>
              <w:spacing w:after="0"/>
              <w:rPr>
                <w:sz w:val="18"/>
                <w:szCs w:val="18"/>
                <w:color w:val="auto"/>
              </w:rPr>
            </w:pPr>
          </w:p>
        </w:tc>
        <w:tc>
          <w:tcPr>
            <w:tcW w:w="10640" w:type="dxa"/>
            <w:vAlign w:val="bottom"/>
          </w:tcPr>
          <w:p>
            <w:pPr>
              <w:ind w:left="500"/>
              <w:spacing w:after="0"/>
              <w:rPr>
                <w:sz w:val="20"/>
                <w:szCs w:val="20"/>
                <w:color w:val="auto"/>
              </w:rPr>
            </w:pPr>
            <w:r>
              <w:rPr>
                <w:rFonts w:ascii="Arial" w:cs="Arial" w:eastAsia="Arial" w:hAnsi="Arial"/>
                <w:sz w:val="16"/>
                <w:szCs w:val="16"/>
                <w:color w:val="auto"/>
              </w:rPr>
              <w:t>Exhibit 10.3 to the Registrant’s Current Report on Form 8-K (File No. 001-32492) filed on May 8, 2008).</w:t>
            </w:r>
          </w:p>
        </w:tc>
      </w:tr>
      <w:tr>
        <w:trPr>
          <w:trHeight w:val="298"/>
        </w:trPr>
        <w:tc>
          <w:tcPr>
            <w:tcW w:w="760" w:type="dxa"/>
            <w:vAlign w:val="bottom"/>
          </w:tcPr>
          <w:p>
            <w:pPr>
              <w:jc w:val="right"/>
              <w:ind w:right="398"/>
              <w:spacing w:after="0"/>
              <w:rPr>
                <w:sz w:val="20"/>
                <w:szCs w:val="20"/>
                <w:color w:val="auto"/>
              </w:rPr>
            </w:pPr>
            <w:r>
              <w:rPr>
                <w:rFonts w:ascii="Arial" w:cs="Arial" w:eastAsia="Arial" w:hAnsi="Arial"/>
                <w:sz w:val="16"/>
                <w:szCs w:val="16"/>
                <w:color w:val="auto"/>
                <w:w w:val="83"/>
              </w:rPr>
              <w:t>10.4</w:t>
            </w:r>
          </w:p>
        </w:tc>
        <w:tc>
          <w:tcPr>
            <w:tcW w:w="10640" w:type="dxa"/>
            <w:vAlign w:val="bottom"/>
          </w:tcPr>
          <w:p>
            <w:pPr>
              <w:ind w:left="500"/>
              <w:spacing w:after="0"/>
              <w:rPr>
                <w:sz w:val="20"/>
                <w:szCs w:val="20"/>
                <w:color w:val="auto"/>
              </w:rPr>
            </w:pPr>
            <w:r>
              <w:rPr>
                <w:rFonts w:ascii="Arial" w:cs="Arial" w:eastAsia="Arial" w:hAnsi="Arial"/>
                <w:sz w:val="16"/>
                <w:szCs w:val="16"/>
                <w:color w:val="auto"/>
                <w:w w:val="93"/>
              </w:rPr>
              <w:t>Amendment No. 3, dated as of April 27, 2010, to the Operating Agreement of Lazard Group LLC, dated as of May 10, 2005 (incorporated by reference to</w:t>
            </w:r>
          </w:p>
        </w:tc>
      </w:tr>
      <w:tr>
        <w:trPr>
          <w:trHeight w:val="209"/>
        </w:trPr>
        <w:tc>
          <w:tcPr>
            <w:tcW w:w="760" w:type="dxa"/>
            <w:vAlign w:val="bottom"/>
          </w:tcPr>
          <w:p>
            <w:pPr>
              <w:spacing w:after="0"/>
              <w:rPr>
                <w:sz w:val="18"/>
                <w:szCs w:val="18"/>
                <w:color w:val="auto"/>
              </w:rPr>
            </w:pPr>
          </w:p>
        </w:tc>
        <w:tc>
          <w:tcPr>
            <w:tcW w:w="10640" w:type="dxa"/>
            <w:vAlign w:val="bottom"/>
          </w:tcPr>
          <w:p>
            <w:pPr>
              <w:ind w:left="500"/>
              <w:spacing w:after="0"/>
              <w:rPr>
                <w:sz w:val="20"/>
                <w:szCs w:val="20"/>
                <w:color w:val="auto"/>
              </w:rPr>
            </w:pPr>
            <w:r>
              <w:rPr>
                <w:rFonts w:ascii="Arial" w:cs="Arial" w:eastAsia="Arial" w:hAnsi="Arial"/>
                <w:sz w:val="16"/>
                <w:szCs w:val="16"/>
                <w:color w:val="auto"/>
              </w:rPr>
              <w:t>Exhibit 10.6 to the Registrant’s Quarterly Report (File No. 001-32492) on Form 10-Q filed on April 30, 2010).</w:t>
            </w:r>
          </w:p>
        </w:tc>
      </w:tr>
      <w:tr>
        <w:trPr>
          <w:trHeight w:val="342"/>
        </w:trPr>
        <w:tc>
          <w:tcPr>
            <w:tcW w:w="760" w:type="dxa"/>
            <w:vAlign w:val="bottom"/>
          </w:tcPr>
          <w:p>
            <w:pPr>
              <w:spacing w:after="0"/>
              <w:rPr>
                <w:sz w:val="24"/>
                <w:szCs w:val="24"/>
                <w:color w:val="auto"/>
              </w:rPr>
            </w:pPr>
          </w:p>
        </w:tc>
        <w:tc>
          <w:tcPr>
            <w:tcW w:w="10640" w:type="dxa"/>
            <w:vAlign w:val="bottom"/>
          </w:tcPr>
          <w:p>
            <w:pPr>
              <w:ind w:left="4880"/>
              <w:spacing w:after="0"/>
              <w:rPr>
                <w:sz w:val="20"/>
                <w:szCs w:val="20"/>
                <w:color w:val="auto"/>
              </w:rPr>
            </w:pPr>
            <w:r>
              <w:rPr>
                <w:rFonts w:ascii="Arial" w:cs="Arial" w:eastAsia="Arial" w:hAnsi="Arial"/>
                <w:sz w:val="16"/>
                <w:szCs w:val="16"/>
                <w:color w:val="auto"/>
              </w:rPr>
              <w:t>81</w:t>
            </w:r>
          </w:p>
        </w:tc>
      </w:tr>
    </w:tbl>
    <w:p>
      <w:pPr>
        <w:sectPr>
          <w:pgSz w:w="11900" w:h="16838" w:orient="portrait"/>
          <w:cols w:equalWidth="0" w:num="1">
            <w:col w:w="11400"/>
          </w:cols>
          <w:pgMar w:left="240" w:top="440" w:right="259" w:bottom="1440" w:gutter="0" w:footer="0" w:header="0"/>
        </w:sectPr>
      </w:pPr>
    </w:p>
    <w:bookmarkStart w:id="83" w:name="page84"/>
    <w:bookmarkEnd w:id="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60" w:type="dxa"/>
            <w:vAlign w:val="bottom"/>
          </w:tcPr>
          <w:p>
            <w:pPr>
              <w:spacing w:after="0"/>
              <w:rPr>
                <w:sz w:val="20"/>
                <w:szCs w:val="20"/>
                <w:color w:val="auto"/>
              </w:rPr>
            </w:pPr>
            <w:r>
              <w:rPr>
                <w:rFonts w:ascii="Arial" w:cs="Arial" w:eastAsia="Arial" w:hAnsi="Arial"/>
                <w:sz w:val="16"/>
                <w:szCs w:val="16"/>
                <w:color w:val="auto"/>
              </w:rPr>
              <w:t>10.5</w:t>
            </w:r>
          </w:p>
        </w:tc>
        <w:tc>
          <w:tcPr>
            <w:tcW w:w="10540" w:type="dxa"/>
            <w:vAlign w:val="bottom"/>
          </w:tcPr>
          <w:p>
            <w:pPr>
              <w:ind w:left="400"/>
              <w:spacing w:after="0"/>
              <w:rPr>
                <w:sz w:val="20"/>
                <w:szCs w:val="20"/>
                <w:color w:val="auto"/>
              </w:rPr>
            </w:pPr>
            <w:r>
              <w:rPr>
                <w:rFonts w:ascii="Arial" w:cs="Arial" w:eastAsia="Arial" w:hAnsi="Arial"/>
                <w:sz w:val="16"/>
                <w:szCs w:val="16"/>
                <w:color w:val="auto"/>
                <w:w w:val="96"/>
              </w:rPr>
              <w:t>Amended and Restated Tax Receivable Agreement, dated as of June 16, 2015, by and among Ltd Sub A, Ltd Sub B, LFCM Holdings LLC and LTBP</w:t>
            </w:r>
          </w:p>
        </w:tc>
      </w:tr>
      <w:tr>
        <w:trPr>
          <w:trHeight w:val="209"/>
        </w:trPr>
        <w:tc>
          <w:tcPr>
            <w:tcW w:w="860" w:type="dxa"/>
            <w:vAlign w:val="bottom"/>
          </w:tcPr>
          <w:p>
            <w:pPr>
              <w:spacing w:after="0"/>
              <w:rPr>
                <w:sz w:val="18"/>
                <w:szCs w:val="18"/>
                <w:color w:val="auto"/>
              </w:rPr>
            </w:pPr>
          </w:p>
        </w:tc>
        <w:tc>
          <w:tcPr>
            <w:tcW w:w="10540" w:type="dxa"/>
            <w:vAlign w:val="bottom"/>
          </w:tcPr>
          <w:p>
            <w:pPr>
              <w:ind w:left="400"/>
              <w:spacing w:after="0"/>
              <w:rPr>
                <w:sz w:val="20"/>
                <w:szCs w:val="20"/>
                <w:color w:val="auto"/>
              </w:rPr>
            </w:pPr>
            <w:r>
              <w:rPr>
                <w:rFonts w:ascii="Arial" w:cs="Arial" w:eastAsia="Arial" w:hAnsi="Arial"/>
                <w:sz w:val="16"/>
                <w:szCs w:val="16"/>
                <w:color w:val="auto"/>
              </w:rPr>
              <w:t>Trust (incorporated by reference to Exhibit 10.1 to the Registrant’s Current Report (File No. 001-32492) on Form 8-K filed on June 17, 2015).</w:t>
            </w:r>
          </w:p>
        </w:tc>
      </w:tr>
      <w:tr>
        <w:trPr>
          <w:trHeight w:val="298"/>
        </w:trPr>
        <w:tc>
          <w:tcPr>
            <w:tcW w:w="860" w:type="dxa"/>
            <w:vAlign w:val="bottom"/>
          </w:tcPr>
          <w:p>
            <w:pPr>
              <w:spacing w:after="0"/>
              <w:rPr>
                <w:sz w:val="20"/>
                <w:szCs w:val="20"/>
                <w:color w:val="auto"/>
              </w:rPr>
            </w:pPr>
            <w:r>
              <w:rPr>
                <w:rFonts w:ascii="Arial" w:cs="Arial" w:eastAsia="Arial" w:hAnsi="Arial"/>
                <w:sz w:val="16"/>
                <w:szCs w:val="16"/>
                <w:color w:val="auto"/>
              </w:rPr>
              <w:t>10.6</w:t>
            </w:r>
          </w:p>
        </w:tc>
        <w:tc>
          <w:tcPr>
            <w:tcW w:w="10540" w:type="dxa"/>
            <w:vAlign w:val="bottom"/>
          </w:tcPr>
          <w:p>
            <w:pPr>
              <w:ind w:left="400"/>
              <w:spacing w:after="0"/>
              <w:rPr>
                <w:sz w:val="20"/>
                <w:szCs w:val="20"/>
                <w:color w:val="auto"/>
              </w:rPr>
            </w:pPr>
            <w:r>
              <w:rPr>
                <w:rFonts w:ascii="Arial" w:cs="Arial" w:eastAsia="Arial" w:hAnsi="Arial"/>
                <w:sz w:val="16"/>
                <w:szCs w:val="16"/>
                <w:color w:val="auto"/>
                <w:w w:val="93"/>
              </w:rPr>
              <w:t>Amended and Restated Operating Agreement of Lazard Strategic Coordination Company LLC, dated as of January 1, 2002 (incorporated by reference to</w:t>
            </w:r>
          </w:p>
        </w:tc>
      </w:tr>
      <w:tr>
        <w:trPr>
          <w:trHeight w:val="209"/>
        </w:trPr>
        <w:tc>
          <w:tcPr>
            <w:tcW w:w="860" w:type="dxa"/>
            <w:vAlign w:val="bottom"/>
          </w:tcPr>
          <w:p>
            <w:pPr>
              <w:spacing w:after="0"/>
              <w:rPr>
                <w:sz w:val="18"/>
                <w:szCs w:val="18"/>
                <w:color w:val="auto"/>
              </w:rPr>
            </w:pPr>
          </w:p>
        </w:tc>
        <w:tc>
          <w:tcPr>
            <w:tcW w:w="10540" w:type="dxa"/>
            <w:vAlign w:val="bottom"/>
          </w:tcPr>
          <w:p>
            <w:pPr>
              <w:ind w:left="400"/>
              <w:spacing w:after="0"/>
              <w:rPr>
                <w:sz w:val="20"/>
                <w:szCs w:val="20"/>
                <w:color w:val="auto"/>
              </w:rPr>
            </w:pPr>
            <w:r>
              <w:rPr>
                <w:rFonts w:ascii="Arial" w:cs="Arial" w:eastAsia="Arial" w:hAnsi="Arial"/>
                <w:sz w:val="16"/>
                <w:szCs w:val="16"/>
                <w:color w:val="auto"/>
              </w:rPr>
              <w:t>Exhibit 10.16 to the Registrant’s Registration Statement (File No. 333-121407) on Form S-1/A filed on February 11, 2005).</w:t>
            </w:r>
          </w:p>
        </w:tc>
      </w:tr>
      <w:tr>
        <w:trPr>
          <w:trHeight w:val="298"/>
        </w:trPr>
        <w:tc>
          <w:tcPr>
            <w:tcW w:w="860" w:type="dxa"/>
            <w:vAlign w:val="bottom"/>
          </w:tcPr>
          <w:p>
            <w:pPr>
              <w:spacing w:after="0"/>
              <w:rPr>
                <w:sz w:val="20"/>
                <w:szCs w:val="20"/>
                <w:color w:val="auto"/>
              </w:rPr>
            </w:pPr>
            <w:r>
              <w:rPr>
                <w:rFonts w:ascii="Arial" w:cs="Arial" w:eastAsia="Arial" w:hAnsi="Arial"/>
                <w:sz w:val="16"/>
                <w:szCs w:val="16"/>
                <w:color w:val="auto"/>
              </w:rPr>
              <w:t>10.7</w:t>
            </w:r>
          </w:p>
        </w:tc>
        <w:tc>
          <w:tcPr>
            <w:tcW w:w="10540" w:type="dxa"/>
            <w:vAlign w:val="bottom"/>
          </w:tcPr>
          <w:p>
            <w:pPr>
              <w:ind w:left="400"/>
              <w:spacing w:after="0"/>
              <w:rPr>
                <w:sz w:val="20"/>
                <w:szCs w:val="20"/>
                <w:color w:val="auto"/>
              </w:rPr>
            </w:pPr>
            <w:r>
              <w:rPr>
                <w:rFonts w:ascii="Arial" w:cs="Arial" w:eastAsia="Arial" w:hAnsi="Arial"/>
                <w:sz w:val="16"/>
                <w:szCs w:val="16"/>
                <w:color w:val="auto"/>
                <w:w w:val="94"/>
              </w:rPr>
              <w:t>Lease, dated as of January 27, 1994, by and between Rockefeller Center Properties and Lazard Frères &amp; Co. LLC (incorporated by reference to Exhibit</w:t>
            </w:r>
          </w:p>
        </w:tc>
      </w:tr>
      <w:tr>
        <w:trPr>
          <w:trHeight w:val="209"/>
        </w:trPr>
        <w:tc>
          <w:tcPr>
            <w:tcW w:w="860" w:type="dxa"/>
            <w:vAlign w:val="bottom"/>
          </w:tcPr>
          <w:p>
            <w:pPr>
              <w:spacing w:after="0"/>
              <w:rPr>
                <w:sz w:val="18"/>
                <w:szCs w:val="18"/>
                <w:color w:val="auto"/>
              </w:rPr>
            </w:pPr>
          </w:p>
        </w:tc>
        <w:tc>
          <w:tcPr>
            <w:tcW w:w="10540" w:type="dxa"/>
            <w:vAlign w:val="bottom"/>
          </w:tcPr>
          <w:p>
            <w:pPr>
              <w:ind w:left="400"/>
              <w:spacing w:after="0"/>
              <w:rPr>
                <w:sz w:val="20"/>
                <w:szCs w:val="20"/>
                <w:color w:val="auto"/>
              </w:rPr>
            </w:pPr>
            <w:r>
              <w:rPr>
                <w:rFonts w:ascii="Arial" w:cs="Arial" w:eastAsia="Arial" w:hAnsi="Arial"/>
                <w:sz w:val="16"/>
                <w:szCs w:val="16"/>
                <w:color w:val="auto"/>
              </w:rPr>
              <w:t>10.19 to the Registrant’s Registration Statement (File No. 333-121407) on Form S-1/A filed on February 11, 2005).</w:t>
            </w:r>
          </w:p>
        </w:tc>
      </w:tr>
      <w:tr>
        <w:trPr>
          <w:trHeight w:val="298"/>
        </w:trPr>
        <w:tc>
          <w:tcPr>
            <w:tcW w:w="860" w:type="dxa"/>
            <w:vAlign w:val="bottom"/>
          </w:tcPr>
          <w:p>
            <w:pPr>
              <w:spacing w:after="0"/>
              <w:rPr>
                <w:sz w:val="20"/>
                <w:szCs w:val="20"/>
                <w:color w:val="auto"/>
              </w:rPr>
            </w:pPr>
            <w:r>
              <w:rPr>
                <w:rFonts w:ascii="Arial" w:cs="Arial" w:eastAsia="Arial" w:hAnsi="Arial"/>
                <w:sz w:val="16"/>
                <w:szCs w:val="16"/>
                <w:color w:val="auto"/>
              </w:rPr>
              <w:t>10.8</w:t>
            </w:r>
          </w:p>
        </w:tc>
        <w:tc>
          <w:tcPr>
            <w:tcW w:w="10540" w:type="dxa"/>
            <w:vAlign w:val="bottom"/>
          </w:tcPr>
          <w:p>
            <w:pPr>
              <w:ind w:left="400"/>
              <w:spacing w:after="0"/>
              <w:rPr>
                <w:sz w:val="20"/>
                <w:szCs w:val="20"/>
                <w:color w:val="auto"/>
              </w:rPr>
            </w:pPr>
            <w:r>
              <w:rPr>
                <w:rFonts w:ascii="Arial" w:cs="Arial" w:eastAsia="Arial" w:hAnsi="Arial"/>
                <w:sz w:val="16"/>
                <w:szCs w:val="16"/>
                <w:color w:val="auto"/>
                <w:w w:val="99"/>
              </w:rPr>
              <w:t>Amendment dated as of February 16, 2011, by and among RCPI Landmark Properties, L.L.C. (as the successor in interest to Rockefeller Center</w:t>
            </w:r>
          </w:p>
        </w:tc>
      </w:tr>
      <w:tr>
        <w:trPr>
          <w:trHeight w:val="202"/>
        </w:trPr>
        <w:tc>
          <w:tcPr>
            <w:tcW w:w="860" w:type="dxa"/>
            <w:vAlign w:val="bottom"/>
          </w:tcPr>
          <w:p>
            <w:pPr>
              <w:spacing w:after="0"/>
              <w:rPr>
                <w:sz w:val="17"/>
                <w:szCs w:val="17"/>
                <w:color w:val="auto"/>
              </w:rPr>
            </w:pPr>
          </w:p>
        </w:tc>
        <w:tc>
          <w:tcPr>
            <w:tcW w:w="10540" w:type="dxa"/>
            <w:vAlign w:val="bottom"/>
          </w:tcPr>
          <w:p>
            <w:pPr>
              <w:ind w:left="400"/>
              <w:spacing w:after="0"/>
              <w:rPr>
                <w:sz w:val="20"/>
                <w:szCs w:val="20"/>
                <w:color w:val="auto"/>
              </w:rPr>
            </w:pPr>
            <w:r>
              <w:rPr>
                <w:rFonts w:ascii="Arial" w:cs="Arial" w:eastAsia="Arial" w:hAnsi="Arial"/>
                <w:sz w:val="16"/>
                <w:szCs w:val="16"/>
                <w:color w:val="auto"/>
                <w:w w:val="94"/>
              </w:rPr>
              <w:t>Properties), RCPI 30 Rock 22234849, L.L.C. and Lazard Group LLC (as the successor in interest to Lazard Frères &amp; Co. LLC), to the Lease dated as of</w:t>
            </w:r>
          </w:p>
        </w:tc>
      </w:tr>
      <w:tr>
        <w:trPr>
          <w:trHeight w:val="202"/>
        </w:trPr>
        <w:tc>
          <w:tcPr>
            <w:tcW w:w="860" w:type="dxa"/>
            <w:vAlign w:val="bottom"/>
          </w:tcPr>
          <w:p>
            <w:pPr>
              <w:spacing w:after="0"/>
              <w:rPr>
                <w:sz w:val="17"/>
                <w:szCs w:val="17"/>
                <w:color w:val="auto"/>
              </w:rPr>
            </w:pPr>
          </w:p>
        </w:tc>
        <w:tc>
          <w:tcPr>
            <w:tcW w:w="10540" w:type="dxa"/>
            <w:vAlign w:val="bottom"/>
          </w:tcPr>
          <w:p>
            <w:pPr>
              <w:ind w:left="400"/>
              <w:spacing w:after="0"/>
              <w:rPr>
                <w:sz w:val="20"/>
                <w:szCs w:val="20"/>
                <w:color w:val="auto"/>
              </w:rPr>
            </w:pPr>
            <w:r>
              <w:rPr>
                <w:rFonts w:ascii="Arial" w:cs="Arial" w:eastAsia="Arial" w:hAnsi="Arial"/>
                <w:sz w:val="16"/>
                <w:szCs w:val="16"/>
                <w:color w:val="auto"/>
                <w:w w:val="99"/>
              </w:rPr>
              <w:t>January 27, 1994, by and among Rockefeller Center Properties and Lazard Frères &amp; Co. LLC (incorporated by reference to Exhibit 10.16 to the</w:t>
            </w:r>
          </w:p>
        </w:tc>
      </w:tr>
      <w:tr>
        <w:trPr>
          <w:trHeight w:val="209"/>
        </w:trPr>
        <w:tc>
          <w:tcPr>
            <w:tcW w:w="860" w:type="dxa"/>
            <w:vAlign w:val="bottom"/>
          </w:tcPr>
          <w:p>
            <w:pPr>
              <w:spacing w:after="0"/>
              <w:rPr>
                <w:sz w:val="18"/>
                <w:szCs w:val="18"/>
                <w:color w:val="auto"/>
              </w:rPr>
            </w:pPr>
          </w:p>
        </w:tc>
        <w:tc>
          <w:tcPr>
            <w:tcW w:w="10540" w:type="dxa"/>
            <w:vAlign w:val="bottom"/>
          </w:tcPr>
          <w:p>
            <w:pPr>
              <w:ind w:left="400"/>
              <w:spacing w:after="0"/>
              <w:rPr>
                <w:sz w:val="20"/>
                <w:szCs w:val="20"/>
                <w:color w:val="auto"/>
              </w:rPr>
            </w:pPr>
            <w:r>
              <w:rPr>
                <w:rFonts w:ascii="Arial" w:cs="Arial" w:eastAsia="Arial" w:hAnsi="Arial"/>
                <w:sz w:val="16"/>
                <w:szCs w:val="16"/>
                <w:color w:val="auto"/>
              </w:rPr>
              <w:t>Registrant’s Quarterly Report (File No. 001-32492) on Form 10-Q filed on April 29, 2011).</w:t>
            </w:r>
          </w:p>
        </w:tc>
      </w:tr>
      <w:tr>
        <w:trPr>
          <w:trHeight w:val="298"/>
        </w:trPr>
        <w:tc>
          <w:tcPr>
            <w:tcW w:w="860" w:type="dxa"/>
            <w:vAlign w:val="bottom"/>
          </w:tcPr>
          <w:p>
            <w:pPr>
              <w:spacing w:after="0"/>
              <w:rPr>
                <w:sz w:val="20"/>
                <w:szCs w:val="20"/>
                <w:color w:val="auto"/>
              </w:rPr>
            </w:pPr>
            <w:r>
              <w:rPr>
                <w:rFonts w:ascii="Arial" w:cs="Arial" w:eastAsia="Arial" w:hAnsi="Arial"/>
                <w:sz w:val="16"/>
                <w:szCs w:val="16"/>
                <w:color w:val="auto"/>
              </w:rPr>
              <w:t>10.9</w:t>
            </w:r>
          </w:p>
        </w:tc>
        <w:tc>
          <w:tcPr>
            <w:tcW w:w="10540" w:type="dxa"/>
            <w:vAlign w:val="bottom"/>
          </w:tcPr>
          <w:p>
            <w:pPr>
              <w:ind w:left="400"/>
              <w:spacing w:after="0"/>
              <w:rPr>
                <w:sz w:val="20"/>
                <w:szCs w:val="20"/>
                <w:color w:val="auto"/>
              </w:rPr>
            </w:pPr>
            <w:r>
              <w:rPr>
                <w:rFonts w:ascii="Arial" w:cs="Arial" w:eastAsia="Arial" w:hAnsi="Arial"/>
                <w:sz w:val="16"/>
                <w:szCs w:val="16"/>
                <w:color w:val="auto"/>
                <w:w w:val="96"/>
              </w:rPr>
              <w:t>Occupational Lease, dated as of August 9, 2002, by and among Burford (Stratton) Nominee 1 Limited, Burford (Stratton) Nominee 2 Limited, Burford</w:t>
            </w:r>
          </w:p>
        </w:tc>
      </w:tr>
      <w:tr>
        <w:trPr>
          <w:trHeight w:val="202"/>
        </w:trPr>
        <w:tc>
          <w:tcPr>
            <w:tcW w:w="860" w:type="dxa"/>
            <w:vAlign w:val="bottom"/>
          </w:tcPr>
          <w:p>
            <w:pPr>
              <w:spacing w:after="0"/>
              <w:rPr>
                <w:sz w:val="17"/>
                <w:szCs w:val="17"/>
                <w:color w:val="auto"/>
              </w:rPr>
            </w:pPr>
          </w:p>
        </w:tc>
        <w:tc>
          <w:tcPr>
            <w:tcW w:w="10540" w:type="dxa"/>
            <w:vAlign w:val="bottom"/>
          </w:tcPr>
          <w:p>
            <w:pPr>
              <w:ind w:left="400"/>
              <w:spacing w:after="0"/>
              <w:rPr>
                <w:sz w:val="20"/>
                <w:szCs w:val="20"/>
                <w:color w:val="auto"/>
              </w:rPr>
            </w:pPr>
            <w:r>
              <w:rPr>
                <w:rFonts w:ascii="Arial" w:cs="Arial" w:eastAsia="Arial" w:hAnsi="Arial"/>
                <w:sz w:val="16"/>
                <w:szCs w:val="16"/>
                <w:color w:val="auto"/>
              </w:rPr>
              <w:t>(Stratton) Limited, Lazard &amp; Co., Limited and Lazard LLC (incorporated by reference to Exhibit 10.21 to the Registrant’s Registration Statement</w:t>
            </w:r>
          </w:p>
        </w:tc>
      </w:tr>
      <w:tr>
        <w:trPr>
          <w:trHeight w:val="209"/>
        </w:trPr>
        <w:tc>
          <w:tcPr>
            <w:tcW w:w="860" w:type="dxa"/>
            <w:vAlign w:val="bottom"/>
          </w:tcPr>
          <w:p>
            <w:pPr>
              <w:spacing w:after="0"/>
              <w:rPr>
                <w:sz w:val="18"/>
                <w:szCs w:val="18"/>
                <w:color w:val="auto"/>
              </w:rPr>
            </w:pPr>
          </w:p>
        </w:tc>
        <w:tc>
          <w:tcPr>
            <w:tcW w:w="10540" w:type="dxa"/>
            <w:vAlign w:val="bottom"/>
          </w:tcPr>
          <w:p>
            <w:pPr>
              <w:ind w:left="400"/>
              <w:spacing w:after="0"/>
              <w:rPr>
                <w:sz w:val="20"/>
                <w:szCs w:val="20"/>
                <w:color w:val="auto"/>
              </w:rPr>
            </w:pPr>
            <w:r>
              <w:rPr>
                <w:rFonts w:ascii="Arial" w:cs="Arial" w:eastAsia="Arial" w:hAnsi="Arial"/>
                <w:sz w:val="16"/>
                <w:szCs w:val="16"/>
                <w:color w:val="auto"/>
              </w:rPr>
              <w:t>(File No. 333-121407) on Form S-1/A filed on February 11, 2005).</w:t>
            </w:r>
          </w:p>
        </w:tc>
      </w:tr>
      <w:tr>
        <w:trPr>
          <w:trHeight w:val="298"/>
        </w:trPr>
        <w:tc>
          <w:tcPr>
            <w:tcW w:w="860" w:type="dxa"/>
            <w:vAlign w:val="bottom"/>
          </w:tcPr>
          <w:p>
            <w:pPr>
              <w:spacing w:after="0"/>
              <w:rPr>
                <w:sz w:val="20"/>
                <w:szCs w:val="20"/>
                <w:color w:val="auto"/>
              </w:rPr>
            </w:pPr>
            <w:r>
              <w:rPr>
                <w:rFonts w:ascii="Arial" w:cs="Arial" w:eastAsia="Arial" w:hAnsi="Arial"/>
                <w:sz w:val="16"/>
                <w:szCs w:val="16"/>
                <w:color w:val="auto"/>
              </w:rPr>
              <w:t>10.10*</w:t>
            </w:r>
          </w:p>
        </w:tc>
        <w:tc>
          <w:tcPr>
            <w:tcW w:w="10540" w:type="dxa"/>
            <w:vAlign w:val="bottom"/>
          </w:tcPr>
          <w:p>
            <w:pPr>
              <w:ind w:left="400"/>
              <w:spacing w:after="0"/>
              <w:rPr>
                <w:sz w:val="20"/>
                <w:szCs w:val="20"/>
                <w:color w:val="auto"/>
              </w:rPr>
            </w:pPr>
            <w:r>
              <w:rPr>
                <w:rFonts w:ascii="Arial" w:cs="Arial" w:eastAsia="Arial" w:hAnsi="Arial"/>
                <w:sz w:val="16"/>
                <w:szCs w:val="16"/>
                <w:color w:val="auto"/>
                <w:w w:val="95"/>
              </w:rPr>
              <w:t>Lazard Ltd 2005 Equity Incentive Plan (incorporated by reference to Exhibit 10.21 to the Registrant’s Registration Statement (File No. 333-121407) on</w:t>
            </w:r>
          </w:p>
        </w:tc>
      </w:tr>
      <w:tr>
        <w:trPr>
          <w:trHeight w:val="209"/>
        </w:trPr>
        <w:tc>
          <w:tcPr>
            <w:tcW w:w="860" w:type="dxa"/>
            <w:vAlign w:val="bottom"/>
          </w:tcPr>
          <w:p>
            <w:pPr>
              <w:spacing w:after="0"/>
              <w:rPr>
                <w:sz w:val="18"/>
                <w:szCs w:val="18"/>
                <w:color w:val="auto"/>
              </w:rPr>
            </w:pPr>
          </w:p>
        </w:tc>
        <w:tc>
          <w:tcPr>
            <w:tcW w:w="10540" w:type="dxa"/>
            <w:vAlign w:val="bottom"/>
          </w:tcPr>
          <w:p>
            <w:pPr>
              <w:ind w:left="400"/>
              <w:spacing w:after="0"/>
              <w:rPr>
                <w:sz w:val="20"/>
                <w:szCs w:val="20"/>
                <w:color w:val="auto"/>
              </w:rPr>
            </w:pPr>
            <w:r>
              <w:rPr>
                <w:rFonts w:ascii="Arial" w:cs="Arial" w:eastAsia="Arial" w:hAnsi="Arial"/>
                <w:sz w:val="16"/>
                <w:szCs w:val="16"/>
                <w:color w:val="auto"/>
              </w:rPr>
              <w:t>Form S-1/A filed on May 2, 2005).</w:t>
            </w:r>
          </w:p>
        </w:tc>
      </w:tr>
      <w:tr>
        <w:trPr>
          <w:trHeight w:val="298"/>
        </w:trPr>
        <w:tc>
          <w:tcPr>
            <w:tcW w:w="860" w:type="dxa"/>
            <w:vAlign w:val="bottom"/>
          </w:tcPr>
          <w:p>
            <w:pPr>
              <w:spacing w:after="0"/>
              <w:rPr>
                <w:sz w:val="20"/>
                <w:szCs w:val="20"/>
                <w:color w:val="auto"/>
              </w:rPr>
            </w:pPr>
            <w:r>
              <w:rPr>
                <w:rFonts w:ascii="Arial" w:cs="Arial" w:eastAsia="Arial" w:hAnsi="Arial"/>
                <w:sz w:val="16"/>
                <w:szCs w:val="16"/>
                <w:color w:val="auto"/>
              </w:rPr>
              <w:t>10.11*</w:t>
            </w:r>
          </w:p>
        </w:tc>
        <w:tc>
          <w:tcPr>
            <w:tcW w:w="10540" w:type="dxa"/>
            <w:vAlign w:val="bottom"/>
          </w:tcPr>
          <w:p>
            <w:pPr>
              <w:ind w:left="400"/>
              <w:spacing w:after="0"/>
              <w:rPr>
                <w:sz w:val="20"/>
                <w:szCs w:val="20"/>
                <w:color w:val="auto"/>
              </w:rPr>
            </w:pPr>
            <w:r>
              <w:rPr>
                <w:rFonts w:ascii="Arial" w:cs="Arial" w:eastAsia="Arial" w:hAnsi="Arial"/>
                <w:sz w:val="16"/>
                <w:szCs w:val="16"/>
                <w:color w:val="auto"/>
                <w:w w:val="95"/>
              </w:rPr>
              <w:t>Lazard Ltd 2008 Incentive Compensation Plan (incorporated by reference to Annex B to the Registrant’s Definitive Proxy Statement on Schedule 14A</w:t>
            </w:r>
          </w:p>
        </w:tc>
      </w:tr>
      <w:tr>
        <w:trPr>
          <w:trHeight w:val="209"/>
        </w:trPr>
        <w:tc>
          <w:tcPr>
            <w:tcW w:w="860" w:type="dxa"/>
            <w:vAlign w:val="bottom"/>
          </w:tcPr>
          <w:p>
            <w:pPr>
              <w:spacing w:after="0"/>
              <w:rPr>
                <w:sz w:val="18"/>
                <w:szCs w:val="18"/>
                <w:color w:val="auto"/>
              </w:rPr>
            </w:pPr>
          </w:p>
        </w:tc>
        <w:tc>
          <w:tcPr>
            <w:tcW w:w="10540" w:type="dxa"/>
            <w:vAlign w:val="bottom"/>
          </w:tcPr>
          <w:p>
            <w:pPr>
              <w:ind w:left="400"/>
              <w:spacing w:after="0"/>
              <w:rPr>
                <w:sz w:val="20"/>
                <w:szCs w:val="20"/>
                <w:color w:val="auto"/>
              </w:rPr>
            </w:pPr>
            <w:r>
              <w:rPr>
                <w:rFonts w:ascii="Arial" w:cs="Arial" w:eastAsia="Arial" w:hAnsi="Arial"/>
                <w:sz w:val="16"/>
                <w:szCs w:val="16"/>
                <w:color w:val="auto"/>
              </w:rPr>
              <w:t>(File No. 001-32492) filed on March 24, 2008).</w:t>
            </w:r>
          </w:p>
        </w:tc>
      </w:tr>
      <w:tr>
        <w:trPr>
          <w:trHeight w:val="298"/>
        </w:trPr>
        <w:tc>
          <w:tcPr>
            <w:tcW w:w="860" w:type="dxa"/>
            <w:vAlign w:val="bottom"/>
          </w:tcPr>
          <w:p>
            <w:pPr>
              <w:spacing w:after="0"/>
              <w:rPr>
                <w:sz w:val="20"/>
                <w:szCs w:val="20"/>
                <w:color w:val="auto"/>
              </w:rPr>
            </w:pPr>
            <w:r>
              <w:rPr>
                <w:rFonts w:ascii="Arial" w:cs="Arial" w:eastAsia="Arial" w:hAnsi="Arial"/>
                <w:sz w:val="16"/>
                <w:szCs w:val="16"/>
                <w:color w:val="auto"/>
              </w:rPr>
              <w:t>10.12*</w:t>
            </w:r>
          </w:p>
        </w:tc>
        <w:tc>
          <w:tcPr>
            <w:tcW w:w="10540" w:type="dxa"/>
            <w:vAlign w:val="bottom"/>
          </w:tcPr>
          <w:p>
            <w:pPr>
              <w:ind w:left="400"/>
              <w:spacing w:after="0"/>
              <w:rPr>
                <w:sz w:val="20"/>
                <w:szCs w:val="20"/>
                <w:color w:val="auto"/>
              </w:rPr>
            </w:pPr>
            <w:r>
              <w:rPr>
                <w:rFonts w:ascii="Arial" w:cs="Arial" w:eastAsia="Arial" w:hAnsi="Arial"/>
                <w:sz w:val="16"/>
                <w:szCs w:val="16"/>
                <w:color w:val="auto"/>
                <w:w w:val="96"/>
              </w:rPr>
              <w:t>2005 Bonus Plan (incorporated by reference to Exhibit 10.23 to the Registrant’s Registration Statement (File No. 333-121407) on Form S-1/A filed on</w:t>
            </w:r>
          </w:p>
        </w:tc>
      </w:tr>
      <w:tr>
        <w:trPr>
          <w:trHeight w:val="209"/>
        </w:trPr>
        <w:tc>
          <w:tcPr>
            <w:tcW w:w="860" w:type="dxa"/>
            <w:vAlign w:val="bottom"/>
          </w:tcPr>
          <w:p>
            <w:pPr>
              <w:spacing w:after="0"/>
              <w:rPr>
                <w:sz w:val="18"/>
                <w:szCs w:val="18"/>
                <w:color w:val="auto"/>
              </w:rPr>
            </w:pPr>
          </w:p>
        </w:tc>
        <w:tc>
          <w:tcPr>
            <w:tcW w:w="10540" w:type="dxa"/>
            <w:vAlign w:val="bottom"/>
          </w:tcPr>
          <w:p>
            <w:pPr>
              <w:ind w:left="400"/>
              <w:spacing w:after="0"/>
              <w:rPr>
                <w:sz w:val="20"/>
                <w:szCs w:val="20"/>
                <w:color w:val="auto"/>
              </w:rPr>
            </w:pPr>
            <w:r>
              <w:rPr>
                <w:rFonts w:ascii="Arial" w:cs="Arial" w:eastAsia="Arial" w:hAnsi="Arial"/>
                <w:sz w:val="16"/>
                <w:szCs w:val="16"/>
                <w:color w:val="auto"/>
              </w:rPr>
              <w:t>March 21, 2005).</w:t>
            </w:r>
          </w:p>
        </w:tc>
      </w:tr>
      <w:tr>
        <w:trPr>
          <w:trHeight w:val="298"/>
        </w:trPr>
        <w:tc>
          <w:tcPr>
            <w:tcW w:w="860" w:type="dxa"/>
            <w:vAlign w:val="bottom"/>
          </w:tcPr>
          <w:p>
            <w:pPr>
              <w:spacing w:after="0"/>
              <w:rPr>
                <w:sz w:val="20"/>
                <w:szCs w:val="20"/>
                <w:color w:val="auto"/>
              </w:rPr>
            </w:pPr>
            <w:r>
              <w:rPr>
                <w:rFonts w:ascii="Arial" w:cs="Arial" w:eastAsia="Arial" w:hAnsi="Arial"/>
                <w:sz w:val="16"/>
                <w:szCs w:val="16"/>
                <w:color w:val="auto"/>
              </w:rPr>
              <w:t>10.13*</w:t>
            </w:r>
          </w:p>
        </w:tc>
        <w:tc>
          <w:tcPr>
            <w:tcW w:w="10540" w:type="dxa"/>
            <w:vAlign w:val="bottom"/>
          </w:tcPr>
          <w:p>
            <w:pPr>
              <w:ind w:left="400"/>
              <w:spacing w:after="0"/>
              <w:rPr>
                <w:sz w:val="20"/>
                <w:szCs w:val="20"/>
                <w:color w:val="auto"/>
              </w:rPr>
            </w:pPr>
            <w:r>
              <w:rPr>
                <w:rFonts w:ascii="Arial" w:cs="Arial" w:eastAsia="Arial" w:hAnsi="Arial"/>
                <w:sz w:val="16"/>
                <w:szCs w:val="16"/>
                <w:color w:val="auto"/>
                <w:w w:val="94"/>
              </w:rPr>
              <w:t>Form of Agreement Relating to Retention and Noncompetition and Other Covenants, dated as of May 4, 2005, applicable to, and related Schedule I for,</w:t>
            </w:r>
          </w:p>
        </w:tc>
      </w:tr>
      <w:tr>
        <w:trPr>
          <w:trHeight w:val="202"/>
        </w:trPr>
        <w:tc>
          <w:tcPr>
            <w:tcW w:w="860" w:type="dxa"/>
            <w:vAlign w:val="bottom"/>
          </w:tcPr>
          <w:p>
            <w:pPr>
              <w:spacing w:after="0"/>
              <w:rPr>
                <w:sz w:val="17"/>
                <w:szCs w:val="17"/>
                <w:color w:val="auto"/>
              </w:rPr>
            </w:pPr>
          </w:p>
        </w:tc>
        <w:tc>
          <w:tcPr>
            <w:tcW w:w="10540" w:type="dxa"/>
            <w:vAlign w:val="bottom"/>
          </w:tcPr>
          <w:p>
            <w:pPr>
              <w:ind w:left="400"/>
              <w:spacing w:after="0"/>
              <w:rPr>
                <w:sz w:val="20"/>
                <w:szCs w:val="20"/>
                <w:color w:val="auto"/>
              </w:rPr>
            </w:pPr>
            <w:r>
              <w:rPr>
                <w:rFonts w:ascii="Arial" w:cs="Arial" w:eastAsia="Arial" w:hAnsi="Arial"/>
                <w:sz w:val="16"/>
                <w:szCs w:val="16"/>
                <w:color w:val="auto"/>
                <w:w w:val="95"/>
              </w:rPr>
              <w:t>Scott D. Hoffman (incorporated by reference to Exhibit 10.26 to the Registrant’s Quarterly Report (File No. 001-32492) on Form 10-Q filed on June 16,</w:t>
            </w:r>
          </w:p>
        </w:tc>
      </w:tr>
      <w:tr>
        <w:trPr>
          <w:trHeight w:val="209"/>
        </w:trPr>
        <w:tc>
          <w:tcPr>
            <w:tcW w:w="860" w:type="dxa"/>
            <w:vAlign w:val="bottom"/>
          </w:tcPr>
          <w:p>
            <w:pPr>
              <w:spacing w:after="0"/>
              <w:rPr>
                <w:sz w:val="18"/>
                <w:szCs w:val="18"/>
                <w:color w:val="auto"/>
              </w:rPr>
            </w:pPr>
          </w:p>
        </w:tc>
        <w:tc>
          <w:tcPr>
            <w:tcW w:w="10540" w:type="dxa"/>
            <w:vAlign w:val="bottom"/>
          </w:tcPr>
          <w:p>
            <w:pPr>
              <w:ind w:left="400"/>
              <w:spacing w:after="0"/>
              <w:rPr>
                <w:sz w:val="20"/>
                <w:szCs w:val="20"/>
                <w:color w:val="auto"/>
              </w:rPr>
            </w:pPr>
            <w:r>
              <w:rPr>
                <w:rFonts w:ascii="Arial" w:cs="Arial" w:eastAsia="Arial" w:hAnsi="Arial"/>
                <w:sz w:val="16"/>
                <w:szCs w:val="16"/>
                <w:color w:val="auto"/>
              </w:rPr>
              <w:t>2005).</w:t>
            </w:r>
          </w:p>
        </w:tc>
      </w:tr>
      <w:tr>
        <w:trPr>
          <w:trHeight w:val="298"/>
        </w:trPr>
        <w:tc>
          <w:tcPr>
            <w:tcW w:w="860" w:type="dxa"/>
            <w:vAlign w:val="bottom"/>
          </w:tcPr>
          <w:p>
            <w:pPr>
              <w:spacing w:after="0"/>
              <w:rPr>
                <w:sz w:val="20"/>
                <w:szCs w:val="20"/>
                <w:color w:val="auto"/>
              </w:rPr>
            </w:pPr>
            <w:r>
              <w:rPr>
                <w:rFonts w:ascii="Arial" w:cs="Arial" w:eastAsia="Arial" w:hAnsi="Arial"/>
                <w:sz w:val="16"/>
                <w:szCs w:val="16"/>
                <w:color w:val="auto"/>
              </w:rPr>
              <w:t>10.14*</w:t>
            </w:r>
          </w:p>
        </w:tc>
        <w:tc>
          <w:tcPr>
            <w:tcW w:w="10540" w:type="dxa"/>
            <w:vAlign w:val="bottom"/>
          </w:tcPr>
          <w:p>
            <w:pPr>
              <w:ind w:left="400"/>
              <w:spacing w:after="0"/>
              <w:rPr>
                <w:sz w:val="20"/>
                <w:szCs w:val="20"/>
                <w:color w:val="auto"/>
              </w:rPr>
            </w:pPr>
            <w:r>
              <w:rPr>
                <w:rFonts w:ascii="Arial" w:cs="Arial" w:eastAsia="Arial" w:hAnsi="Arial"/>
                <w:sz w:val="16"/>
                <w:szCs w:val="16"/>
                <w:color w:val="auto"/>
                <w:w w:val="95"/>
              </w:rPr>
              <w:t>Form of First Amendment, dated as of May 7, 2008, to Agreement Relating to Retention and Noncompetition and Other Covenants, dated as of May 4,</w:t>
            </w:r>
          </w:p>
        </w:tc>
      </w:tr>
      <w:tr>
        <w:trPr>
          <w:trHeight w:val="202"/>
        </w:trPr>
        <w:tc>
          <w:tcPr>
            <w:tcW w:w="860" w:type="dxa"/>
            <w:vAlign w:val="bottom"/>
          </w:tcPr>
          <w:p>
            <w:pPr>
              <w:spacing w:after="0"/>
              <w:rPr>
                <w:sz w:val="17"/>
                <w:szCs w:val="17"/>
                <w:color w:val="auto"/>
              </w:rPr>
            </w:pPr>
          </w:p>
        </w:tc>
        <w:tc>
          <w:tcPr>
            <w:tcW w:w="10540" w:type="dxa"/>
            <w:vAlign w:val="bottom"/>
          </w:tcPr>
          <w:p>
            <w:pPr>
              <w:ind w:left="400"/>
              <w:spacing w:after="0"/>
              <w:rPr>
                <w:sz w:val="20"/>
                <w:szCs w:val="20"/>
                <w:color w:val="auto"/>
              </w:rPr>
            </w:pPr>
            <w:r>
              <w:rPr>
                <w:rFonts w:ascii="Arial" w:cs="Arial" w:eastAsia="Arial" w:hAnsi="Arial"/>
                <w:sz w:val="16"/>
                <w:szCs w:val="16"/>
                <w:color w:val="auto"/>
                <w:w w:val="94"/>
              </w:rPr>
              <w:t>2005, for Scott D. Hoffman (incorporated by reference to Exhibit 10.2 to the Registrant’s Current Report on Form 8-K (File No. 001-32492) filed on May</w:t>
            </w:r>
          </w:p>
        </w:tc>
      </w:tr>
      <w:tr>
        <w:trPr>
          <w:trHeight w:val="209"/>
        </w:trPr>
        <w:tc>
          <w:tcPr>
            <w:tcW w:w="860" w:type="dxa"/>
            <w:vAlign w:val="bottom"/>
          </w:tcPr>
          <w:p>
            <w:pPr>
              <w:spacing w:after="0"/>
              <w:rPr>
                <w:sz w:val="18"/>
                <w:szCs w:val="18"/>
                <w:color w:val="auto"/>
              </w:rPr>
            </w:pPr>
          </w:p>
        </w:tc>
        <w:tc>
          <w:tcPr>
            <w:tcW w:w="10540" w:type="dxa"/>
            <w:vAlign w:val="bottom"/>
          </w:tcPr>
          <w:p>
            <w:pPr>
              <w:ind w:left="400"/>
              <w:spacing w:after="0"/>
              <w:rPr>
                <w:sz w:val="20"/>
                <w:szCs w:val="20"/>
                <w:color w:val="auto"/>
              </w:rPr>
            </w:pPr>
            <w:r>
              <w:rPr>
                <w:rFonts w:ascii="Arial" w:cs="Arial" w:eastAsia="Arial" w:hAnsi="Arial"/>
                <w:sz w:val="16"/>
                <w:szCs w:val="16"/>
                <w:color w:val="auto"/>
              </w:rPr>
              <w:t>9, 2008).</w:t>
            </w:r>
          </w:p>
        </w:tc>
      </w:tr>
      <w:tr>
        <w:trPr>
          <w:trHeight w:val="298"/>
        </w:trPr>
        <w:tc>
          <w:tcPr>
            <w:tcW w:w="860" w:type="dxa"/>
            <w:vAlign w:val="bottom"/>
          </w:tcPr>
          <w:p>
            <w:pPr>
              <w:spacing w:after="0"/>
              <w:rPr>
                <w:sz w:val="20"/>
                <w:szCs w:val="20"/>
                <w:color w:val="auto"/>
              </w:rPr>
            </w:pPr>
            <w:r>
              <w:rPr>
                <w:rFonts w:ascii="Arial" w:cs="Arial" w:eastAsia="Arial" w:hAnsi="Arial"/>
                <w:sz w:val="16"/>
                <w:szCs w:val="16"/>
                <w:color w:val="auto"/>
              </w:rPr>
              <w:t>10.15*</w:t>
            </w:r>
          </w:p>
        </w:tc>
        <w:tc>
          <w:tcPr>
            <w:tcW w:w="10540" w:type="dxa"/>
            <w:vAlign w:val="bottom"/>
          </w:tcPr>
          <w:p>
            <w:pPr>
              <w:ind w:left="400"/>
              <w:spacing w:after="0"/>
              <w:rPr>
                <w:sz w:val="20"/>
                <w:szCs w:val="20"/>
                <w:color w:val="auto"/>
              </w:rPr>
            </w:pPr>
            <w:r>
              <w:rPr>
                <w:rFonts w:ascii="Arial" w:cs="Arial" w:eastAsia="Arial" w:hAnsi="Arial"/>
                <w:sz w:val="16"/>
                <w:szCs w:val="16"/>
                <w:color w:val="auto"/>
                <w:w w:val="93"/>
              </w:rPr>
              <w:t>Amendment, dated as of February 23, 2011, to the Agreement Relating to Retention and Noncompetition and Other Covenants, dated as of May 4, 2005</w:t>
            </w:r>
          </w:p>
        </w:tc>
      </w:tr>
      <w:tr>
        <w:trPr>
          <w:trHeight w:val="202"/>
        </w:trPr>
        <w:tc>
          <w:tcPr>
            <w:tcW w:w="860" w:type="dxa"/>
            <w:vAlign w:val="bottom"/>
          </w:tcPr>
          <w:p>
            <w:pPr>
              <w:spacing w:after="0"/>
              <w:rPr>
                <w:sz w:val="17"/>
                <w:szCs w:val="17"/>
                <w:color w:val="auto"/>
              </w:rPr>
            </w:pPr>
          </w:p>
        </w:tc>
        <w:tc>
          <w:tcPr>
            <w:tcW w:w="10540" w:type="dxa"/>
            <w:vAlign w:val="bottom"/>
          </w:tcPr>
          <w:p>
            <w:pPr>
              <w:ind w:left="400"/>
              <w:spacing w:after="0"/>
              <w:rPr>
                <w:sz w:val="20"/>
                <w:szCs w:val="20"/>
                <w:color w:val="auto"/>
              </w:rPr>
            </w:pPr>
            <w:r>
              <w:rPr>
                <w:rFonts w:ascii="Arial" w:cs="Arial" w:eastAsia="Arial" w:hAnsi="Arial"/>
                <w:sz w:val="16"/>
                <w:szCs w:val="16"/>
                <w:color w:val="auto"/>
                <w:w w:val="96"/>
              </w:rPr>
              <w:t>and amended as of May 7, 2008, for Scott D. Hoffman (incorporated by reference to Exhibit 10.25 to the Registrant’s Quarterly Report (File No. 001-</w:t>
            </w:r>
          </w:p>
        </w:tc>
      </w:tr>
      <w:tr>
        <w:trPr>
          <w:trHeight w:val="209"/>
        </w:trPr>
        <w:tc>
          <w:tcPr>
            <w:tcW w:w="860" w:type="dxa"/>
            <w:vAlign w:val="bottom"/>
          </w:tcPr>
          <w:p>
            <w:pPr>
              <w:spacing w:after="0"/>
              <w:rPr>
                <w:sz w:val="18"/>
                <w:szCs w:val="18"/>
                <w:color w:val="auto"/>
              </w:rPr>
            </w:pPr>
          </w:p>
        </w:tc>
        <w:tc>
          <w:tcPr>
            <w:tcW w:w="10540" w:type="dxa"/>
            <w:vAlign w:val="bottom"/>
          </w:tcPr>
          <w:p>
            <w:pPr>
              <w:ind w:left="400"/>
              <w:spacing w:after="0"/>
              <w:rPr>
                <w:sz w:val="20"/>
                <w:szCs w:val="20"/>
                <w:color w:val="auto"/>
              </w:rPr>
            </w:pPr>
            <w:r>
              <w:rPr>
                <w:rFonts w:ascii="Arial" w:cs="Arial" w:eastAsia="Arial" w:hAnsi="Arial"/>
                <w:sz w:val="16"/>
                <w:szCs w:val="16"/>
                <w:color w:val="auto"/>
              </w:rPr>
              <w:t>32492) on Form 10-Q filed on April 29, 2011).</w:t>
            </w:r>
          </w:p>
        </w:tc>
      </w:tr>
      <w:tr>
        <w:trPr>
          <w:trHeight w:val="298"/>
        </w:trPr>
        <w:tc>
          <w:tcPr>
            <w:tcW w:w="860" w:type="dxa"/>
            <w:vAlign w:val="bottom"/>
          </w:tcPr>
          <w:p>
            <w:pPr>
              <w:spacing w:after="0"/>
              <w:rPr>
                <w:sz w:val="20"/>
                <w:szCs w:val="20"/>
                <w:color w:val="auto"/>
              </w:rPr>
            </w:pPr>
            <w:r>
              <w:rPr>
                <w:rFonts w:ascii="Arial" w:cs="Arial" w:eastAsia="Arial" w:hAnsi="Arial"/>
                <w:sz w:val="16"/>
                <w:szCs w:val="16"/>
                <w:color w:val="auto"/>
              </w:rPr>
              <w:t>10.16*</w:t>
            </w:r>
          </w:p>
        </w:tc>
        <w:tc>
          <w:tcPr>
            <w:tcW w:w="10540" w:type="dxa"/>
            <w:vAlign w:val="bottom"/>
          </w:tcPr>
          <w:p>
            <w:pPr>
              <w:ind w:left="400"/>
              <w:spacing w:after="0"/>
              <w:rPr>
                <w:sz w:val="20"/>
                <w:szCs w:val="20"/>
                <w:color w:val="auto"/>
              </w:rPr>
            </w:pPr>
            <w:r>
              <w:rPr>
                <w:rFonts w:ascii="Arial" w:cs="Arial" w:eastAsia="Arial" w:hAnsi="Arial"/>
                <w:sz w:val="16"/>
                <w:szCs w:val="16"/>
                <w:color w:val="auto"/>
                <w:w w:val="97"/>
              </w:rPr>
              <w:t>Form of Agreement Relating to Retention and Noncompetition and Other Covenants (incorporated by reference to Exhibit 10.27 to the Registrant’s</w:t>
            </w:r>
          </w:p>
        </w:tc>
      </w:tr>
      <w:tr>
        <w:trPr>
          <w:trHeight w:val="209"/>
        </w:trPr>
        <w:tc>
          <w:tcPr>
            <w:tcW w:w="860" w:type="dxa"/>
            <w:vAlign w:val="bottom"/>
          </w:tcPr>
          <w:p>
            <w:pPr>
              <w:spacing w:after="0"/>
              <w:rPr>
                <w:sz w:val="18"/>
                <w:szCs w:val="18"/>
                <w:color w:val="auto"/>
              </w:rPr>
            </w:pPr>
          </w:p>
        </w:tc>
        <w:tc>
          <w:tcPr>
            <w:tcW w:w="10540" w:type="dxa"/>
            <w:vAlign w:val="bottom"/>
          </w:tcPr>
          <w:p>
            <w:pPr>
              <w:ind w:left="400"/>
              <w:spacing w:after="0"/>
              <w:rPr>
                <w:sz w:val="20"/>
                <w:szCs w:val="20"/>
                <w:color w:val="auto"/>
              </w:rPr>
            </w:pPr>
            <w:r>
              <w:rPr>
                <w:rFonts w:ascii="Arial" w:cs="Arial" w:eastAsia="Arial" w:hAnsi="Arial"/>
                <w:sz w:val="16"/>
                <w:szCs w:val="16"/>
                <w:color w:val="auto"/>
              </w:rPr>
              <w:t>Registration Statement (File No. 333-121407) on Form S-1/A filed on April 11, 2005).</w:t>
            </w:r>
          </w:p>
        </w:tc>
      </w:tr>
      <w:tr>
        <w:trPr>
          <w:trHeight w:val="298"/>
        </w:trPr>
        <w:tc>
          <w:tcPr>
            <w:tcW w:w="860" w:type="dxa"/>
            <w:vAlign w:val="bottom"/>
          </w:tcPr>
          <w:p>
            <w:pPr>
              <w:spacing w:after="0"/>
              <w:rPr>
                <w:sz w:val="20"/>
                <w:szCs w:val="20"/>
                <w:color w:val="auto"/>
              </w:rPr>
            </w:pPr>
            <w:r>
              <w:rPr>
                <w:rFonts w:ascii="Arial" w:cs="Arial" w:eastAsia="Arial" w:hAnsi="Arial"/>
                <w:sz w:val="16"/>
                <w:szCs w:val="16"/>
                <w:color w:val="auto"/>
              </w:rPr>
              <w:t>10.17*</w:t>
            </w:r>
          </w:p>
        </w:tc>
        <w:tc>
          <w:tcPr>
            <w:tcW w:w="10540" w:type="dxa"/>
            <w:vAlign w:val="bottom"/>
          </w:tcPr>
          <w:p>
            <w:pPr>
              <w:ind w:left="400"/>
              <w:spacing w:after="0"/>
              <w:rPr>
                <w:sz w:val="20"/>
                <w:szCs w:val="20"/>
                <w:color w:val="auto"/>
              </w:rPr>
            </w:pPr>
            <w:r>
              <w:rPr>
                <w:rFonts w:ascii="Arial" w:cs="Arial" w:eastAsia="Arial" w:hAnsi="Arial"/>
                <w:sz w:val="16"/>
                <w:szCs w:val="16"/>
                <w:color w:val="auto"/>
                <w:w w:val="98"/>
              </w:rPr>
              <w:t>Agreement Relating to Retention and Noncompetition and Other Covenants, dated as of October 4, 2004, by and between Lazard Group LLC and</w:t>
            </w:r>
          </w:p>
        </w:tc>
      </w:tr>
      <w:tr>
        <w:trPr>
          <w:trHeight w:val="202"/>
        </w:trPr>
        <w:tc>
          <w:tcPr>
            <w:tcW w:w="860" w:type="dxa"/>
            <w:vAlign w:val="bottom"/>
          </w:tcPr>
          <w:p>
            <w:pPr>
              <w:spacing w:after="0"/>
              <w:rPr>
                <w:sz w:val="17"/>
                <w:szCs w:val="17"/>
                <w:color w:val="auto"/>
              </w:rPr>
            </w:pPr>
          </w:p>
        </w:tc>
        <w:tc>
          <w:tcPr>
            <w:tcW w:w="10540" w:type="dxa"/>
            <w:vAlign w:val="bottom"/>
          </w:tcPr>
          <w:p>
            <w:pPr>
              <w:ind w:left="400"/>
              <w:spacing w:after="0"/>
              <w:rPr>
                <w:sz w:val="20"/>
                <w:szCs w:val="20"/>
                <w:color w:val="auto"/>
              </w:rPr>
            </w:pPr>
            <w:r>
              <w:rPr>
                <w:rFonts w:ascii="Arial" w:cs="Arial" w:eastAsia="Arial" w:hAnsi="Arial"/>
                <w:sz w:val="16"/>
                <w:szCs w:val="16"/>
                <w:color w:val="auto"/>
                <w:w w:val="95"/>
              </w:rPr>
              <w:t>Alexander F. Stern (incorporated by reference to Exhibit 10.28 to the Registrant’s Annual Report (File No. 001-32492) on Form 10-K filed on March 2,</w:t>
            </w:r>
          </w:p>
        </w:tc>
      </w:tr>
      <w:tr>
        <w:trPr>
          <w:trHeight w:val="209"/>
        </w:trPr>
        <w:tc>
          <w:tcPr>
            <w:tcW w:w="860" w:type="dxa"/>
            <w:vAlign w:val="bottom"/>
          </w:tcPr>
          <w:p>
            <w:pPr>
              <w:spacing w:after="0"/>
              <w:rPr>
                <w:sz w:val="18"/>
                <w:szCs w:val="18"/>
                <w:color w:val="auto"/>
              </w:rPr>
            </w:pPr>
          </w:p>
        </w:tc>
        <w:tc>
          <w:tcPr>
            <w:tcW w:w="10540" w:type="dxa"/>
            <w:vAlign w:val="bottom"/>
          </w:tcPr>
          <w:p>
            <w:pPr>
              <w:ind w:left="400"/>
              <w:spacing w:after="0"/>
              <w:rPr>
                <w:sz w:val="20"/>
                <w:szCs w:val="20"/>
                <w:color w:val="auto"/>
              </w:rPr>
            </w:pPr>
            <w:r>
              <w:rPr>
                <w:rFonts w:ascii="Arial" w:cs="Arial" w:eastAsia="Arial" w:hAnsi="Arial"/>
                <w:sz w:val="16"/>
                <w:szCs w:val="16"/>
                <w:color w:val="auto"/>
              </w:rPr>
              <w:t>2009).</w:t>
            </w:r>
          </w:p>
        </w:tc>
      </w:tr>
      <w:tr>
        <w:trPr>
          <w:trHeight w:val="342"/>
        </w:trPr>
        <w:tc>
          <w:tcPr>
            <w:tcW w:w="860" w:type="dxa"/>
            <w:vAlign w:val="bottom"/>
          </w:tcPr>
          <w:p>
            <w:pPr>
              <w:spacing w:after="0"/>
              <w:rPr>
                <w:sz w:val="24"/>
                <w:szCs w:val="24"/>
                <w:color w:val="auto"/>
              </w:rPr>
            </w:pPr>
          </w:p>
        </w:tc>
        <w:tc>
          <w:tcPr>
            <w:tcW w:w="10540" w:type="dxa"/>
            <w:vAlign w:val="bottom"/>
          </w:tcPr>
          <w:p>
            <w:pPr>
              <w:ind w:left="4780"/>
              <w:spacing w:after="0"/>
              <w:rPr>
                <w:sz w:val="20"/>
                <w:szCs w:val="20"/>
                <w:color w:val="auto"/>
              </w:rPr>
            </w:pPr>
            <w:r>
              <w:rPr>
                <w:rFonts w:ascii="Arial" w:cs="Arial" w:eastAsia="Arial" w:hAnsi="Arial"/>
                <w:sz w:val="16"/>
                <w:szCs w:val="16"/>
                <w:color w:val="auto"/>
              </w:rPr>
              <w:t>82</w:t>
            </w:r>
          </w:p>
        </w:tc>
      </w:tr>
    </w:tbl>
    <w:p>
      <w:pPr>
        <w:sectPr>
          <w:pgSz w:w="11900" w:h="16838" w:orient="portrait"/>
          <w:cols w:equalWidth="0" w:num="1">
            <w:col w:w="11400"/>
          </w:cols>
          <w:pgMar w:left="240" w:top="440" w:right="259" w:bottom="1440" w:gutter="0" w:footer="0" w:header="0"/>
        </w:sectPr>
      </w:pPr>
    </w:p>
    <w:bookmarkStart w:id="84" w:name="page85"/>
    <w:bookmarkEnd w:id="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60" w:type="dxa"/>
            <w:vAlign w:val="bottom"/>
          </w:tcPr>
          <w:p>
            <w:pPr>
              <w:spacing w:after="0"/>
              <w:rPr>
                <w:sz w:val="20"/>
                <w:szCs w:val="20"/>
                <w:color w:val="auto"/>
              </w:rPr>
            </w:pPr>
            <w:r>
              <w:rPr>
                <w:rFonts w:ascii="Arial" w:cs="Arial" w:eastAsia="Arial" w:hAnsi="Arial"/>
                <w:sz w:val="16"/>
                <w:szCs w:val="16"/>
                <w:color w:val="auto"/>
              </w:rPr>
              <w:t>10.18*</w:t>
            </w:r>
          </w:p>
        </w:tc>
        <w:tc>
          <w:tcPr>
            <w:tcW w:w="10540" w:type="dxa"/>
            <w:vAlign w:val="bottom"/>
          </w:tcPr>
          <w:p>
            <w:pPr>
              <w:ind w:left="400"/>
              <w:spacing w:after="0"/>
              <w:rPr>
                <w:sz w:val="20"/>
                <w:szCs w:val="20"/>
                <w:color w:val="auto"/>
              </w:rPr>
            </w:pPr>
            <w:r>
              <w:rPr>
                <w:rFonts w:ascii="Arial" w:cs="Arial" w:eastAsia="Arial" w:hAnsi="Arial"/>
                <w:sz w:val="16"/>
                <w:szCs w:val="16"/>
                <w:color w:val="auto"/>
                <w:w w:val="93"/>
              </w:rPr>
              <w:t>First Amendment, dated as of March 23, 2010, to the Agreement Relating to Retention and Noncompetition and Other Covenants, dated as of October 4,</w:t>
            </w:r>
          </w:p>
        </w:tc>
      </w:tr>
      <w:tr>
        <w:trPr>
          <w:trHeight w:val="202"/>
        </w:trPr>
        <w:tc>
          <w:tcPr>
            <w:tcW w:w="860" w:type="dxa"/>
            <w:vAlign w:val="bottom"/>
          </w:tcPr>
          <w:p>
            <w:pPr>
              <w:spacing w:after="0"/>
              <w:rPr>
                <w:sz w:val="17"/>
                <w:szCs w:val="17"/>
                <w:color w:val="auto"/>
              </w:rPr>
            </w:pPr>
          </w:p>
        </w:tc>
        <w:tc>
          <w:tcPr>
            <w:tcW w:w="10540" w:type="dxa"/>
            <w:vAlign w:val="bottom"/>
          </w:tcPr>
          <w:p>
            <w:pPr>
              <w:ind w:left="400"/>
              <w:spacing w:after="0"/>
              <w:rPr>
                <w:sz w:val="20"/>
                <w:szCs w:val="20"/>
                <w:color w:val="auto"/>
              </w:rPr>
            </w:pPr>
            <w:r>
              <w:rPr>
                <w:rFonts w:ascii="Arial" w:cs="Arial" w:eastAsia="Arial" w:hAnsi="Arial"/>
                <w:sz w:val="16"/>
                <w:szCs w:val="16"/>
                <w:color w:val="auto"/>
                <w:w w:val="96"/>
              </w:rPr>
              <w:t>2004, with Alexander F. Stern (incorporated by reference to Exhibit 10.2 to the Registrant’s Current Report on Form 8-K (File No. 001-32492) filed on</w:t>
            </w:r>
          </w:p>
        </w:tc>
      </w:tr>
      <w:tr>
        <w:trPr>
          <w:trHeight w:val="209"/>
        </w:trPr>
        <w:tc>
          <w:tcPr>
            <w:tcW w:w="860" w:type="dxa"/>
            <w:vAlign w:val="bottom"/>
          </w:tcPr>
          <w:p>
            <w:pPr>
              <w:spacing w:after="0"/>
              <w:rPr>
                <w:sz w:val="18"/>
                <w:szCs w:val="18"/>
                <w:color w:val="auto"/>
              </w:rPr>
            </w:pPr>
          </w:p>
        </w:tc>
        <w:tc>
          <w:tcPr>
            <w:tcW w:w="10540" w:type="dxa"/>
            <w:vAlign w:val="bottom"/>
          </w:tcPr>
          <w:p>
            <w:pPr>
              <w:ind w:left="400"/>
              <w:spacing w:after="0"/>
              <w:rPr>
                <w:sz w:val="20"/>
                <w:szCs w:val="20"/>
                <w:color w:val="auto"/>
              </w:rPr>
            </w:pPr>
            <w:r>
              <w:rPr>
                <w:rFonts w:ascii="Arial" w:cs="Arial" w:eastAsia="Arial" w:hAnsi="Arial"/>
                <w:sz w:val="16"/>
                <w:szCs w:val="16"/>
                <w:color w:val="auto"/>
              </w:rPr>
              <w:t>March 23, 2010).</w:t>
            </w:r>
          </w:p>
        </w:tc>
      </w:tr>
      <w:tr>
        <w:trPr>
          <w:trHeight w:val="298"/>
        </w:trPr>
        <w:tc>
          <w:tcPr>
            <w:tcW w:w="860" w:type="dxa"/>
            <w:vAlign w:val="bottom"/>
          </w:tcPr>
          <w:p>
            <w:pPr>
              <w:spacing w:after="0"/>
              <w:rPr>
                <w:sz w:val="20"/>
                <w:szCs w:val="20"/>
                <w:color w:val="auto"/>
              </w:rPr>
            </w:pPr>
            <w:r>
              <w:rPr>
                <w:rFonts w:ascii="Arial" w:cs="Arial" w:eastAsia="Arial" w:hAnsi="Arial"/>
                <w:sz w:val="16"/>
                <w:szCs w:val="16"/>
                <w:color w:val="auto"/>
              </w:rPr>
              <w:t>10.19*</w:t>
            </w:r>
          </w:p>
        </w:tc>
        <w:tc>
          <w:tcPr>
            <w:tcW w:w="10540" w:type="dxa"/>
            <w:vAlign w:val="bottom"/>
          </w:tcPr>
          <w:p>
            <w:pPr>
              <w:ind w:left="400"/>
              <w:spacing w:after="0"/>
              <w:rPr>
                <w:sz w:val="20"/>
                <w:szCs w:val="20"/>
                <w:color w:val="auto"/>
              </w:rPr>
            </w:pPr>
            <w:r>
              <w:rPr>
                <w:rFonts w:ascii="Arial" w:cs="Arial" w:eastAsia="Arial" w:hAnsi="Arial"/>
                <w:sz w:val="16"/>
                <w:szCs w:val="16"/>
                <w:color w:val="auto"/>
                <w:w w:val="98"/>
              </w:rPr>
              <w:t>Agreement Relating to Retention and Noncompetition and Other Covenants, dated as of March 18, 2005, by and between Lazard Group LLC and</w:t>
            </w:r>
          </w:p>
        </w:tc>
      </w:tr>
      <w:tr>
        <w:trPr>
          <w:trHeight w:val="202"/>
        </w:trPr>
        <w:tc>
          <w:tcPr>
            <w:tcW w:w="860" w:type="dxa"/>
            <w:vAlign w:val="bottom"/>
          </w:tcPr>
          <w:p>
            <w:pPr>
              <w:spacing w:after="0"/>
              <w:rPr>
                <w:sz w:val="17"/>
                <w:szCs w:val="17"/>
                <w:color w:val="auto"/>
              </w:rPr>
            </w:pPr>
          </w:p>
        </w:tc>
        <w:tc>
          <w:tcPr>
            <w:tcW w:w="10540" w:type="dxa"/>
            <w:vAlign w:val="bottom"/>
          </w:tcPr>
          <w:p>
            <w:pPr>
              <w:ind w:left="400"/>
              <w:spacing w:after="0"/>
              <w:rPr>
                <w:sz w:val="20"/>
                <w:szCs w:val="20"/>
                <w:color w:val="auto"/>
              </w:rPr>
            </w:pPr>
            <w:r>
              <w:rPr>
                <w:rFonts w:ascii="Arial" w:cs="Arial" w:eastAsia="Arial" w:hAnsi="Arial"/>
                <w:sz w:val="16"/>
                <w:szCs w:val="16"/>
                <w:color w:val="auto"/>
                <w:w w:val="95"/>
              </w:rPr>
              <w:t>Kenneth M. Jacobs (incorporated by reference to Exhibit 10.29 to the Registrant’s Annual Report on Form 10-K (File No. 001-32492) filed on March 1,</w:t>
            </w:r>
          </w:p>
        </w:tc>
      </w:tr>
      <w:tr>
        <w:trPr>
          <w:trHeight w:val="209"/>
        </w:trPr>
        <w:tc>
          <w:tcPr>
            <w:tcW w:w="860" w:type="dxa"/>
            <w:vAlign w:val="bottom"/>
          </w:tcPr>
          <w:p>
            <w:pPr>
              <w:spacing w:after="0"/>
              <w:rPr>
                <w:sz w:val="18"/>
                <w:szCs w:val="18"/>
                <w:color w:val="auto"/>
              </w:rPr>
            </w:pPr>
          </w:p>
        </w:tc>
        <w:tc>
          <w:tcPr>
            <w:tcW w:w="10540" w:type="dxa"/>
            <w:vAlign w:val="bottom"/>
          </w:tcPr>
          <w:p>
            <w:pPr>
              <w:ind w:left="400"/>
              <w:spacing w:after="0"/>
              <w:rPr>
                <w:sz w:val="20"/>
                <w:szCs w:val="20"/>
                <w:color w:val="auto"/>
              </w:rPr>
            </w:pPr>
            <w:r>
              <w:rPr>
                <w:rFonts w:ascii="Arial" w:cs="Arial" w:eastAsia="Arial" w:hAnsi="Arial"/>
                <w:sz w:val="16"/>
                <w:szCs w:val="16"/>
                <w:color w:val="auto"/>
              </w:rPr>
              <w:t>2010).</w:t>
            </w:r>
          </w:p>
        </w:tc>
      </w:tr>
      <w:tr>
        <w:trPr>
          <w:trHeight w:val="298"/>
        </w:trPr>
        <w:tc>
          <w:tcPr>
            <w:tcW w:w="860" w:type="dxa"/>
            <w:vAlign w:val="bottom"/>
          </w:tcPr>
          <w:p>
            <w:pPr>
              <w:spacing w:after="0"/>
              <w:rPr>
                <w:sz w:val="20"/>
                <w:szCs w:val="20"/>
                <w:color w:val="auto"/>
              </w:rPr>
            </w:pPr>
            <w:r>
              <w:rPr>
                <w:rFonts w:ascii="Arial" w:cs="Arial" w:eastAsia="Arial" w:hAnsi="Arial"/>
                <w:sz w:val="16"/>
                <w:szCs w:val="16"/>
                <w:color w:val="auto"/>
              </w:rPr>
              <w:t>10.20*</w:t>
            </w:r>
          </w:p>
        </w:tc>
        <w:tc>
          <w:tcPr>
            <w:tcW w:w="10540" w:type="dxa"/>
            <w:vAlign w:val="bottom"/>
          </w:tcPr>
          <w:p>
            <w:pPr>
              <w:ind w:left="400"/>
              <w:spacing w:after="0"/>
              <w:rPr>
                <w:sz w:val="20"/>
                <w:szCs w:val="20"/>
                <w:color w:val="auto"/>
              </w:rPr>
            </w:pPr>
            <w:r>
              <w:rPr>
                <w:rFonts w:ascii="Arial" w:cs="Arial" w:eastAsia="Arial" w:hAnsi="Arial"/>
                <w:sz w:val="16"/>
                <w:szCs w:val="16"/>
                <w:color w:val="auto"/>
                <w:w w:val="93"/>
              </w:rPr>
              <w:t>First Amendment, dated as of March 23, 2010, to the Agreement Relating to Retention and Noncompetition and Other Covenants, dated as of March 18,</w:t>
            </w:r>
          </w:p>
        </w:tc>
      </w:tr>
      <w:tr>
        <w:trPr>
          <w:trHeight w:val="202"/>
        </w:trPr>
        <w:tc>
          <w:tcPr>
            <w:tcW w:w="860" w:type="dxa"/>
            <w:vAlign w:val="bottom"/>
          </w:tcPr>
          <w:p>
            <w:pPr>
              <w:spacing w:after="0"/>
              <w:rPr>
                <w:sz w:val="17"/>
                <w:szCs w:val="17"/>
                <w:color w:val="auto"/>
              </w:rPr>
            </w:pPr>
          </w:p>
        </w:tc>
        <w:tc>
          <w:tcPr>
            <w:tcW w:w="10540" w:type="dxa"/>
            <w:vAlign w:val="bottom"/>
          </w:tcPr>
          <w:p>
            <w:pPr>
              <w:ind w:left="400"/>
              <w:spacing w:after="0"/>
              <w:rPr>
                <w:sz w:val="20"/>
                <w:szCs w:val="20"/>
                <w:color w:val="auto"/>
              </w:rPr>
            </w:pPr>
            <w:r>
              <w:rPr>
                <w:rFonts w:ascii="Arial" w:cs="Arial" w:eastAsia="Arial" w:hAnsi="Arial"/>
                <w:sz w:val="16"/>
                <w:szCs w:val="16"/>
                <w:color w:val="auto"/>
                <w:w w:val="95"/>
              </w:rPr>
              <w:t>2005, with Kenneth M. Jacobs (incorporated by reference to Exhibit 10.1 to the Registrant’s Current Report on Form 8-K (File No. 001-32492) field on</w:t>
            </w:r>
          </w:p>
        </w:tc>
      </w:tr>
      <w:tr>
        <w:trPr>
          <w:trHeight w:val="209"/>
        </w:trPr>
        <w:tc>
          <w:tcPr>
            <w:tcW w:w="860" w:type="dxa"/>
            <w:vAlign w:val="bottom"/>
          </w:tcPr>
          <w:p>
            <w:pPr>
              <w:spacing w:after="0"/>
              <w:rPr>
                <w:sz w:val="18"/>
                <w:szCs w:val="18"/>
                <w:color w:val="auto"/>
              </w:rPr>
            </w:pPr>
          </w:p>
        </w:tc>
        <w:tc>
          <w:tcPr>
            <w:tcW w:w="10540" w:type="dxa"/>
            <w:vAlign w:val="bottom"/>
          </w:tcPr>
          <w:p>
            <w:pPr>
              <w:ind w:left="400"/>
              <w:spacing w:after="0"/>
              <w:rPr>
                <w:sz w:val="20"/>
                <w:szCs w:val="20"/>
                <w:color w:val="auto"/>
              </w:rPr>
            </w:pPr>
            <w:r>
              <w:rPr>
                <w:rFonts w:ascii="Arial" w:cs="Arial" w:eastAsia="Arial" w:hAnsi="Arial"/>
                <w:sz w:val="16"/>
                <w:szCs w:val="16"/>
                <w:color w:val="auto"/>
              </w:rPr>
              <w:t>March 23, 2010).</w:t>
            </w:r>
          </w:p>
        </w:tc>
      </w:tr>
      <w:tr>
        <w:trPr>
          <w:trHeight w:val="298"/>
        </w:trPr>
        <w:tc>
          <w:tcPr>
            <w:tcW w:w="860" w:type="dxa"/>
            <w:vAlign w:val="bottom"/>
          </w:tcPr>
          <w:p>
            <w:pPr>
              <w:spacing w:after="0"/>
              <w:rPr>
                <w:sz w:val="20"/>
                <w:szCs w:val="20"/>
                <w:color w:val="auto"/>
              </w:rPr>
            </w:pPr>
            <w:r>
              <w:rPr>
                <w:rFonts w:ascii="Arial" w:cs="Arial" w:eastAsia="Arial" w:hAnsi="Arial"/>
                <w:sz w:val="16"/>
                <w:szCs w:val="16"/>
                <w:color w:val="auto"/>
              </w:rPr>
              <w:t>10.21*</w:t>
            </w:r>
          </w:p>
        </w:tc>
        <w:tc>
          <w:tcPr>
            <w:tcW w:w="10540" w:type="dxa"/>
            <w:vAlign w:val="bottom"/>
          </w:tcPr>
          <w:p>
            <w:pPr>
              <w:ind w:left="400"/>
              <w:spacing w:after="0"/>
              <w:rPr>
                <w:sz w:val="20"/>
                <w:szCs w:val="20"/>
                <w:color w:val="auto"/>
              </w:rPr>
            </w:pPr>
            <w:r>
              <w:rPr>
                <w:rFonts w:ascii="Arial" w:cs="Arial" w:eastAsia="Arial" w:hAnsi="Arial"/>
                <w:sz w:val="16"/>
                <w:szCs w:val="16"/>
                <w:color w:val="auto"/>
                <w:w w:val="98"/>
              </w:rPr>
              <w:t>Agreement Relating to Retention and Noncompetition and Other Covenants, dated as of October 4, 2004, by and between Lazard Group LLC and</w:t>
            </w:r>
          </w:p>
        </w:tc>
      </w:tr>
      <w:tr>
        <w:trPr>
          <w:trHeight w:val="202"/>
        </w:trPr>
        <w:tc>
          <w:tcPr>
            <w:tcW w:w="860" w:type="dxa"/>
            <w:vAlign w:val="bottom"/>
          </w:tcPr>
          <w:p>
            <w:pPr>
              <w:spacing w:after="0"/>
              <w:rPr>
                <w:sz w:val="17"/>
                <w:szCs w:val="17"/>
                <w:color w:val="auto"/>
              </w:rPr>
            </w:pPr>
          </w:p>
        </w:tc>
        <w:tc>
          <w:tcPr>
            <w:tcW w:w="10540" w:type="dxa"/>
            <w:vAlign w:val="bottom"/>
          </w:tcPr>
          <w:p>
            <w:pPr>
              <w:ind w:left="400"/>
              <w:spacing w:after="0"/>
              <w:rPr>
                <w:sz w:val="20"/>
                <w:szCs w:val="20"/>
                <w:color w:val="auto"/>
              </w:rPr>
            </w:pPr>
            <w:r>
              <w:rPr>
                <w:rFonts w:ascii="Arial" w:cs="Arial" w:eastAsia="Arial" w:hAnsi="Arial"/>
                <w:sz w:val="16"/>
                <w:szCs w:val="16"/>
                <w:color w:val="auto"/>
                <w:w w:val="95"/>
              </w:rPr>
              <w:t>Matthieu Bucaille (incorporated by reference to Exhibit 10.31 to the Registrant’s Quarterly Report (File No. 001-32492) on Form 10-Q filed on April 29,</w:t>
            </w:r>
          </w:p>
        </w:tc>
      </w:tr>
      <w:tr>
        <w:trPr>
          <w:trHeight w:val="209"/>
        </w:trPr>
        <w:tc>
          <w:tcPr>
            <w:tcW w:w="860" w:type="dxa"/>
            <w:vAlign w:val="bottom"/>
          </w:tcPr>
          <w:p>
            <w:pPr>
              <w:spacing w:after="0"/>
              <w:rPr>
                <w:sz w:val="18"/>
                <w:szCs w:val="18"/>
                <w:color w:val="auto"/>
              </w:rPr>
            </w:pPr>
          </w:p>
        </w:tc>
        <w:tc>
          <w:tcPr>
            <w:tcW w:w="10540" w:type="dxa"/>
            <w:vAlign w:val="bottom"/>
          </w:tcPr>
          <w:p>
            <w:pPr>
              <w:ind w:left="400"/>
              <w:spacing w:after="0"/>
              <w:rPr>
                <w:sz w:val="20"/>
                <w:szCs w:val="20"/>
                <w:color w:val="auto"/>
              </w:rPr>
            </w:pPr>
            <w:r>
              <w:rPr>
                <w:rFonts w:ascii="Arial" w:cs="Arial" w:eastAsia="Arial" w:hAnsi="Arial"/>
                <w:sz w:val="16"/>
                <w:szCs w:val="16"/>
                <w:color w:val="auto"/>
              </w:rPr>
              <w:t>2011).</w:t>
            </w:r>
          </w:p>
        </w:tc>
      </w:tr>
      <w:tr>
        <w:trPr>
          <w:trHeight w:val="298"/>
        </w:trPr>
        <w:tc>
          <w:tcPr>
            <w:tcW w:w="860" w:type="dxa"/>
            <w:vAlign w:val="bottom"/>
          </w:tcPr>
          <w:p>
            <w:pPr>
              <w:spacing w:after="0"/>
              <w:rPr>
                <w:sz w:val="20"/>
                <w:szCs w:val="20"/>
                <w:color w:val="auto"/>
              </w:rPr>
            </w:pPr>
            <w:r>
              <w:rPr>
                <w:rFonts w:ascii="Arial" w:cs="Arial" w:eastAsia="Arial" w:hAnsi="Arial"/>
                <w:sz w:val="16"/>
                <w:szCs w:val="16"/>
                <w:color w:val="auto"/>
              </w:rPr>
              <w:t>10.22*</w:t>
            </w:r>
          </w:p>
        </w:tc>
        <w:tc>
          <w:tcPr>
            <w:tcW w:w="10540" w:type="dxa"/>
            <w:vAlign w:val="bottom"/>
          </w:tcPr>
          <w:p>
            <w:pPr>
              <w:ind w:left="400"/>
              <w:spacing w:after="0"/>
              <w:rPr>
                <w:sz w:val="20"/>
                <w:szCs w:val="20"/>
                <w:color w:val="auto"/>
              </w:rPr>
            </w:pPr>
            <w:r>
              <w:rPr>
                <w:rFonts w:ascii="Arial" w:cs="Arial" w:eastAsia="Arial" w:hAnsi="Arial"/>
                <w:sz w:val="16"/>
                <w:szCs w:val="16"/>
                <w:color w:val="auto"/>
                <w:w w:val="95"/>
              </w:rPr>
              <w:t>First Amendment, dated as of April 1, 2011, to the Agreement Relating to Retention and Noncompetition and Other Covenants, dated as of October 4,</w:t>
            </w:r>
          </w:p>
        </w:tc>
      </w:tr>
      <w:tr>
        <w:trPr>
          <w:trHeight w:val="202"/>
        </w:trPr>
        <w:tc>
          <w:tcPr>
            <w:tcW w:w="860" w:type="dxa"/>
            <w:vAlign w:val="bottom"/>
          </w:tcPr>
          <w:p>
            <w:pPr>
              <w:spacing w:after="0"/>
              <w:rPr>
                <w:sz w:val="17"/>
                <w:szCs w:val="17"/>
                <w:color w:val="auto"/>
              </w:rPr>
            </w:pPr>
          </w:p>
        </w:tc>
        <w:tc>
          <w:tcPr>
            <w:tcW w:w="10540" w:type="dxa"/>
            <w:vAlign w:val="bottom"/>
          </w:tcPr>
          <w:p>
            <w:pPr>
              <w:ind w:left="400"/>
              <w:spacing w:after="0"/>
              <w:rPr>
                <w:sz w:val="20"/>
                <w:szCs w:val="20"/>
                <w:color w:val="auto"/>
              </w:rPr>
            </w:pPr>
            <w:r>
              <w:rPr>
                <w:rFonts w:ascii="Arial" w:cs="Arial" w:eastAsia="Arial" w:hAnsi="Arial"/>
                <w:sz w:val="16"/>
                <w:szCs w:val="16"/>
                <w:color w:val="auto"/>
                <w:w w:val="95"/>
              </w:rPr>
              <w:t>2004, between Lazard Group LLC and Matthieu Bucaille (incorporated by reference to Exhibit 10.32 to the Registrant’s Quarterly Report (File No. 001-</w:t>
            </w:r>
          </w:p>
        </w:tc>
      </w:tr>
      <w:tr>
        <w:trPr>
          <w:trHeight w:val="209"/>
        </w:trPr>
        <w:tc>
          <w:tcPr>
            <w:tcW w:w="860" w:type="dxa"/>
            <w:vAlign w:val="bottom"/>
          </w:tcPr>
          <w:p>
            <w:pPr>
              <w:spacing w:after="0"/>
              <w:rPr>
                <w:sz w:val="18"/>
                <w:szCs w:val="18"/>
                <w:color w:val="auto"/>
              </w:rPr>
            </w:pPr>
          </w:p>
        </w:tc>
        <w:tc>
          <w:tcPr>
            <w:tcW w:w="10540" w:type="dxa"/>
            <w:vAlign w:val="bottom"/>
          </w:tcPr>
          <w:p>
            <w:pPr>
              <w:ind w:left="400"/>
              <w:spacing w:after="0"/>
              <w:rPr>
                <w:sz w:val="20"/>
                <w:szCs w:val="20"/>
                <w:color w:val="auto"/>
              </w:rPr>
            </w:pPr>
            <w:r>
              <w:rPr>
                <w:rFonts w:ascii="Arial" w:cs="Arial" w:eastAsia="Arial" w:hAnsi="Arial"/>
                <w:sz w:val="16"/>
                <w:szCs w:val="16"/>
                <w:color w:val="auto"/>
              </w:rPr>
              <w:t>32492) on Form 10-Q filed on April 29, 2011).</w:t>
            </w:r>
          </w:p>
        </w:tc>
      </w:tr>
      <w:tr>
        <w:trPr>
          <w:trHeight w:val="298"/>
        </w:trPr>
        <w:tc>
          <w:tcPr>
            <w:tcW w:w="860" w:type="dxa"/>
            <w:vAlign w:val="bottom"/>
          </w:tcPr>
          <w:p>
            <w:pPr>
              <w:spacing w:after="0"/>
              <w:rPr>
                <w:sz w:val="20"/>
                <w:szCs w:val="20"/>
                <w:color w:val="auto"/>
              </w:rPr>
            </w:pPr>
            <w:r>
              <w:rPr>
                <w:rFonts w:ascii="Arial" w:cs="Arial" w:eastAsia="Arial" w:hAnsi="Arial"/>
                <w:sz w:val="16"/>
                <w:szCs w:val="16"/>
                <w:color w:val="auto"/>
              </w:rPr>
              <w:t>10.23*</w:t>
            </w:r>
          </w:p>
        </w:tc>
        <w:tc>
          <w:tcPr>
            <w:tcW w:w="10540" w:type="dxa"/>
            <w:vAlign w:val="bottom"/>
          </w:tcPr>
          <w:p>
            <w:pPr>
              <w:ind w:left="400"/>
              <w:spacing w:after="0"/>
              <w:rPr>
                <w:sz w:val="20"/>
                <w:szCs w:val="20"/>
                <w:color w:val="auto"/>
              </w:rPr>
            </w:pPr>
            <w:r>
              <w:rPr>
                <w:rFonts w:ascii="Arial" w:cs="Arial" w:eastAsia="Arial" w:hAnsi="Arial"/>
                <w:sz w:val="16"/>
                <w:szCs w:val="16"/>
                <w:color w:val="auto"/>
                <w:w w:val="97"/>
              </w:rPr>
              <w:t>Description of Non-Executive Director Compensation (incorporated by reference to Exhibit 10.33 to the Registrant’s Quarterly Report (File No. 001-</w:t>
            </w:r>
          </w:p>
        </w:tc>
      </w:tr>
      <w:tr>
        <w:trPr>
          <w:trHeight w:val="209"/>
        </w:trPr>
        <w:tc>
          <w:tcPr>
            <w:tcW w:w="860" w:type="dxa"/>
            <w:vAlign w:val="bottom"/>
          </w:tcPr>
          <w:p>
            <w:pPr>
              <w:spacing w:after="0"/>
              <w:rPr>
                <w:sz w:val="18"/>
                <w:szCs w:val="18"/>
                <w:color w:val="auto"/>
              </w:rPr>
            </w:pPr>
          </w:p>
        </w:tc>
        <w:tc>
          <w:tcPr>
            <w:tcW w:w="10540" w:type="dxa"/>
            <w:vAlign w:val="bottom"/>
          </w:tcPr>
          <w:p>
            <w:pPr>
              <w:ind w:left="400"/>
              <w:spacing w:after="0"/>
              <w:rPr>
                <w:sz w:val="20"/>
                <w:szCs w:val="20"/>
                <w:color w:val="auto"/>
              </w:rPr>
            </w:pPr>
            <w:r>
              <w:rPr>
                <w:rFonts w:ascii="Arial" w:cs="Arial" w:eastAsia="Arial" w:hAnsi="Arial"/>
                <w:sz w:val="16"/>
                <w:szCs w:val="16"/>
                <w:color w:val="auto"/>
              </w:rPr>
              <w:t>32492) on Form 10-Q for the quarter ended June 30, 2005).</w:t>
            </w:r>
          </w:p>
        </w:tc>
      </w:tr>
      <w:tr>
        <w:trPr>
          <w:trHeight w:val="298"/>
        </w:trPr>
        <w:tc>
          <w:tcPr>
            <w:tcW w:w="860" w:type="dxa"/>
            <w:vAlign w:val="bottom"/>
          </w:tcPr>
          <w:p>
            <w:pPr>
              <w:spacing w:after="0"/>
              <w:rPr>
                <w:sz w:val="20"/>
                <w:szCs w:val="20"/>
                <w:color w:val="auto"/>
              </w:rPr>
            </w:pPr>
            <w:r>
              <w:rPr>
                <w:rFonts w:ascii="Arial" w:cs="Arial" w:eastAsia="Arial" w:hAnsi="Arial"/>
                <w:sz w:val="16"/>
                <w:szCs w:val="16"/>
                <w:color w:val="auto"/>
              </w:rPr>
              <w:t>10.24*</w:t>
            </w:r>
          </w:p>
        </w:tc>
        <w:tc>
          <w:tcPr>
            <w:tcW w:w="10540" w:type="dxa"/>
            <w:vAlign w:val="bottom"/>
          </w:tcPr>
          <w:p>
            <w:pPr>
              <w:ind w:left="400"/>
              <w:spacing w:after="0"/>
              <w:rPr>
                <w:sz w:val="20"/>
                <w:szCs w:val="20"/>
                <w:color w:val="auto"/>
              </w:rPr>
            </w:pPr>
            <w:r>
              <w:rPr>
                <w:rFonts w:ascii="Arial" w:cs="Arial" w:eastAsia="Arial" w:hAnsi="Arial"/>
                <w:sz w:val="16"/>
                <w:szCs w:val="16"/>
                <w:color w:val="auto"/>
                <w:w w:val="94"/>
              </w:rPr>
              <w:t>Form of Award Letter for Annual Grant of Deferred Stock Units to Non-Executive Directors (incorporated by reference to Exhibit 99.1 to the Registrant’s</w:t>
            </w:r>
          </w:p>
        </w:tc>
      </w:tr>
      <w:tr>
        <w:trPr>
          <w:trHeight w:val="209"/>
        </w:trPr>
        <w:tc>
          <w:tcPr>
            <w:tcW w:w="860" w:type="dxa"/>
            <w:vAlign w:val="bottom"/>
          </w:tcPr>
          <w:p>
            <w:pPr>
              <w:spacing w:after="0"/>
              <w:rPr>
                <w:sz w:val="18"/>
                <w:szCs w:val="18"/>
                <w:color w:val="auto"/>
              </w:rPr>
            </w:pPr>
          </w:p>
        </w:tc>
        <w:tc>
          <w:tcPr>
            <w:tcW w:w="10540" w:type="dxa"/>
            <w:vAlign w:val="bottom"/>
          </w:tcPr>
          <w:p>
            <w:pPr>
              <w:ind w:left="400"/>
              <w:spacing w:after="0"/>
              <w:rPr>
                <w:sz w:val="20"/>
                <w:szCs w:val="20"/>
                <w:color w:val="auto"/>
              </w:rPr>
            </w:pPr>
            <w:r>
              <w:rPr>
                <w:rFonts w:ascii="Arial" w:cs="Arial" w:eastAsia="Arial" w:hAnsi="Arial"/>
                <w:sz w:val="16"/>
                <w:szCs w:val="16"/>
                <w:color w:val="auto"/>
              </w:rPr>
              <w:t>Current Report on Form 8-K (File No. 001-32492) filed on September 8, 2005).</w:t>
            </w:r>
          </w:p>
        </w:tc>
      </w:tr>
      <w:tr>
        <w:trPr>
          <w:trHeight w:val="298"/>
        </w:trPr>
        <w:tc>
          <w:tcPr>
            <w:tcW w:w="860" w:type="dxa"/>
            <w:vAlign w:val="bottom"/>
          </w:tcPr>
          <w:p>
            <w:pPr>
              <w:spacing w:after="0"/>
              <w:rPr>
                <w:sz w:val="20"/>
                <w:szCs w:val="20"/>
                <w:color w:val="auto"/>
              </w:rPr>
            </w:pPr>
            <w:r>
              <w:rPr>
                <w:rFonts w:ascii="Arial" w:cs="Arial" w:eastAsia="Arial" w:hAnsi="Arial"/>
                <w:sz w:val="16"/>
                <w:szCs w:val="16"/>
                <w:color w:val="auto"/>
              </w:rPr>
              <w:t>10.25*</w:t>
            </w:r>
          </w:p>
        </w:tc>
        <w:tc>
          <w:tcPr>
            <w:tcW w:w="10540" w:type="dxa"/>
            <w:vAlign w:val="bottom"/>
          </w:tcPr>
          <w:p>
            <w:pPr>
              <w:ind w:left="400"/>
              <w:spacing w:after="0"/>
              <w:rPr>
                <w:sz w:val="20"/>
                <w:szCs w:val="20"/>
                <w:color w:val="auto"/>
              </w:rPr>
            </w:pPr>
            <w:r>
              <w:rPr>
                <w:rFonts w:ascii="Arial" w:cs="Arial" w:eastAsia="Arial" w:hAnsi="Arial"/>
                <w:sz w:val="16"/>
                <w:szCs w:val="16"/>
                <w:color w:val="auto"/>
                <w:w w:val="94"/>
              </w:rPr>
              <w:t>Form of Agreement evidencing a grant of Restricted Stock Units to Executive Officers under the Lazard Equity Incentive Plan (incorporated by reference</w:t>
            </w:r>
          </w:p>
        </w:tc>
      </w:tr>
      <w:tr>
        <w:trPr>
          <w:trHeight w:val="209"/>
        </w:trPr>
        <w:tc>
          <w:tcPr>
            <w:tcW w:w="860" w:type="dxa"/>
            <w:vAlign w:val="bottom"/>
          </w:tcPr>
          <w:p>
            <w:pPr>
              <w:spacing w:after="0"/>
              <w:rPr>
                <w:sz w:val="18"/>
                <w:szCs w:val="18"/>
                <w:color w:val="auto"/>
              </w:rPr>
            </w:pPr>
          </w:p>
        </w:tc>
        <w:tc>
          <w:tcPr>
            <w:tcW w:w="10540" w:type="dxa"/>
            <w:vAlign w:val="bottom"/>
          </w:tcPr>
          <w:p>
            <w:pPr>
              <w:ind w:left="400"/>
              <w:spacing w:after="0"/>
              <w:rPr>
                <w:sz w:val="20"/>
                <w:szCs w:val="20"/>
                <w:color w:val="auto"/>
              </w:rPr>
            </w:pPr>
            <w:r>
              <w:rPr>
                <w:rFonts w:ascii="Arial" w:cs="Arial" w:eastAsia="Arial" w:hAnsi="Arial"/>
                <w:sz w:val="16"/>
                <w:szCs w:val="16"/>
                <w:color w:val="auto"/>
              </w:rPr>
              <w:t>to Exhibit 10.1 to the Registrant’s Current Report on Form 8-K (File No. 001-32492) filed on January 26, 2006).</w:t>
            </w:r>
          </w:p>
        </w:tc>
      </w:tr>
      <w:tr>
        <w:trPr>
          <w:trHeight w:val="298"/>
        </w:trPr>
        <w:tc>
          <w:tcPr>
            <w:tcW w:w="860" w:type="dxa"/>
            <w:vAlign w:val="bottom"/>
          </w:tcPr>
          <w:p>
            <w:pPr>
              <w:spacing w:after="0"/>
              <w:rPr>
                <w:sz w:val="20"/>
                <w:szCs w:val="20"/>
                <w:color w:val="auto"/>
              </w:rPr>
            </w:pPr>
            <w:r>
              <w:rPr>
                <w:rFonts w:ascii="Arial" w:cs="Arial" w:eastAsia="Arial" w:hAnsi="Arial"/>
                <w:sz w:val="16"/>
                <w:szCs w:val="16"/>
                <w:color w:val="auto"/>
              </w:rPr>
              <w:t>10.26*</w:t>
            </w:r>
          </w:p>
        </w:tc>
        <w:tc>
          <w:tcPr>
            <w:tcW w:w="10540" w:type="dxa"/>
            <w:vAlign w:val="bottom"/>
          </w:tcPr>
          <w:p>
            <w:pPr>
              <w:ind w:left="400"/>
              <w:spacing w:after="0"/>
              <w:rPr>
                <w:sz w:val="20"/>
                <w:szCs w:val="20"/>
                <w:color w:val="auto"/>
              </w:rPr>
            </w:pPr>
            <w:r>
              <w:rPr>
                <w:rFonts w:ascii="Arial" w:cs="Arial" w:eastAsia="Arial" w:hAnsi="Arial"/>
                <w:sz w:val="16"/>
                <w:szCs w:val="16"/>
                <w:color w:val="auto"/>
                <w:w w:val="96"/>
              </w:rPr>
              <w:t>Form of Agreement evidencing a grant of Restricted Stock Units to Executive Officers under the 2008 Incentive Compensation Plan (incorporated by</w:t>
            </w:r>
          </w:p>
        </w:tc>
      </w:tr>
      <w:tr>
        <w:trPr>
          <w:trHeight w:val="209"/>
        </w:trPr>
        <w:tc>
          <w:tcPr>
            <w:tcW w:w="860" w:type="dxa"/>
            <w:vAlign w:val="bottom"/>
          </w:tcPr>
          <w:p>
            <w:pPr>
              <w:spacing w:after="0"/>
              <w:rPr>
                <w:sz w:val="18"/>
                <w:szCs w:val="18"/>
                <w:color w:val="auto"/>
              </w:rPr>
            </w:pPr>
          </w:p>
        </w:tc>
        <w:tc>
          <w:tcPr>
            <w:tcW w:w="10540" w:type="dxa"/>
            <w:vAlign w:val="bottom"/>
          </w:tcPr>
          <w:p>
            <w:pPr>
              <w:ind w:left="400"/>
              <w:spacing w:after="0"/>
              <w:rPr>
                <w:sz w:val="20"/>
                <w:szCs w:val="20"/>
                <w:color w:val="auto"/>
              </w:rPr>
            </w:pPr>
            <w:r>
              <w:rPr>
                <w:rFonts w:ascii="Arial" w:cs="Arial" w:eastAsia="Arial" w:hAnsi="Arial"/>
                <w:sz w:val="16"/>
                <w:szCs w:val="16"/>
                <w:color w:val="auto"/>
              </w:rPr>
              <w:t>reference to Exhibit 10.41 to the Registrant’s Annual Report (File No. 001-32492) on Form 10-K filed on March 2, 2009).</w:t>
            </w:r>
          </w:p>
        </w:tc>
      </w:tr>
      <w:tr>
        <w:trPr>
          <w:trHeight w:val="298"/>
        </w:trPr>
        <w:tc>
          <w:tcPr>
            <w:tcW w:w="860" w:type="dxa"/>
            <w:vAlign w:val="bottom"/>
          </w:tcPr>
          <w:p>
            <w:pPr>
              <w:spacing w:after="0"/>
              <w:rPr>
                <w:sz w:val="20"/>
                <w:szCs w:val="20"/>
                <w:color w:val="auto"/>
              </w:rPr>
            </w:pPr>
            <w:r>
              <w:rPr>
                <w:rFonts w:ascii="Arial" w:cs="Arial" w:eastAsia="Arial" w:hAnsi="Arial"/>
                <w:sz w:val="16"/>
                <w:szCs w:val="16"/>
                <w:color w:val="auto"/>
              </w:rPr>
              <w:t>10.27*</w:t>
            </w:r>
          </w:p>
        </w:tc>
        <w:tc>
          <w:tcPr>
            <w:tcW w:w="10540" w:type="dxa"/>
            <w:vAlign w:val="bottom"/>
          </w:tcPr>
          <w:p>
            <w:pPr>
              <w:ind w:left="400"/>
              <w:spacing w:after="0"/>
              <w:rPr>
                <w:sz w:val="20"/>
                <w:szCs w:val="20"/>
                <w:color w:val="auto"/>
              </w:rPr>
            </w:pPr>
            <w:r>
              <w:rPr>
                <w:rFonts w:ascii="Arial" w:cs="Arial" w:eastAsia="Arial" w:hAnsi="Arial"/>
                <w:sz w:val="16"/>
                <w:szCs w:val="16"/>
                <w:color w:val="auto"/>
                <w:w w:val="96"/>
              </w:rPr>
              <w:t>Form of Agreement evidencing a grant of Deferred Cash Award to Executive Officers under the 2008 Incentive Compensation Plan (incorporated by</w:t>
            </w:r>
          </w:p>
        </w:tc>
      </w:tr>
      <w:tr>
        <w:trPr>
          <w:trHeight w:val="209"/>
        </w:trPr>
        <w:tc>
          <w:tcPr>
            <w:tcW w:w="860" w:type="dxa"/>
            <w:vAlign w:val="bottom"/>
          </w:tcPr>
          <w:p>
            <w:pPr>
              <w:spacing w:after="0"/>
              <w:rPr>
                <w:sz w:val="18"/>
                <w:szCs w:val="18"/>
                <w:color w:val="auto"/>
              </w:rPr>
            </w:pPr>
          </w:p>
        </w:tc>
        <w:tc>
          <w:tcPr>
            <w:tcW w:w="10540" w:type="dxa"/>
            <w:vAlign w:val="bottom"/>
          </w:tcPr>
          <w:p>
            <w:pPr>
              <w:ind w:left="400"/>
              <w:spacing w:after="0"/>
              <w:rPr>
                <w:sz w:val="20"/>
                <w:szCs w:val="20"/>
                <w:color w:val="auto"/>
              </w:rPr>
            </w:pPr>
            <w:r>
              <w:rPr>
                <w:rFonts w:ascii="Arial" w:cs="Arial" w:eastAsia="Arial" w:hAnsi="Arial"/>
                <w:sz w:val="16"/>
                <w:szCs w:val="16"/>
                <w:color w:val="auto"/>
              </w:rPr>
              <w:t>reference to Exhibit 10.42 to the Registrant’s Annual Report (File No. 001-32492) on Form 10-K filed on March 2, 2009).</w:t>
            </w:r>
          </w:p>
        </w:tc>
      </w:tr>
      <w:tr>
        <w:trPr>
          <w:trHeight w:val="298"/>
        </w:trPr>
        <w:tc>
          <w:tcPr>
            <w:tcW w:w="860" w:type="dxa"/>
            <w:vAlign w:val="bottom"/>
          </w:tcPr>
          <w:p>
            <w:pPr>
              <w:spacing w:after="0"/>
              <w:rPr>
                <w:sz w:val="20"/>
                <w:szCs w:val="20"/>
                <w:color w:val="auto"/>
              </w:rPr>
            </w:pPr>
            <w:r>
              <w:rPr>
                <w:rFonts w:ascii="Arial" w:cs="Arial" w:eastAsia="Arial" w:hAnsi="Arial"/>
                <w:sz w:val="16"/>
                <w:szCs w:val="16"/>
                <w:color w:val="auto"/>
              </w:rPr>
              <w:t>10.28*</w:t>
            </w:r>
          </w:p>
        </w:tc>
        <w:tc>
          <w:tcPr>
            <w:tcW w:w="10540" w:type="dxa"/>
            <w:vAlign w:val="bottom"/>
          </w:tcPr>
          <w:p>
            <w:pPr>
              <w:ind w:left="400"/>
              <w:spacing w:after="0"/>
              <w:rPr>
                <w:sz w:val="20"/>
                <w:szCs w:val="20"/>
                <w:color w:val="auto"/>
              </w:rPr>
            </w:pPr>
            <w:r>
              <w:rPr>
                <w:rFonts w:ascii="Arial" w:cs="Arial" w:eastAsia="Arial" w:hAnsi="Arial"/>
                <w:sz w:val="16"/>
                <w:szCs w:val="16"/>
                <w:color w:val="auto"/>
                <w:w w:val="96"/>
              </w:rPr>
              <w:t>Directors’ Fee Deferral Unit Plan (incorporated by reference to Exhibit 10.39 to the Registrant’s Quarterly Report (File No. 001-32492) on Form 10-Q</w:t>
            </w:r>
          </w:p>
        </w:tc>
      </w:tr>
      <w:tr>
        <w:trPr>
          <w:trHeight w:val="209"/>
        </w:trPr>
        <w:tc>
          <w:tcPr>
            <w:tcW w:w="860" w:type="dxa"/>
            <w:vAlign w:val="bottom"/>
          </w:tcPr>
          <w:p>
            <w:pPr>
              <w:spacing w:after="0"/>
              <w:rPr>
                <w:sz w:val="18"/>
                <w:szCs w:val="18"/>
                <w:color w:val="auto"/>
              </w:rPr>
            </w:pPr>
          </w:p>
        </w:tc>
        <w:tc>
          <w:tcPr>
            <w:tcW w:w="10540" w:type="dxa"/>
            <w:vAlign w:val="bottom"/>
          </w:tcPr>
          <w:p>
            <w:pPr>
              <w:ind w:left="400"/>
              <w:spacing w:after="0"/>
              <w:rPr>
                <w:sz w:val="20"/>
                <w:szCs w:val="20"/>
                <w:color w:val="auto"/>
              </w:rPr>
            </w:pPr>
            <w:r>
              <w:rPr>
                <w:rFonts w:ascii="Arial" w:cs="Arial" w:eastAsia="Arial" w:hAnsi="Arial"/>
                <w:sz w:val="16"/>
                <w:szCs w:val="16"/>
                <w:color w:val="auto"/>
              </w:rPr>
              <w:t>filed on May 11, 2006).</w:t>
            </w:r>
          </w:p>
        </w:tc>
      </w:tr>
      <w:tr>
        <w:trPr>
          <w:trHeight w:val="298"/>
        </w:trPr>
        <w:tc>
          <w:tcPr>
            <w:tcW w:w="860" w:type="dxa"/>
            <w:vAlign w:val="bottom"/>
          </w:tcPr>
          <w:p>
            <w:pPr>
              <w:spacing w:after="0"/>
              <w:rPr>
                <w:sz w:val="20"/>
                <w:szCs w:val="20"/>
                <w:color w:val="auto"/>
              </w:rPr>
            </w:pPr>
            <w:r>
              <w:rPr>
                <w:rFonts w:ascii="Arial" w:cs="Arial" w:eastAsia="Arial" w:hAnsi="Arial"/>
                <w:sz w:val="16"/>
                <w:szCs w:val="16"/>
                <w:color w:val="auto"/>
              </w:rPr>
              <w:t>10.29*</w:t>
            </w:r>
          </w:p>
        </w:tc>
        <w:tc>
          <w:tcPr>
            <w:tcW w:w="10540" w:type="dxa"/>
            <w:vAlign w:val="bottom"/>
          </w:tcPr>
          <w:p>
            <w:pPr>
              <w:ind w:left="400"/>
              <w:spacing w:after="0"/>
              <w:rPr>
                <w:sz w:val="20"/>
                <w:szCs w:val="20"/>
                <w:color w:val="auto"/>
              </w:rPr>
            </w:pPr>
            <w:r>
              <w:rPr>
                <w:rFonts w:ascii="Arial" w:cs="Arial" w:eastAsia="Arial" w:hAnsi="Arial"/>
                <w:sz w:val="16"/>
                <w:szCs w:val="16"/>
                <w:color w:val="auto"/>
                <w:w w:val="98"/>
              </w:rPr>
              <w:t>First Amended Form of Agreement evidencing a grant of Restricted Stock Units to Executive Officers under the Lazard 2005 Equity Incentive Plan</w:t>
            </w:r>
          </w:p>
        </w:tc>
      </w:tr>
      <w:tr>
        <w:trPr>
          <w:trHeight w:val="209"/>
        </w:trPr>
        <w:tc>
          <w:tcPr>
            <w:tcW w:w="860" w:type="dxa"/>
            <w:vAlign w:val="bottom"/>
          </w:tcPr>
          <w:p>
            <w:pPr>
              <w:spacing w:after="0"/>
              <w:rPr>
                <w:sz w:val="18"/>
                <w:szCs w:val="18"/>
                <w:color w:val="auto"/>
              </w:rPr>
            </w:pPr>
          </w:p>
        </w:tc>
        <w:tc>
          <w:tcPr>
            <w:tcW w:w="10540" w:type="dxa"/>
            <w:vAlign w:val="bottom"/>
          </w:tcPr>
          <w:p>
            <w:pPr>
              <w:ind w:left="400"/>
              <w:spacing w:after="0"/>
              <w:rPr>
                <w:sz w:val="20"/>
                <w:szCs w:val="20"/>
                <w:color w:val="auto"/>
              </w:rPr>
            </w:pPr>
            <w:r>
              <w:rPr>
                <w:rFonts w:ascii="Arial" w:cs="Arial" w:eastAsia="Arial" w:hAnsi="Arial"/>
                <w:sz w:val="16"/>
                <w:szCs w:val="16"/>
                <w:color w:val="auto"/>
              </w:rPr>
              <w:t>(incorporated by reference to Exhibit 10.43 to the Registrant’s Annual Report (File No. 001-32492) on Form 10-K filed on March 1, 2007).</w:t>
            </w:r>
          </w:p>
        </w:tc>
      </w:tr>
      <w:tr>
        <w:trPr>
          <w:trHeight w:val="298"/>
        </w:trPr>
        <w:tc>
          <w:tcPr>
            <w:tcW w:w="860" w:type="dxa"/>
            <w:vAlign w:val="bottom"/>
          </w:tcPr>
          <w:p>
            <w:pPr>
              <w:spacing w:after="0"/>
              <w:rPr>
                <w:sz w:val="20"/>
                <w:szCs w:val="20"/>
                <w:color w:val="auto"/>
              </w:rPr>
            </w:pPr>
            <w:r>
              <w:rPr>
                <w:rFonts w:ascii="Arial" w:cs="Arial" w:eastAsia="Arial" w:hAnsi="Arial"/>
                <w:sz w:val="16"/>
                <w:szCs w:val="16"/>
                <w:color w:val="auto"/>
              </w:rPr>
              <w:t>10.30</w:t>
            </w:r>
          </w:p>
        </w:tc>
        <w:tc>
          <w:tcPr>
            <w:tcW w:w="10540" w:type="dxa"/>
            <w:vAlign w:val="bottom"/>
          </w:tcPr>
          <w:p>
            <w:pPr>
              <w:ind w:left="400"/>
              <w:spacing w:after="0"/>
              <w:rPr>
                <w:sz w:val="20"/>
                <w:szCs w:val="20"/>
                <w:color w:val="auto"/>
              </w:rPr>
            </w:pPr>
            <w:r>
              <w:rPr>
                <w:rFonts w:ascii="Arial" w:cs="Arial" w:eastAsia="Arial" w:hAnsi="Arial"/>
                <w:sz w:val="16"/>
                <w:szCs w:val="16"/>
                <w:color w:val="auto"/>
                <w:w w:val="98"/>
              </w:rPr>
              <w:t>Senior Revolving Credit Agreement, dated as of September 25, 2012, among Lazard Group LLC, the Banks from time to time parties thereto, and</w:t>
            </w:r>
          </w:p>
        </w:tc>
      </w:tr>
      <w:tr>
        <w:trPr>
          <w:trHeight w:val="202"/>
        </w:trPr>
        <w:tc>
          <w:tcPr>
            <w:tcW w:w="860" w:type="dxa"/>
            <w:vAlign w:val="bottom"/>
          </w:tcPr>
          <w:p>
            <w:pPr>
              <w:spacing w:after="0"/>
              <w:rPr>
                <w:sz w:val="17"/>
                <w:szCs w:val="17"/>
                <w:color w:val="auto"/>
              </w:rPr>
            </w:pPr>
          </w:p>
        </w:tc>
        <w:tc>
          <w:tcPr>
            <w:tcW w:w="10540" w:type="dxa"/>
            <w:vAlign w:val="bottom"/>
          </w:tcPr>
          <w:p>
            <w:pPr>
              <w:ind w:left="400"/>
              <w:spacing w:after="0"/>
              <w:rPr>
                <w:sz w:val="20"/>
                <w:szCs w:val="20"/>
                <w:color w:val="auto"/>
              </w:rPr>
            </w:pPr>
            <w:r>
              <w:rPr>
                <w:rFonts w:ascii="Arial" w:cs="Arial" w:eastAsia="Arial" w:hAnsi="Arial"/>
                <w:sz w:val="16"/>
                <w:szCs w:val="16"/>
                <w:color w:val="auto"/>
                <w:w w:val="96"/>
              </w:rPr>
              <w:t>Citibank, N.A., as Administrative Agent (incorporated by reference to Exhibit 10.47 to the Registrant’s Quarterly Report (File No. 001-32492) on Form</w:t>
            </w:r>
          </w:p>
        </w:tc>
      </w:tr>
      <w:tr>
        <w:trPr>
          <w:trHeight w:val="209"/>
        </w:trPr>
        <w:tc>
          <w:tcPr>
            <w:tcW w:w="860" w:type="dxa"/>
            <w:vAlign w:val="bottom"/>
          </w:tcPr>
          <w:p>
            <w:pPr>
              <w:spacing w:after="0"/>
              <w:rPr>
                <w:sz w:val="18"/>
                <w:szCs w:val="18"/>
                <w:color w:val="auto"/>
              </w:rPr>
            </w:pPr>
          </w:p>
        </w:tc>
        <w:tc>
          <w:tcPr>
            <w:tcW w:w="10540" w:type="dxa"/>
            <w:vAlign w:val="bottom"/>
          </w:tcPr>
          <w:p>
            <w:pPr>
              <w:ind w:left="400"/>
              <w:spacing w:after="0"/>
              <w:rPr>
                <w:sz w:val="20"/>
                <w:szCs w:val="20"/>
                <w:color w:val="auto"/>
              </w:rPr>
            </w:pPr>
            <w:r>
              <w:rPr>
                <w:rFonts w:ascii="Arial" w:cs="Arial" w:eastAsia="Arial" w:hAnsi="Arial"/>
                <w:sz w:val="16"/>
                <w:szCs w:val="16"/>
                <w:color w:val="auto"/>
              </w:rPr>
              <w:t>10-Q filed on November 1, 2012).</w:t>
            </w:r>
          </w:p>
        </w:tc>
      </w:tr>
      <w:tr>
        <w:trPr>
          <w:trHeight w:val="342"/>
        </w:trPr>
        <w:tc>
          <w:tcPr>
            <w:tcW w:w="860" w:type="dxa"/>
            <w:vAlign w:val="bottom"/>
          </w:tcPr>
          <w:p>
            <w:pPr>
              <w:spacing w:after="0"/>
              <w:rPr>
                <w:sz w:val="24"/>
                <w:szCs w:val="24"/>
                <w:color w:val="auto"/>
              </w:rPr>
            </w:pPr>
          </w:p>
        </w:tc>
        <w:tc>
          <w:tcPr>
            <w:tcW w:w="10540" w:type="dxa"/>
            <w:vAlign w:val="bottom"/>
          </w:tcPr>
          <w:p>
            <w:pPr>
              <w:ind w:left="4780"/>
              <w:spacing w:after="0"/>
              <w:rPr>
                <w:sz w:val="20"/>
                <w:szCs w:val="20"/>
                <w:color w:val="auto"/>
              </w:rPr>
            </w:pPr>
            <w:r>
              <w:rPr>
                <w:rFonts w:ascii="Arial" w:cs="Arial" w:eastAsia="Arial" w:hAnsi="Arial"/>
                <w:sz w:val="16"/>
                <w:szCs w:val="16"/>
                <w:color w:val="auto"/>
              </w:rPr>
              <w:t>83</w:t>
            </w:r>
          </w:p>
        </w:tc>
      </w:tr>
    </w:tbl>
    <w:p>
      <w:pPr>
        <w:sectPr>
          <w:pgSz w:w="11900" w:h="16838" w:orient="portrait"/>
          <w:cols w:equalWidth="0" w:num="1">
            <w:col w:w="11400"/>
          </w:cols>
          <w:pgMar w:left="240" w:top="440" w:right="259" w:bottom="1440" w:gutter="0" w:footer="0" w:header="0"/>
        </w:sectPr>
      </w:pPr>
    </w:p>
    <w:bookmarkStart w:id="85" w:name="page86"/>
    <w:bookmarkEnd w:id="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60" w:type="dxa"/>
            <w:vAlign w:val="bottom"/>
          </w:tcPr>
          <w:p>
            <w:pPr>
              <w:jc w:val="right"/>
              <w:ind w:right="318"/>
              <w:spacing w:after="0"/>
              <w:rPr>
                <w:sz w:val="20"/>
                <w:szCs w:val="20"/>
                <w:color w:val="auto"/>
              </w:rPr>
            </w:pPr>
            <w:r>
              <w:rPr>
                <w:rFonts w:ascii="Arial" w:cs="Arial" w:eastAsia="Arial" w:hAnsi="Arial"/>
                <w:sz w:val="16"/>
                <w:szCs w:val="16"/>
                <w:color w:val="auto"/>
                <w:w w:val="95"/>
              </w:rPr>
              <w:t>10.31*</w:t>
            </w:r>
          </w:p>
        </w:tc>
        <w:tc>
          <w:tcPr>
            <w:tcW w:w="10560" w:type="dxa"/>
            <w:vAlign w:val="bottom"/>
          </w:tcPr>
          <w:p>
            <w:pPr>
              <w:ind w:left="400"/>
              <w:spacing w:after="0"/>
              <w:rPr>
                <w:sz w:val="20"/>
                <w:szCs w:val="20"/>
                <w:color w:val="auto"/>
              </w:rPr>
            </w:pPr>
            <w:r>
              <w:rPr>
                <w:rFonts w:ascii="Arial" w:cs="Arial" w:eastAsia="Arial" w:hAnsi="Arial"/>
                <w:sz w:val="16"/>
                <w:szCs w:val="16"/>
                <w:color w:val="auto"/>
                <w:w w:val="95"/>
              </w:rPr>
              <w:t>Form of Agreement evidencing a grant of Restricted Stock under the 2008 Incentive Compensation Plan (incorporated by reference to Exhibit 10.55 to</w:t>
            </w:r>
          </w:p>
        </w:tc>
      </w:tr>
      <w:tr>
        <w:trPr>
          <w:trHeight w:val="209"/>
        </w:trPr>
        <w:tc>
          <w:tcPr>
            <w:tcW w:w="860" w:type="dxa"/>
            <w:vAlign w:val="bottom"/>
          </w:tcPr>
          <w:p>
            <w:pPr>
              <w:spacing w:after="0"/>
              <w:rPr>
                <w:sz w:val="18"/>
                <w:szCs w:val="18"/>
                <w:color w:val="auto"/>
              </w:rPr>
            </w:pPr>
          </w:p>
        </w:tc>
        <w:tc>
          <w:tcPr>
            <w:tcW w:w="10560" w:type="dxa"/>
            <w:vAlign w:val="bottom"/>
          </w:tcPr>
          <w:p>
            <w:pPr>
              <w:ind w:left="400"/>
              <w:spacing w:after="0"/>
              <w:rPr>
                <w:sz w:val="20"/>
                <w:szCs w:val="20"/>
                <w:color w:val="auto"/>
              </w:rPr>
            </w:pPr>
            <w:r>
              <w:rPr>
                <w:rFonts w:ascii="Arial" w:cs="Arial" w:eastAsia="Arial" w:hAnsi="Arial"/>
                <w:sz w:val="16"/>
                <w:szCs w:val="16"/>
                <w:color w:val="auto"/>
              </w:rPr>
              <w:t>the Registrant’s Quarterly Report (File No. 001-32492) on Form 10-Q filed on April 30, 2010).</w:t>
            </w:r>
          </w:p>
        </w:tc>
      </w:tr>
      <w:tr>
        <w:trPr>
          <w:trHeight w:val="298"/>
        </w:trPr>
        <w:tc>
          <w:tcPr>
            <w:tcW w:w="860" w:type="dxa"/>
            <w:vAlign w:val="bottom"/>
          </w:tcPr>
          <w:p>
            <w:pPr>
              <w:jc w:val="right"/>
              <w:ind w:right="318"/>
              <w:spacing w:after="0"/>
              <w:rPr>
                <w:sz w:val="20"/>
                <w:szCs w:val="20"/>
                <w:color w:val="auto"/>
              </w:rPr>
            </w:pPr>
            <w:r>
              <w:rPr>
                <w:rFonts w:ascii="Arial" w:cs="Arial" w:eastAsia="Arial" w:hAnsi="Arial"/>
                <w:sz w:val="16"/>
                <w:szCs w:val="16"/>
                <w:color w:val="auto"/>
                <w:w w:val="95"/>
              </w:rPr>
              <w:t>10.32*</w:t>
            </w:r>
          </w:p>
        </w:tc>
        <w:tc>
          <w:tcPr>
            <w:tcW w:w="10560" w:type="dxa"/>
            <w:vAlign w:val="bottom"/>
          </w:tcPr>
          <w:p>
            <w:pPr>
              <w:ind w:left="400"/>
              <w:spacing w:after="0"/>
              <w:rPr>
                <w:sz w:val="20"/>
                <w:szCs w:val="20"/>
                <w:color w:val="auto"/>
              </w:rPr>
            </w:pPr>
            <w:r>
              <w:rPr>
                <w:rFonts w:ascii="Arial" w:cs="Arial" w:eastAsia="Arial" w:hAnsi="Arial"/>
                <w:sz w:val="16"/>
                <w:szCs w:val="16"/>
                <w:color w:val="auto"/>
                <w:w w:val="93"/>
              </w:rPr>
              <w:t>Form of Agreement evidencing a grant of Lazard Fund Interests under the 2008 Incentive Compensation Plan (incorporated by reference to Exhibit 10.55</w:t>
            </w:r>
          </w:p>
        </w:tc>
      </w:tr>
      <w:tr>
        <w:trPr>
          <w:trHeight w:val="209"/>
        </w:trPr>
        <w:tc>
          <w:tcPr>
            <w:tcW w:w="860" w:type="dxa"/>
            <w:vAlign w:val="bottom"/>
          </w:tcPr>
          <w:p>
            <w:pPr>
              <w:spacing w:after="0"/>
              <w:rPr>
                <w:sz w:val="18"/>
                <w:szCs w:val="18"/>
                <w:color w:val="auto"/>
              </w:rPr>
            </w:pPr>
          </w:p>
        </w:tc>
        <w:tc>
          <w:tcPr>
            <w:tcW w:w="10560" w:type="dxa"/>
            <w:vAlign w:val="bottom"/>
          </w:tcPr>
          <w:p>
            <w:pPr>
              <w:ind w:left="400"/>
              <w:spacing w:after="0"/>
              <w:rPr>
                <w:sz w:val="20"/>
                <w:szCs w:val="20"/>
                <w:color w:val="auto"/>
              </w:rPr>
            </w:pPr>
            <w:r>
              <w:rPr>
                <w:rFonts w:ascii="Arial" w:cs="Arial" w:eastAsia="Arial" w:hAnsi="Arial"/>
                <w:sz w:val="16"/>
                <w:szCs w:val="16"/>
                <w:color w:val="auto"/>
              </w:rPr>
              <w:t>to the Registrant’s Quarterly Report (File No. 001-32492) on Form 10-Q filed on April 29, 2011).</w:t>
            </w:r>
          </w:p>
        </w:tc>
      </w:tr>
      <w:tr>
        <w:trPr>
          <w:trHeight w:val="298"/>
        </w:trPr>
        <w:tc>
          <w:tcPr>
            <w:tcW w:w="860" w:type="dxa"/>
            <w:vAlign w:val="bottom"/>
          </w:tcPr>
          <w:p>
            <w:pPr>
              <w:jc w:val="right"/>
              <w:ind w:right="318"/>
              <w:spacing w:after="0"/>
              <w:rPr>
                <w:sz w:val="20"/>
                <w:szCs w:val="20"/>
                <w:color w:val="auto"/>
              </w:rPr>
            </w:pPr>
            <w:r>
              <w:rPr>
                <w:rFonts w:ascii="Arial" w:cs="Arial" w:eastAsia="Arial" w:hAnsi="Arial"/>
                <w:sz w:val="16"/>
                <w:szCs w:val="16"/>
                <w:color w:val="auto"/>
                <w:w w:val="95"/>
              </w:rPr>
              <w:t>10.33*</w:t>
            </w:r>
          </w:p>
        </w:tc>
        <w:tc>
          <w:tcPr>
            <w:tcW w:w="10560" w:type="dxa"/>
            <w:vAlign w:val="bottom"/>
          </w:tcPr>
          <w:p>
            <w:pPr>
              <w:ind w:left="400"/>
              <w:spacing w:after="0"/>
              <w:rPr>
                <w:sz w:val="20"/>
                <w:szCs w:val="20"/>
                <w:color w:val="auto"/>
              </w:rPr>
            </w:pPr>
            <w:r>
              <w:rPr>
                <w:rFonts w:ascii="Arial" w:cs="Arial" w:eastAsia="Arial" w:hAnsi="Arial"/>
                <w:sz w:val="16"/>
                <w:szCs w:val="16"/>
                <w:color w:val="auto"/>
              </w:rPr>
              <w:t>Form of Agreement evidencing a grant of Restricted Stock Units and Restricted Stock to Executive Officers who are or may become eligible for</w:t>
            </w:r>
          </w:p>
        </w:tc>
      </w:tr>
      <w:tr>
        <w:trPr>
          <w:trHeight w:val="202"/>
        </w:trPr>
        <w:tc>
          <w:tcPr>
            <w:tcW w:w="860" w:type="dxa"/>
            <w:vAlign w:val="bottom"/>
          </w:tcPr>
          <w:p>
            <w:pPr>
              <w:spacing w:after="0"/>
              <w:rPr>
                <w:sz w:val="17"/>
                <w:szCs w:val="17"/>
                <w:color w:val="auto"/>
              </w:rPr>
            </w:pPr>
          </w:p>
        </w:tc>
        <w:tc>
          <w:tcPr>
            <w:tcW w:w="10560" w:type="dxa"/>
            <w:vAlign w:val="bottom"/>
          </w:tcPr>
          <w:p>
            <w:pPr>
              <w:ind w:left="400"/>
              <w:spacing w:after="0"/>
              <w:rPr>
                <w:sz w:val="20"/>
                <w:szCs w:val="20"/>
                <w:color w:val="auto"/>
              </w:rPr>
            </w:pPr>
            <w:r>
              <w:rPr>
                <w:rFonts w:ascii="Arial" w:cs="Arial" w:eastAsia="Arial" w:hAnsi="Arial"/>
                <w:sz w:val="16"/>
                <w:szCs w:val="16"/>
                <w:color w:val="auto"/>
                <w:w w:val="98"/>
              </w:rPr>
              <w:t>retirement under the 2008 Incentive Compensation Plan (incorporated by reference to Exhibit 10.53 to the Registrant’s Quarterly Report (File No.</w:t>
            </w:r>
          </w:p>
        </w:tc>
      </w:tr>
      <w:tr>
        <w:trPr>
          <w:trHeight w:val="209"/>
        </w:trPr>
        <w:tc>
          <w:tcPr>
            <w:tcW w:w="860" w:type="dxa"/>
            <w:vAlign w:val="bottom"/>
          </w:tcPr>
          <w:p>
            <w:pPr>
              <w:spacing w:after="0"/>
              <w:rPr>
                <w:sz w:val="18"/>
                <w:szCs w:val="18"/>
                <w:color w:val="auto"/>
              </w:rPr>
            </w:pPr>
          </w:p>
        </w:tc>
        <w:tc>
          <w:tcPr>
            <w:tcW w:w="10560" w:type="dxa"/>
            <w:vAlign w:val="bottom"/>
          </w:tcPr>
          <w:p>
            <w:pPr>
              <w:ind w:left="400"/>
              <w:spacing w:after="0"/>
              <w:rPr>
                <w:sz w:val="20"/>
                <w:szCs w:val="20"/>
                <w:color w:val="auto"/>
              </w:rPr>
            </w:pPr>
            <w:r>
              <w:rPr>
                <w:rFonts w:ascii="Arial" w:cs="Arial" w:eastAsia="Arial" w:hAnsi="Arial"/>
                <w:sz w:val="16"/>
                <w:szCs w:val="16"/>
                <w:color w:val="auto"/>
              </w:rPr>
              <w:t>001-32492) on Form 10-Q filed on May 2, 2012).</w:t>
            </w:r>
          </w:p>
        </w:tc>
      </w:tr>
      <w:tr>
        <w:trPr>
          <w:trHeight w:val="298"/>
        </w:trPr>
        <w:tc>
          <w:tcPr>
            <w:tcW w:w="860" w:type="dxa"/>
            <w:vAlign w:val="bottom"/>
          </w:tcPr>
          <w:p>
            <w:pPr>
              <w:jc w:val="right"/>
              <w:ind w:right="318"/>
              <w:spacing w:after="0"/>
              <w:rPr>
                <w:sz w:val="20"/>
                <w:szCs w:val="20"/>
                <w:color w:val="auto"/>
              </w:rPr>
            </w:pPr>
            <w:r>
              <w:rPr>
                <w:rFonts w:ascii="Arial" w:cs="Arial" w:eastAsia="Arial" w:hAnsi="Arial"/>
                <w:sz w:val="16"/>
                <w:szCs w:val="16"/>
                <w:color w:val="auto"/>
                <w:w w:val="95"/>
              </w:rPr>
              <w:t>10.34*</w:t>
            </w:r>
          </w:p>
        </w:tc>
        <w:tc>
          <w:tcPr>
            <w:tcW w:w="10560" w:type="dxa"/>
            <w:vAlign w:val="bottom"/>
          </w:tcPr>
          <w:p>
            <w:pPr>
              <w:ind w:left="400"/>
              <w:spacing w:after="0"/>
              <w:rPr>
                <w:sz w:val="20"/>
                <w:szCs w:val="20"/>
                <w:color w:val="auto"/>
              </w:rPr>
            </w:pPr>
            <w:r>
              <w:rPr>
                <w:rFonts w:ascii="Arial" w:cs="Arial" w:eastAsia="Arial" w:hAnsi="Arial"/>
                <w:sz w:val="16"/>
                <w:szCs w:val="16"/>
                <w:color w:val="auto"/>
                <w:w w:val="94"/>
              </w:rPr>
              <w:t>First Amendment, dated as of August 2, 2011, to the Agreement Relating to Retention and Noncompetition and Other Covenants, dated as of March 15,</w:t>
            </w:r>
          </w:p>
        </w:tc>
      </w:tr>
      <w:tr>
        <w:trPr>
          <w:trHeight w:val="202"/>
        </w:trPr>
        <w:tc>
          <w:tcPr>
            <w:tcW w:w="860" w:type="dxa"/>
            <w:vAlign w:val="bottom"/>
          </w:tcPr>
          <w:p>
            <w:pPr>
              <w:spacing w:after="0"/>
              <w:rPr>
                <w:sz w:val="17"/>
                <w:szCs w:val="17"/>
                <w:color w:val="auto"/>
              </w:rPr>
            </w:pPr>
          </w:p>
        </w:tc>
        <w:tc>
          <w:tcPr>
            <w:tcW w:w="10560" w:type="dxa"/>
            <w:vAlign w:val="bottom"/>
          </w:tcPr>
          <w:p>
            <w:pPr>
              <w:ind w:left="400"/>
              <w:spacing w:after="0"/>
              <w:rPr>
                <w:sz w:val="20"/>
                <w:szCs w:val="20"/>
                <w:color w:val="auto"/>
              </w:rPr>
            </w:pPr>
            <w:r>
              <w:rPr>
                <w:rFonts w:ascii="Arial" w:cs="Arial" w:eastAsia="Arial" w:hAnsi="Arial"/>
                <w:sz w:val="16"/>
                <w:szCs w:val="16"/>
                <w:color w:val="auto"/>
                <w:w w:val="96"/>
              </w:rPr>
              <w:t>2005, between Lazard Group LLC and Ashish Bhutani (incorporated by reference to Exhibit 10.56 to the Registrant’s Quarterly Report (File No. 001-</w:t>
            </w:r>
          </w:p>
        </w:tc>
      </w:tr>
      <w:tr>
        <w:trPr>
          <w:trHeight w:val="209"/>
        </w:trPr>
        <w:tc>
          <w:tcPr>
            <w:tcW w:w="860" w:type="dxa"/>
            <w:vAlign w:val="bottom"/>
          </w:tcPr>
          <w:p>
            <w:pPr>
              <w:spacing w:after="0"/>
              <w:rPr>
                <w:sz w:val="18"/>
                <w:szCs w:val="18"/>
                <w:color w:val="auto"/>
              </w:rPr>
            </w:pPr>
          </w:p>
        </w:tc>
        <w:tc>
          <w:tcPr>
            <w:tcW w:w="10560" w:type="dxa"/>
            <w:vAlign w:val="bottom"/>
          </w:tcPr>
          <w:p>
            <w:pPr>
              <w:ind w:left="400"/>
              <w:spacing w:after="0"/>
              <w:rPr>
                <w:sz w:val="20"/>
                <w:szCs w:val="20"/>
                <w:color w:val="auto"/>
              </w:rPr>
            </w:pPr>
            <w:r>
              <w:rPr>
                <w:rFonts w:ascii="Arial" w:cs="Arial" w:eastAsia="Arial" w:hAnsi="Arial"/>
                <w:sz w:val="16"/>
                <w:szCs w:val="16"/>
                <w:color w:val="auto"/>
              </w:rPr>
              <w:t>32492) on Form 10-Q filed on August 4, 2011).</w:t>
            </w:r>
          </w:p>
        </w:tc>
      </w:tr>
      <w:tr>
        <w:trPr>
          <w:trHeight w:val="298"/>
        </w:trPr>
        <w:tc>
          <w:tcPr>
            <w:tcW w:w="860" w:type="dxa"/>
            <w:vAlign w:val="bottom"/>
          </w:tcPr>
          <w:p>
            <w:pPr>
              <w:jc w:val="right"/>
              <w:ind w:right="318"/>
              <w:spacing w:after="0"/>
              <w:rPr>
                <w:sz w:val="20"/>
                <w:szCs w:val="20"/>
                <w:color w:val="auto"/>
              </w:rPr>
            </w:pPr>
            <w:r>
              <w:rPr>
                <w:rFonts w:ascii="Arial" w:cs="Arial" w:eastAsia="Arial" w:hAnsi="Arial"/>
                <w:sz w:val="16"/>
                <w:szCs w:val="16"/>
                <w:color w:val="auto"/>
                <w:w w:val="95"/>
              </w:rPr>
              <w:t>10.35*</w:t>
            </w:r>
          </w:p>
        </w:tc>
        <w:tc>
          <w:tcPr>
            <w:tcW w:w="10560" w:type="dxa"/>
            <w:vAlign w:val="bottom"/>
          </w:tcPr>
          <w:p>
            <w:pPr>
              <w:ind w:left="400"/>
              <w:spacing w:after="0"/>
              <w:rPr>
                <w:sz w:val="20"/>
                <w:szCs w:val="20"/>
                <w:color w:val="auto"/>
              </w:rPr>
            </w:pPr>
            <w:r>
              <w:rPr>
                <w:rFonts w:ascii="Arial" w:cs="Arial" w:eastAsia="Arial" w:hAnsi="Arial"/>
                <w:sz w:val="16"/>
                <w:szCs w:val="16"/>
                <w:color w:val="auto"/>
                <w:w w:val="93"/>
              </w:rPr>
              <w:t>Second Amendment, dated as of October 24, 2012, to the Agreement relating to Retention and Noncompetition and Other Covenants, dated as of March</w:t>
            </w:r>
          </w:p>
        </w:tc>
      </w:tr>
      <w:tr>
        <w:trPr>
          <w:trHeight w:val="202"/>
        </w:trPr>
        <w:tc>
          <w:tcPr>
            <w:tcW w:w="860" w:type="dxa"/>
            <w:vAlign w:val="bottom"/>
          </w:tcPr>
          <w:p>
            <w:pPr>
              <w:spacing w:after="0"/>
              <w:rPr>
                <w:sz w:val="17"/>
                <w:szCs w:val="17"/>
                <w:color w:val="auto"/>
              </w:rPr>
            </w:pPr>
          </w:p>
        </w:tc>
        <w:tc>
          <w:tcPr>
            <w:tcW w:w="10560" w:type="dxa"/>
            <w:vAlign w:val="bottom"/>
          </w:tcPr>
          <w:p>
            <w:pPr>
              <w:ind w:left="400"/>
              <w:spacing w:after="0"/>
              <w:rPr>
                <w:sz w:val="20"/>
                <w:szCs w:val="20"/>
                <w:color w:val="auto"/>
              </w:rPr>
            </w:pPr>
            <w:r>
              <w:rPr>
                <w:rFonts w:ascii="Arial" w:cs="Arial" w:eastAsia="Arial" w:hAnsi="Arial"/>
                <w:sz w:val="16"/>
                <w:szCs w:val="16"/>
                <w:color w:val="auto"/>
                <w:w w:val="93"/>
              </w:rPr>
              <w:t>18, 2005 and amended on March 23, 2010, among the Registrant, Lazard Group LLC and Kenneth M. Jacobs (incorporated by reference to Exhibit 10.52</w:t>
            </w:r>
          </w:p>
        </w:tc>
      </w:tr>
      <w:tr>
        <w:trPr>
          <w:trHeight w:val="202"/>
        </w:trPr>
        <w:tc>
          <w:tcPr>
            <w:tcW w:w="860" w:type="dxa"/>
            <w:vAlign w:val="bottom"/>
          </w:tcPr>
          <w:p>
            <w:pPr>
              <w:spacing w:after="0"/>
              <w:rPr>
                <w:sz w:val="17"/>
                <w:szCs w:val="17"/>
                <w:color w:val="auto"/>
              </w:rPr>
            </w:pPr>
          </w:p>
        </w:tc>
        <w:tc>
          <w:tcPr>
            <w:tcW w:w="10560" w:type="dxa"/>
            <w:vAlign w:val="bottom"/>
          </w:tcPr>
          <w:p>
            <w:pPr>
              <w:ind w:left="400"/>
              <w:spacing w:after="0"/>
              <w:rPr>
                <w:sz w:val="20"/>
                <w:szCs w:val="20"/>
                <w:color w:val="auto"/>
              </w:rPr>
            </w:pPr>
            <w:r>
              <w:rPr>
                <w:rFonts w:ascii="Arial" w:cs="Arial" w:eastAsia="Arial" w:hAnsi="Arial"/>
                <w:sz w:val="16"/>
                <w:szCs w:val="16"/>
                <w:color w:val="auto"/>
              </w:rPr>
              <w:t>to the Registrant’s Quarterly Report (File No. 001-32492) on Form 10-Q</w:t>
            </w:r>
          </w:p>
        </w:tc>
      </w:tr>
      <w:tr>
        <w:trPr>
          <w:trHeight w:val="209"/>
        </w:trPr>
        <w:tc>
          <w:tcPr>
            <w:tcW w:w="860" w:type="dxa"/>
            <w:vAlign w:val="bottom"/>
          </w:tcPr>
          <w:p>
            <w:pPr>
              <w:spacing w:after="0"/>
              <w:rPr>
                <w:sz w:val="18"/>
                <w:szCs w:val="18"/>
                <w:color w:val="auto"/>
              </w:rPr>
            </w:pPr>
          </w:p>
        </w:tc>
        <w:tc>
          <w:tcPr>
            <w:tcW w:w="10560" w:type="dxa"/>
            <w:vAlign w:val="bottom"/>
          </w:tcPr>
          <w:p>
            <w:pPr>
              <w:ind w:left="400"/>
              <w:spacing w:after="0"/>
              <w:rPr>
                <w:sz w:val="20"/>
                <w:szCs w:val="20"/>
                <w:color w:val="auto"/>
              </w:rPr>
            </w:pPr>
            <w:r>
              <w:rPr>
                <w:rFonts w:ascii="Arial" w:cs="Arial" w:eastAsia="Arial" w:hAnsi="Arial"/>
                <w:sz w:val="16"/>
                <w:szCs w:val="16"/>
                <w:color w:val="auto"/>
              </w:rPr>
              <w:t>filed on November 1, 2012).</w:t>
            </w:r>
          </w:p>
        </w:tc>
      </w:tr>
      <w:tr>
        <w:trPr>
          <w:trHeight w:val="310"/>
        </w:trPr>
        <w:tc>
          <w:tcPr>
            <w:tcW w:w="860" w:type="dxa"/>
            <w:vAlign w:val="bottom"/>
          </w:tcPr>
          <w:p>
            <w:pPr>
              <w:jc w:val="right"/>
              <w:ind w:right="318"/>
              <w:spacing w:after="0"/>
              <w:rPr>
                <w:sz w:val="20"/>
                <w:szCs w:val="20"/>
                <w:color w:val="auto"/>
              </w:rPr>
            </w:pPr>
            <w:r>
              <w:rPr>
                <w:rFonts w:ascii="Arial" w:cs="Arial" w:eastAsia="Arial" w:hAnsi="Arial"/>
                <w:sz w:val="16"/>
                <w:szCs w:val="16"/>
                <w:color w:val="auto"/>
                <w:w w:val="95"/>
              </w:rPr>
              <w:t>10.36*</w:t>
            </w:r>
          </w:p>
        </w:tc>
        <w:tc>
          <w:tcPr>
            <w:tcW w:w="10560" w:type="dxa"/>
            <w:vAlign w:val="bottom"/>
          </w:tcPr>
          <w:p>
            <w:pPr>
              <w:ind w:left="400"/>
              <w:spacing w:after="0"/>
              <w:rPr>
                <w:sz w:val="20"/>
                <w:szCs w:val="20"/>
                <w:color w:val="auto"/>
              </w:rPr>
            </w:pPr>
            <w:r>
              <w:rPr>
                <w:rFonts w:ascii="Arial" w:cs="Arial" w:eastAsia="Arial" w:hAnsi="Arial"/>
                <w:sz w:val="16"/>
                <w:szCs w:val="16"/>
                <w:color w:val="auto"/>
                <w:w w:val="94"/>
              </w:rPr>
              <w:t>Second Amendment, dated as of March 14, 2013, to the Agreement Relating to Retention and Noncompetition and Other Covenants dated as of March</w:t>
            </w:r>
          </w:p>
        </w:tc>
      </w:tr>
      <w:tr>
        <w:trPr>
          <w:trHeight w:val="202"/>
        </w:trPr>
        <w:tc>
          <w:tcPr>
            <w:tcW w:w="860" w:type="dxa"/>
            <w:vAlign w:val="bottom"/>
          </w:tcPr>
          <w:p>
            <w:pPr>
              <w:spacing w:after="0"/>
              <w:rPr>
                <w:sz w:val="17"/>
                <w:szCs w:val="17"/>
                <w:color w:val="auto"/>
              </w:rPr>
            </w:pPr>
          </w:p>
        </w:tc>
        <w:tc>
          <w:tcPr>
            <w:tcW w:w="10560" w:type="dxa"/>
            <w:vAlign w:val="bottom"/>
          </w:tcPr>
          <w:p>
            <w:pPr>
              <w:ind w:left="400"/>
              <w:spacing w:after="0"/>
              <w:rPr>
                <w:sz w:val="20"/>
                <w:szCs w:val="20"/>
                <w:color w:val="auto"/>
              </w:rPr>
            </w:pPr>
            <w:r>
              <w:rPr>
                <w:rFonts w:ascii="Arial" w:cs="Arial" w:eastAsia="Arial" w:hAnsi="Arial"/>
                <w:sz w:val="16"/>
                <w:szCs w:val="16"/>
                <w:color w:val="auto"/>
                <w:w w:val="94"/>
              </w:rPr>
              <w:t>15, 2005 and amended on August 2, 2011, among the Registrant, Lazard Group LLC and Ashish Bhutani (incorporated by reference to Exhibit 10.50 to</w:t>
            </w:r>
          </w:p>
        </w:tc>
      </w:tr>
      <w:tr>
        <w:trPr>
          <w:trHeight w:val="209"/>
        </w:trPr>
        <w:tc>
          <w:tcPr>
            <w:tcW w:w="860" w:type="dxa"/>
            <w:vAlign w:val="bottom"/>
          </w:tcPr>
          <w:p>
            <w:pPr>
              <w:spacing w:after="0"/>
              <w:rPr>
                <w:sz w:val="18"/>
                <w:szCs w:val="18"/>
                <w:color w:val="auto"/>
              </w:rPr>
            </w:pPr>
          </w:p>
        </w:tc>
        <w:tc>
          <w:tcPr>
            <w:tcW w:w="10560" w:type="dxa"/>
            <w:vAlign w:val="bottom"/>
          </w:tcPr>
          <w:p>
            <w:pPr>
              <w:ind w:left="400"/>
              <w:spacing w:after="0"/>
              <w:rPr>
                <w:sz w:val="20"/>
                <w:szCs w:val="20"/>
                <w:color w:val="auto"/>
              </w:rPr>
            </w:pPr>
            <w:r>
              <w:rPr>
                <w:rFonts w:ascii="Arial" w:cs="Arial" w:eastAsia="Arial" w:hAnsi="Arial"/>
                <w:sz w:val="16"/>
                <w:szCs w:val="16"/>
                <w:color w:val="auto"/>
              </w:rPr>
              <w:t>the Registrant’s Quarterly Report (File No. 001-32492) on Form 10-Q filed on April 30, 2013).</w:t>
            </w:r>
          </w:p>
        </w:tc>
      </w:tr>
      <w:tr>
        <w:trPr>
          <w:trHeight w:val="298"/>
        </w:trPr>
        <w:tc>
          <w:tcPr>
            <w:tcW w:w="860" w:type="dxa"/>
            <w:vAlign w:val="bottom"/>
          </w:tcPr>
          <w:p>
            <w:pPr>
              <w:jc w:val="right"/>
              <w:ind w:right="318"/>
              <w:spacing w:after="0"/>
              <w:rPr>
                <w:sz w:val="20"/>
                <w:szCs w:val="20"/>
                <w:color w:val="auto"/>
              </w:rPr>
            </w:pPr>
            <w:r>
              <w:rPr>
                <w:rFonts w:ascii="Arial" w:cs="Arial" w:eastAsia="Arial" w:hAnsi="Arial"/>
                <w:sz w:val="16"/>
                <w:szCs w:val="16"/>
                <w:color w:val="auto"/>
                <w:w w:val="95"/>
              </w:rPr>
              <w:t>10.37*</w:t>
            </w:r>
          </w:p>
        </w:tc>
        <w:tc>
          <w:tcPr>
            <w:tcW w:w="10560" w:type="dxa"/>
            <w:vAlign w:val="bottom"/>
          </w:tcPr>
          <w:p>
            <w:pPr>
              <w:ind w:left="400"/>
              <w:spacing w:after="0"/>
              <w:rPr>
                <w:sz w:val="20"/>
                <w:szCs w:val="20"/>
                <w:color w:val="auto"/>
              </w:rPr>
            </w:pPr>
            <w:r>
              <w:rPr>
                <w:rFonts w:ascii="Arial" w:cs="Arial" w:eastAsia="Arial" w:hAnsi="Arial"/>
                <w:sz w:val="16"/>
                <w:szCs w:val="16"/>
                <w:color w:val="auto"/>
                <w:w w:val="93"/>
              </w:rPr>
              <w:t>Second Amendment, dated as of March 14, 2013, to the Agreement Relating to Retention and Noncompetition and Other Covenants dated as of October</w:t>
            </w:r>
          </w:p>
        </w:tc>
      </w:tr>
      <w:tr>
        <w:trPr>
          <w:trHeight w:val="202"/>
        </w:trPr>
        <w:tc>
          <w:tcPr>
            <w:tcW w:w="860" w:type="dxa"/>
            <w:vAlign w:val="bottom"/>
          </w:tcPr>
          <w:p>
            <w:pPr>
              <w:spacing w:after="0"/>
              <w:rPr>
                <w:sz w:val="17"/>
                <w:szCs w:val="17"/>
                <w:color w:val="auto"/>
              </w:rPr>
            </w:pPr>
          </w:p>
        </w:tc>
        <w:tc>
          <w:tcPr>
            <w:tcW w:w="10560" w:type="dxa"/>
            <w:vAlign w:val="bottom"/>
          </w:tcPr>
          <w:p>
            <w:pPr>
              <w:ind w:left="400"/>
              <w:spacing w:after="0"/>
              <w:rPr>
                <w:sz w:val="20"/>
                <w:szCs w:val="20"/>
                <w:color w:val="auto"/>
              </w:rPr>
            </w:pPr>
            <w:r>
              <w:rPr>
                <w:rFonts w:ascii="Arial" w:cs="Arial" w:eastAsia="Arial" w:hAnsi="Arial"/>
                <w:sz w:val="16"/>
                <w:szCs w:val="16"/>
                <w:color w:val="auto"/>
                <w:w w:val="95"/>
              </w:rPr>
              <w:t>4, 2004 and amended on April 1, 2011, among the Registrant, Lazard Group LLC and Matthieu Bucaille (incorporated by reference to Exhibit 10.51 to</w:t>
            </w:r>
          </w:p>
        </w:tc>
      </w:tr>
      <w:tr>
        <w:trPr>
          <w:trHeight w:val="209"/>
        </w:trPr>
        <w:tc>
          <w:tcPr>
            <w:tcW w:w="860" w:type="dxa"/>
            <w:vAlign w:val="bottom"/>
          </w:tcPr>
          <w:p>
            <w:pPr>
              <w:spacing w:after="0"/>
              <w:rPr>
                <w:sz w:val="18"/>
                <w:szCs w:val="18"/>
                <w:color w:val="auto"/>
              </w:rPr>
            </w:pPr>
          </w:p>
        </w:tc>
        <w:tc>
          <w:tcPr>
            <w:tcW w:w="10560" w:type="dxa"/>
            <w:vAlign w:val="bottom"/>
          </w:tcPr>
          <w:p>
            <w:pPr>
              <w:ind w:left="400"/>
              <w:spacing w:after="0"/>
              <w:rPr>
                <w:sz w:val="20"/>
                <w:szCs w:val="20"/>
                <w:color w:val="auto"/>
              </w:rPr>
            </w:pPr>
            <w:r>
              <w:rPr>
                <w:rFonts w:ascii="Arial" w:cs="Arial" w:eastAsia="Arial" w:hAnsi="Arial"/>
                <w:sz w:val="16"/>
                <w:szCs w:val="16"/>
                <w:color w:val="auto"/>
              </w:rPr>
              <w:t>the Registrant’s Quarterly Report (File No. 001-32492) on Form 10-Q filed on April 30, 2013).</w:t>
            </w:r>
          </w:p>
        </w:tc>
      </w:tr>
      <w:tr>
        <w:trPr>
          <w:trHeight w:val="298"/>
        </w:trPr>
        <w:tc>
          <w:tcPr>
            <w:tcW w:w="860" w:type="dxa"/>
            <w:vAlign w:val="bottom"/>
          </w:tcPr>
          <w:p>
            <w:pPr>
              <w:jc w:val="right"/>
              <w:ind w:right="318"/>
              <w:spacing w:after="0"/>
              <w:rPr>
                <w:sz w:val="20"/>
                <w:szCs w:val="20"/>
                <w:color w:val="auto"/>
              </w:rPr>
            </w:pPr>
            <w:r>
              <w:rPr>
                <w:rFonts w:ascii="Arial" w:cs="Arial" w:eastAsia="Arial" w:hAnsi="Arial"/>
                <w:sz w:val="16"/>
                <w:szCs w:val="16"/>
                <w:color w:val="auto"/>
                <w:w w:val="95"/>
              </w:rPr>
              <w:t>10.38*</w:t>
            </w:r>
          </w:p>
        </w:tc>
        <w:tc>
          <w:tcPr>
            <w:tcW w:w="10560" w:type="dxa"/>
            <w:vAlign w:val="bottom"/>
          </w:tcPr>
          <w:p>
            <w:pPr>
              <w:ind w:left="400"/>
              <w:spacing w:after="0"/>
              <w:rPr>
                <w:sz w:val="20"/>
                <w:szCs w:val="20"/>
                <w:color w:val="auto"/>
              </w:rPr>
            </w:pPr>
            <w:r>
              <w:rPr>
                <w:rFonts w:ascii="Arial" w:cs="Arial" w:eastAsia="Arial" w:hAnsi="Arial"/>
                <w:sz w:val="16"/>
                <w:szCs w:val="16"/>
                <w:color w:val="auto"/>
                <w:w w:val="94"/>
              </w:rPr>
              <w:t>Second Amendment, dated as of March 14, 2013, to the Agreement Relating to Retention and Noncompetition and Other Covenants dated as of May 4,</w:t>
            </w:r>
          </w:p>
        </w:tc>
      </w:tr>
      <w:tr>
        <w:trPr>
          <w:trHeight w:val="202"/>
        </w:trPr>
        <w:tc>
          <w:tcPr>
            <w:tcW w:w="860" w:type="dxa"/>
            <w:vAlign w:val="bottom"/>
          </w:tcPr>
          <w:p>
            <w:pPr>
              <w:spacing w:after="0"/>
              <w:rPr>
                <w:sz w:val="17"/>
                <w:szCs w:val="17"/>
                <w:color w:val="auto"/>
              </w:rPr>
            </w:pPr>
          </w:p>
        </w:tc>
        <w:tc>
          <w:tcPr>
            <w:tcW w:w="10560" w:type="dxa"/>
            <w:vAlign w:val="bottom"/>
          </w:tcPr>
          <w:p>
            <w:pPr>
              <w:ind w:left="400"/>
              <w:spacing w:after="0"/>
              <w:rPr>
                <w:sz w:val="20"/>
                <w:szCs w:val="20"/>
                <w:color w:val="auto"/>
              </w:rPr>
            </w:pPr>
            <w:r>
              <w:rPr>
                <w:rFonts w:ascii="Arial" w:cs="Arial" w:eastAsia="Arial" w:hAnsi="Arial"/>
                <w:sz w:val="16"/>
                <w:szCs w:val="16"/>
                <w:color w:val="auto"/>
                <w:w w:val="93"/>
              </w:rPr>
              <w:t>2005 and amended on May 7, 2008 and February 23, 2011, among the Registrant, Lazard Group LLC and Scott D. Hoffman (incorporated by reference to</w:t>
            </w:r>
          </w:p>
        </w:tc>
      </w:tr>
      <w:tr>
        <w:trPr>
          <w:trHeight w:val="209"/>
        </w:trPr>
        <w:tc>
          <w:tcPr>
            <w:tcW w:w="860" w:type="dxa"/>
            <w:vAlign w:val="bottom"/>
          </w:tcPr>
          <w:p>
            <w:pPr>
              <w:spacing w:after="0"/>
              <w:rPr>
                <w:sz w:val="18"/>
                <w:szCs w:val="18"/>
                <w:color w:val="auto"/>
              </w:rPr>
            </w:pPr>
          </w:p>
        </w:tc>
        <w:tc>
          <w:tcPr>
            <w:tcW w:w="10560" w:type="dxa"/>
            <w:vAlign w:val="bottom"/>
          </w:tcPr>
          <w:p>
            <w:pPr>
              <w:ind w:left="400"/>
              <w:spacing w:after="0"/>
              <w:rPr>
                <w:sz w:val="20"/>
                <w:szCs w:val="20"/>
                <w:color w:val="auto"/>
              </w:rPr>
            </w:pPr>
            <w:r>
              <w:rPr>
                <w:rFonts w:ascii="Arial" w:cs="Arial" w:eastAsia="Arial" w:hAnsi="Arial"/>
                <w:sz w:val="16"/>
                <w:szCs w:val="16"/>
                <w:color w:val="auto"/>
              </w:rPr>
              <w:t>Exhibit 10.52 to the Registrant’s Quarterly Report (File No. 001-32492) on Form 10-Q filed on April 30, 2013).</w:t>
            </w:r>
          </w:p>
        </w:tc>
      </w:tr>
      <w:tr>
        <w:trPr>
          <w:trHeight w:val="298"/>
        </w:trPr>
        <w:tc>
          <w:tcPr>
            <w:tcW w:w="860" w:type="dxa"/>
            <w:vAlign w:val="bottom"/>
          </w:tcPr>
          <w:p>
            <w:pPr>
              <w:jc w:val="right"/>
              <w:ind w:right="318"/>
              <w:spacing w:after="0"/>
              <w:rPr>
                <w:sz w:val="20"/>
                <w:szCs w:val="20"/>
                <w:color w:val="auto"/>
              </w:rPr>
            </w:pPr>
            <w:r>
              <w:rPr>
                <w:rFonts w:ascii="Arial" w:cs="Arial" w:eastAsia="Arial" w:hAnsi="Arial"/>
                <w:sz w:val="16"/>
                <w:szCs w:val="16"/>
                <w:color w:val="auto"/>
                <w:w w:val="95"/>
              </w:rPr>
              <w:t>10.39*</w:t>
            </w:r>
          </w:p>
        </w:tc>
        <w:tc>
          <w:tcPr>
            <w:tcW w:w="10560" w:type="dxa"/>
            <w:vAlign w:val="bottom"/>
          </w:tcPr>
          <w:p>
            <w:pPr>
              <w:ind w:left="400"/>
              <w:spacing w:after="0"/>
              <w:rPr>
                <w:sz w:val="20"/>
                <w:szCs w:val="20"/>
                <w:color w:val="auto"/>
              </w:rPr>
            </w:pPr>
            <w:r>
              <w:rPr>
                <w:rFonts w:ascii="Arial" w:cs="Arial" w:eastAsia="Arial" w:hAnsi="Arial"/>
                <w:sz w:val="16"/>
                <w:szCs w:val="16"/>
                <w:color w:val="auto"/>
                <w:w w:val="93"/>
              </w:rPr>
              <w:t>Second Amendment, dated as of March 14, 2013, to the Agreement Relating to Retention and Noncompetition and Other Covenants dated as of October</w:t>
            </w:r>
          </w:p>
        </w:tc>
      </w:tr>
      <w:tr>
        <w:trPr>
          <w:trHeight w:val="202"/>
        </w:trPr>
        <w:tc>
          <w:tcPr>
            <w:tcW w:w="860" w:type="dxa"/>
            <w:vAlign w:val="bottom"/>
          </w:tcPr>
          <w:p>
            <w:pPr>
              <w:spacing w:after="0"/>
              <w:rPr>
                <w:sz w:val="17"/>
                <w:szCs w:val="17"/>
                <w:color w:val="auto"/>
              </w:rPr>
            </w:pPr>
          </w:p>
        </w:tc>
        <w:tc>
          <w:tcPr>
            <w:tcW w:w="10560" w:type="dxa"/>
            <w:vAlign w:val="bottom"/>
          </w:tcPr>
          <w:p>
            <w:pPr>
              <w:ind w:left="400"/>
              <w:spacing w:after="0"/>
              <w:rPr>
                <w:sz w:val="20"/>
                <w:szCs w:val="20"/>
                <w:color w:val="auto"/>
              </w:rPr>
            </w:pPr>
            <w:r>
              <w:rPr>
                <w:rFonts w:ascii="Arial" w:cs="Arial" w:eastAsia="Arial" w:hAnsi="Arial"/>
                <w:sz w:val="16"/>
                <w:szCs w:val="16"/>
                <w:color w:val="auto"/>
                <w:w w:val="93"/>
              </w:rPr>
              <w:t>4, 2004 and amended on March 23, 2010, among the Registrant, Lazard Group LLC and Alexander F. Stern (incorporated by reference to Exhibit 10.53 to</w:t>
            </w:r>
          </w:p>
        </w:tc>
      </w:tr>
      <w:tr>
        <w:trPr>
          <w:trHeight w:val="209"/>
        </w:trPr>
        <w:tc>
          <w:tcPr>
            <w:tcW w:w="860" w:type="dxa"/>
            <w:vAlign w:val="bottom"/>
          </w:tcPr>
          <w:p>
            <w:pPr>
              <w:spacing w:after="0"/>
              <w:rPr>
                <w:sz w:val="18"/>
                <w:szCs w:val="18"/>
                <w:color w:val="auto"/>
              </w:rPr>
            </w:pPr>
          </w:p>
        </w:tc>
        <w:tc>
          <w:tcPr>
            <w:tcW w:w="10560" w:type="dxa"/>
            <w:vAlign w:val="bottom"/>
          </w:tcPr>
          <w:p>
            <w:pPr>
              <w:ind w:left="400"/>
              <w:spacing w:after="0"/>
              <w:rPr>
                <w:sz w:val="20"/>
                <w:szCs w:val="20"/>
                <w:color w:val="auto"/>
              </w:rPr>
            </w:pPr>
            <w:r>
              <w:rPr>
                <w:rFonts w:ascii="Arial" w:cs="Arial" w:eastAsia="Arial" w:hAnsi="Arial"/>
                <w:sz w:val="16"/>
                <w:szCs w:val="16"/>
                <w:color w:val="auto"/>
              </w:rPr>
              <w:t>the Registrant’s Quarterly Report (File No. 001-32492) on Form 10-Q filed on April 30, 2013).</w:t>
            </w:r>
          </w:p>
        </w:tc>
      </w:tr>
      <w:tr>
        <w:trPr>
          <w:trHeight w:val="298"/>
        </w:trPr>
        <w:tc>
          <w:tcPr>
            <w:tcW w:w="860" w:type="dxa"/>
            <w:vAlign w:val="bottom"/>
          </w:tcPr>
          <w:p>
            <w:pPr>
              <w:jc w:val="right"/>
              <w:ind w:right="318"/>
              <w:spacing w:after="0"/>
              <w:rPr>
                <w:sz w:val="20"/>
                <w:szCs w:val="20"/>
                <w:color w:val="auto"/>
              </w:rPr>
            </w:pPr>
            <w:r>
              <w:rPr>
                <w:rFonts w:ascii="Arial" w:cs="Arial" w:eastAsia="Arial" w:hAnsi="Arial"/>
                <w:sz w:val="16"/>
                <w:szCs w:val="16"/>
                <w:color w:val="auto"/>
                <w:w w:val="95"/>
              </w:rPr>
              <w:t>10.40*</w:t>
            </w:r>
          </w:p>
        </w:tc>
        <w:tc>
          <w:tcPr>
            <w:tcW w:w="10560" w:type="dxa"/>
            <w:vAlign w:val="bottom"/>
          </w:tcPr>
          <w:p>
            <w:pPr>
              <w:ind w:left="400"/>
              <w:spacing w:after="0"/>
              <w:rPr>
                <w:sz w:val="20"/>
                <w:szCs w:val="20"/>
                <w:color w:val="auto"/>
              </w:rPr>
            </w:pPr>
            <w:r>
              <w:rPr>
                <w:rFonts w:ascii="Arial" w:cs="Arial" w:eastAsia="Arial" w:hAnsi="Arial"/>
                <w:sz w:val="16"/>
                <w:szCs w:val="16"/>
                <w:color w:val="auto"/>
                <w:w w:val="95"/>
              </w:rPr>
              <w:t>Form of Agreement evidencing a grant of Performance-Based Stock Units under the 2008 Incentive Compensation Plan (incorporated by reference to</w:t>
            </w:r>
          </w:p>
        </w:tc>
      </w:tr>
      <w:tr>
        <w:trPr>
          <w:trHeight w:val="209"/>
        </w:trPr>
        <w:tc>
          <w:tcPr>
            <w:tcW w:w="860" w:type="dxa"/>
            <w:vAlign w:val="bottom"/>
          </w:tcPr>
          <w:p>
            <w:pPr>
              <w:spacing w:after="0"/>
              <w:rPr>
                <w:sz w:val="18"/>
                <w:szCs w:val="18"/>
                <w:color w:val="auto"/>
              </w:rPr>
            </w:pPr>
          </w:p>
        </w:tc>
        <w:tc>
          <w:tcPr>
            <w:tcW w:w="10560" w:type="dxa"/>
            <w:vAlign w:val="bottom"/>
          </w:tcPr>
          <w:p>
            <w:pPr>
              <w:ind w:left="400"/>
              <w:spacing w:after="0"/>
              <w:rPr>
                <w:sz w:val="20"/>
                <w:szCs w:val="20"/>
                <w:color w:val="auto"/>
              </w:rPr>
            </w:pPr>
            <w:r>
              <w:rPr>
                <w:rFonts w:ascii="Arial" w:cs="Arial" w:eastAsia="Arial" w:hAnsi="Arial"/>
                <w:sz w:val="16"/>
                <w:szCs w:val="16"/>
                <w:color w:val="auto"/>
              </w:rPr>
              <w:t>Exhibit 10.54 to the Registrant’s Quarterly Report (File No. 001-32492) on Form 10-Q filed on April 30, 2013).</w:t>
            </w:r>
          </w:p>
        </w:tc>
      </w:tr>
      <w:tr>
        <w:trPr>
          <w:trHeight w:val="298"/>
        </w:trPr>
        <w:tc>
          <w:tcPr>
            <w:tcW w:w="860" w:type="dxa"/>
            <w:vAlign w:val="bottom"/>
          </w:tcPr>
          <w:p>
            <w:pPr>
              <w:jc w:val="right"/>
              <w:ind w:right="318"/>
              <w:spacing w:after="0"/>
              <w:rPr>
                <w:sz w:val="20"/>
                <w:szCs w:val="20"/>
                <w:color w:val="auto"/>
              </w:rPr>
            </w:pPr>
            <w:r>
              <w:rPr>
                <w:rFonts w:ascii="Arial" w:cs="Arial" w:eastAsia="Arial" w:hAnsi="Arial"/>
                <w:sz w:val="16"/>
                <w:szCs w:val="16"/>
                <w:color w:val="auto"/>
                <w:w w:val="95"/>
              </w:rPr>
              <w:t>10.41*</w:t>
            </w:r>
          </w:p>
        </w:tc>
        <w:tc>
          <w:tcPr>
            <w:tcW w:w="10560" w:type="dxa"/>
            <w:vAlign w:val="bottom"/>
          </w:tcPr>
          <w:p>
            <w:pPr>
              <w:ind w:left="400"/>
              <w:spacing w:after="0"/>
              <w:rPr>
                <w:sz w:val="20"/>
                <w:szCs w:val="20"/>
                <w:color w:val="auto"/>
              </w:rPr>
            </w:pPr>
            <w:r>
              <w:rPr>
                <w:rFonts w:ascii="Arial" w:cs="Arial" w:eastAsia="Arial" w:hAnsi="Arial"/>
                <w:sz w:val="16"/>
                <w:szCs w:val="16"/>
                <w:color w:val="auto"/>
                <w:w w:val="93"/>
              </w:rPr>
              <w:t>Form of Agreement evidencing a grant of Lazard Fund Interests to Named Executive Officers under the 2008 Incentive Compensation Plan (incorporated</w:t>
            </w:r>
          </w:p>
        </w:tc>
      </w:tr>
      <w:tr>
        <w:trPr>
          <w:trHeight w:val="209"/>
        </w:trPr>
        <w:tc>
          <w:tcPr>
            <w:tcW w:w="860" w:type="dxa"/>
            <w:vAlign w:val="bottom"/>
          </w:tcPr>
          <w:p>
            <w:pPr>
              <w:spacing w:after="0"/>
              <w:rPr>
                <w:sz w:val="18"/>
                <w:szCs w:val="18"/>
                <w:color w:val="auto"/>
              </w:rPr>
            </w:pPr>
          </w:p>
        </w:tc>
        <w:tc>
          <w:tcPr>
            <w:tcW w:w="10560" w:type="dxa"/>
            <w:vAlign w:val="bottom"/>
          </w:tcPr>
          <w:p>
            <w:pPr>
              <w:ind w:left="400"/>
              <w:spacing w:after="0"/>
              <w:rPr>
                <w:sz w:val="20"/>
                <w:szCs w:val="20"/>
                <w:color w:val="auto"/>
              </w:rPr>
            </w:pPr>
            <w:r>
              <w:rPr>
                <w:rFonts w:ascii="Arial" w:cs="Arial" w:eastAsia="Arial" w:hAnsi="Arial"/>
                <w:sz w:val="16"/>
                <w:szCs w:val="16"/>
                <w:color w:val="auto"/>
              </w:rPr>
              <w:t>by reference to Exhibit 10.55 to the Registrant’s Quarterly Report (File No. 001-32492) on Form 10-Q filed on April 30, 2013).</w:t>
            </w:r>
          </w:p>
        </w:tc>
      </w:tr>
      <w:tr>
        <w:trPr>
          <w:trHeight w:val="298"/>
        </w:trPr>
        <w:tc>
          <w:tcPr>
            <w:tcW w:w="860" w:type="dxa"/>
            <w:vAlign w:val="bottom"/>
          </w:tcPr>
          <w:p>
            <w:pPr>
              <w:jc w:val="right"/>
              <w:ind w:right="318"/>
              <w:spacing w:after="0"/>
              <w:rPr>
                <w:sz w:val="20"/>
                <w:szCs w:val="20"/>
                <w:color w:val="auto"/>
              </w:rPr>
            </w:pPr>
            <w:r>
              <w:rPr>
                <w:rFonts w:ascii="Arial" w:cs="Arial" w:eastAsia="Arial" w:hAnsi="Arial"/>
                <w:sz w:val="16"/>
                <w:szCs w:val="16"/>
                <w:color w:val="auto"/>
                <w:w w:val="95"/>
              </w:rPr>
              <w:t>10.42*</w:t>
            </w:r>
          </w:p>
        </w:tc>
        <w:tc>
          <w:tcPr>
            <w:tcW w:w="10560" w:type="dxa"/>
            <w:vAlign w:val="bottom"/>
          </w:tcPr>
          <w:p>
            <w:pPr>
              <w:ind w:left="400"/>
              <w:spacing w:after="0"/>
              <w:rPr>
                <w:sz w:val="20"/>
                <w:szCs w:val="20"/>
                <w:color w:val="auto"/>
              </w:rPr>
            </w:pPr>
            <w:r>
              <w:rPr>
                <w:rFonts w:ascii="Arial" w:cs="Arial" w:eastAsia="Arial" w:hAnsi="Arial"/>
                <w:sz w:val="16"/>
                <w:szCs w:val="16"/>
                <w:color w:val="auto"/>
                <w:w w:val="93"/>
              </w:rPr>
              <w:t>Form of Agreement evidencing a grant of Restricted Stock Units to Named Executive Officers under the 2008 Incentive Compensation Plan (incorporated</w:t>
            </w:r>
          </w:p>
        </w:tc>
      </w:tr>
      <w:tr>
        <w:trPr>
          <w:trHeight w:val="209"/>
        </w:trPr>
        <w:tc>
          <w:tcPr>
            <w:tcW w:w="860" w:type="dxa"/>
            <w:vAlign w:val="bottom"/>
          </w:tcPr>
          <w:p>
            <w:pPr>
              <w:spacing w:after="0"/>
              <w:rPr>
                <w:sz w:val="18"/>
                <w:szCs w:val="18"/>
                <w:color w:val="auto"/>
              </w:rPr>
            </w:pPr>
          </w:p>
        </w:tc>
        <w:tc>
          <w:tcPr>
            <w:tcW w:w="10560" w:type="dxa"/>
            <w:vAlign w:val="bottom"/>
          </w:tcPr>
          <w:p>
            <w:pPr>
              <w:ind w:left="400"/>
              <w:spacing w:after="0"/>
              <w:rPr>
                <w:sz w:val="20"/>
                <w:szCs w:val="20"/>
                <w:color w:val="auto"/>
              </w:rPr>
            </w:pPr>
            <w:r>
              <w:rPr>
                <w:rFonts w:ascii="Arial" w:cs="Arial" w:eastAsia="Arial" w:hAnsi="Arial"/>
                <w:sz w:val="16"/>
                <w:szCs w:val="16"/>
                <w:color w:val="auto"/>
              </w:rPr>
              <w:t>by reference to Exhibit 10.56 to the Registrant’s Quarterly Report (File No. 001-32492) on Form 10-Q filed on April 30, 2013).</w:t>
            </w:r>
          </w:p>
        </w:tc>
      </w:tr>
      <w:tr>
        <w:trPr>
          <w:trHeight w:val="342"/>
        </w:trPr>
        <w:tc>
          <w:tcPr>
            <w:tcW w:w="860" w:type="dxa"/>
            <w:vAlign w:val="bottom"/>
          </w:tcPr>
          <w:p>
            <w:pPr>
              <w:spacing w:after="0"/>
              <w:rPr>
                <w:sz w:val="24"/>
                <w:szCs w:val="24"/>
                <w:color w:val="auto"/>
              </w:rPr>
            </w:pPr>
          </w:p>
        </w:tc>
        <w:tc>
          <w:tcPr>
            <w:tcW w:w="10560" w:type="dxa"/>
            <w:vAlign w:val="bottom"/>
          </w:tcPr>
          <w:p>
            <w:pPr>
              <w:ind w:left="4780"/>
              <w:spacing w:after="0"/>
              <w:rPr>
                <w:sz w:val="20"/>
                <w:szCs w:val="20"/>
                <w:color w:val="auto"/>
              </w:rPr>
            </w:pPr>
            <w:r>
              <w:rPr>
                <w:rFonts w:ascii="Arial" w:cs="Arial" w:eastAsia="Arial" w:hAnsi="Arial"/>
                <w:sz w:val="16"/>
                <w:szCs w:val="16"/>
                <w:color w:val="auto"/>
              </w:rPr>
              <w:t>84</w:t>
            </w:r>
          </w:p>
        </w:tc>
      </w:tr>
    </w:tbl>
    <w:p>
      <w:pPr>
        <w:sectPr>
          <w:pgSz w:w="11900" w:h="16838" w:orient="portrait"/>
          <w:cols w:equalWidth="0" w:num="1">
            <w:col w:w="11420"/>
          </w:cols>
          <w:pgMar w:left="240" w:top="440" w:right="239" w:bottom="1440" w:gutter="0" w:footer="0" w:header="0"/>
        </w:sectPr>
      </w:pPr>
    </w:p>
    <w:bookmarkStart w:id="86" w:name="page87"/>
    <w:bookmarkEnd w:id="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40" w:type="dxa"/>
            <w:vAlign w:val="bottom"/>
          </w:tcPr>
          <w:p>
            <w:pPr>
              <w:jc w:val="right"/>
              <w:ind w:right="398"/>
              <w:spacing w:after="0"/>
              <w:rPr>
                <w:sz w:val="20"/>
                <w:szCs w:val="20"/>
                <w:color w:val="auto"/>
              </w:rPr>
            </w:pPr>
            <w:r>
              <w:rPr>
                <w:rFonts w:ascii="Arial" w:cs="Arial" w:eastAsia="Arial" w:hAnsi="Arial"/>
                <w:sz w:val="16"/>
                <w:szCs w:val="16"/>
                <w:color w:val="auto"/>
                <w:w w:val="95"/>
              </w:rPr>
              <w:t>10.43*</w:t>
            </w:r>
          </w:p>
        </w:tc>
        <w:tc>
          <w:tcPr>
            <w:tcW w:w="10480" w:type="dxa"/>
            <w:vAlign w:val="bottom"/>
          </w:tcPr>
          <w:p>
            <w:pPr>
              <w:ind w:left="320"/>
              <w:spacing w:after="0"/>
              <w:rPr>
                <w:sz w:val="20"/>
                <w:szCs w:val="20"/>
                <w:color w:val="auto"/>
              </w:rPr>
            </w:pPr>
            <w:r>
              <w:rPr>
                <w:rFonts w:ascii="Arial" w:cs="Arial" w:eastAsia="Arial" w:hAnsi="Arial"/>
                <w:sz w:val="16"/>
                <w:szCs w:val="16"/>
                <w:color w:val="auto"/>
                <w:w w:val="93"/>
              </w:rPr>
              <w:t>Form of Agreement evidencing a February 20, 2014 grant of Performance-Based Stock Units under the 2008 Incentive Compensation Plan (incorporated</w:t>
            </w:r>
          </w:p>
        </w:tc>
      </w:tr>
      <w:tr>
        <w:trPr>
          <w:trHeight w:val="209"/>
        </w:trPr>
        <w:tc>
          <w:tcPr>
            <w:tcW w:w="940" w:type="dxa"/>
            <w:vAlign w:val="bottom"/>
          </w:tcPr>
          <w:p>
            <w:pPr>
              <w:spacing w:after="0"/>
              <w:rPr>
                <w:sz w:val="18"/>
                <w:szCs w:val="18"/>
                <w:color w:val="auto"/>
              </w:rPr>
            </w:pPr>
          </w:p>
        </w:tc>
        <w:tc>
          <w:tcPr>
            <w:tcW w:w="10480" w:type="dxa"/>
            <w:vAlign w:val="bottom"/>
          </w:tcPr>
          <w:p>
            <w:pPr>
              <w:ind w:left="320"/>
              <w:spacing w:after="0"/>
              <w:rPr>
                <w:sz w:val="20"/>
                <w:szCs w:val="20"/>
                <w:color w:val="auto"/>
              </w:rPr>
            </w:pPr>
            <w:r>
              <w:rPr>
                <w:rFonts w:ascii="Arial" w:cs="Arial" w:eastAsia="Arial" w:hAnsi="Arial"/>
                <w:sz w:val="16"/>
                <w:szCs w:val="16"/>
                <w:color w:val="auto"/>
              </w:rPr>
              <w:t>by reference to Exhibit 10.55 to the Registrant’s Quarterly Report (File No. 001-32492) on Form 10-Q filed May 6, 2014).</w:t>
            </w:r>
          </w:p>
        </w:tc>
      </w:tr>
      <w:tr>
        <w:trPr>
          <w:trHeight w:val="310"/>
        </w:trPr>
        <w:tc>
          <w:tcPr>
            <w:tcW w:w="940" w:type="dxa"/>
            <w:vAlign w:val="bottom"/>
          </w:tcPr>
          <w:p>
            <w:pPr>
              <w:jc w:val="right"/>
              <w:ind w:right="398"/>
              <w:spacing w:after="0"/>
              <w:rPr>
                <w:sz w:val="20"/>
                <w:szCs w:val="20"/>
                <w:color w:val="auto"/>
              </w:rPr>
            </w:pPr>
            <w:r>
              <w:rPr>
                <w:rFonts w:ascii="Arial" w:cs="Arial" w:eastAsia="Arial" w:hAnsi="Arial"/>
                <w:sz w:val="16"/>
                <w:szCs w:val="16"/>
                <w:color w:val="auto"/>
                <w:w w:val="95"/>
              </w:rPr>
              <w:t>10.44*</w:t>
            </w:r>
          </w:p>
        </w:tc>
        <w:tc>
          <w:tcPr>
            <w:tcW w:w="10480" w:type="dxa"/>
            <w:vAlign w:val="bottom"/>
          </w:tcPr>
          <w:p>
            <w:pPr>
              <w:ind w:left="320"/>
              <w:spacing w:after="0"/>
              <w:rPr>
                <w:sz w:val="20"/>
                <w:szCs w:val="20"/>
                <w:color w:val="auto"/>
              </w:rPr>
            </w:pPr>
            <w:r>
              <w:rPr>
                <w:rFonts w:ascii="Arial" w:cs="Arial" w:eastAsia="Arial" w:hAnsi="Arial"/>
                <w:sz w:val="16"/>
                <w:szCs w:val="16"/>
                <w:color w:val="auto"/>
                <w:w w:val="92"/>
              </w:rPr>
              <w:t>Agreement between the Company and Kenneth M. Jacobs, dated as of February 20, 2014, evidencing a grant of Performance-Based Stock Units under the</w:t>
            </w:r>
          </w:p>
        </w:tc>
      </w:tr>
      <w:tr>
        <w:trPr>
          <w:trHeight w:val="202"/>
        </w:trPr>
        <w:tc>
          <w:tcPr>
            <w:tcW w:w="940" w:type="dxa"/>
            <w:vAlign w:val="bottom"/>
          </w:tcPr>
          <w:p>
            <w:pPr>
              <w:spacing w:after="0"/>
              <w:rPr>
                <w:sz w:val="17"/>
                <w:szCs w:val="17"/>
                <w:color w:val="auto"/>
              </w:rPr>
            </w:pPr>
          </w:p>
        </w:tc>
        <w:tc>
          <w:tcPr>
            <w:tcW w:w="10480" w:type="dxa"/>
            <w:vAlign w:val="bottom"/>
          </w:tcPr>
          <w:p>
            <w:pPr>
              <w:ind w:left="320"/>
              <w:spacing w:after="0"/>
              <w:rPr>
                <w:sz w:val="20"/>
                <w:szCs w:val="20"/>
                <w:color w:val="auto"/>
              </w:rPr>
            </w:pPr>
            <w:r>
              <w:rPr>
                <w:rFonts w:ascii="Arial" w:cs="Arial" w:eastAsia="Arial" w:hAnsi="Arial"/>
                <w:sz w:val="16"/>
                <w:szCs w:val="16"/>
                <w:color w:val="auto"/>
                <w:w w:val="95"/>
              </w:rPr>
              <w:t>2008 Incentive Compensation Plan (incorporated by reference to Exhibit 10.56 to the Registrant’s Quarterly Report (File No. 001-32492) on Form 10-Q</w:t>
            </w:r>
          </w:p>
        </w:tc>
      </w:tr>
      <w:tr>
        <w:trPr>
          <w:trHeight w:val="209"/>
        </w:trPr>
        <w:tc>
          <w:tcPr>
            <w:tcW w:w="940" w:type="dxa"/>
            <w:vAlign w:val="bottom"/>
          </w:tcPr>
          <w:p>
            <w:pPr>
              <w:spacing w:after="0"/>
              <w:rPr>
                <w:sz w:val="18"/>
                <w:szCs w:val="18"/>
                <w:color w:val="auto"/>
              </w:rPr>
            </w:pPr>
          </w:p>
        </w:tc>
        <w:tc>
          <w:tcPr>
            <w:tcW w:w="10480" w:type="dxa"/>
            <w:vAlign w:val="bottom"/>
          </w:tcPr>
          <w:p>
            <w:pPr>
              <w:ind w:left="320"/>
              <w:spacing w:after="0"/>
              <w:rPr>
                <w:sz w:val="20"/>
                <w:szCs w:val="20"/>
                <w:color w:val="auto"/>
              </w:rPr>
            </w:pPr>
            <w:r>
              <w:rPr>
                <w:rFonts w:ascii="Arial" w:cs="Arial" w:eastAsia="Arial" w:hAnsi="Arial"/>
                <w:sz w:val="16"/>
                <w:szCs w:val="16"/>
                <w:color w:val="auto"/>
              </w:rPr>
              <w:t>filed on May 6, 2014).</w:t>
            </w:r>
          </w:p>
        </w:tc>
      </w:tr>
      <w:tr>
        <w:trPr>
          <w:trHeight w:val="304"/>
        </w:trPr>
        <w:tc>
          <w:tcPr>
            <w:tcW w:w="940" w:type="dxa"/>
            <w:vAlign w:val="bottom"/>
          </w:tcPr>
          <w:p>
            <w:pPr>
              <w:jc w:val="right"/>
              <w:ind w:right="478"/>
              <w:spacing w:after="0"/>
              <w:rPr>
                <w:sz w:val="20"/>
                <w:szCs w:val="20"/>
                <w:color w:val="auto"/>
              </w:rPr>
            </w:pPr>
            <w:r>
              <w:rPr>
                <w:rFonts w:ascii="Arial" w:cs="Arial" w:eastAsia="Arial" w:hAnsi="Arial"/>
                <w:sz w:val="16"/>
                <w:szCs w:val="16"/>
                <w:color w:val="auto"/>
              </w:rPr>
              <w:t>12.1</w:t>
            </w:r>
          </w:p>
        </w:tc>
        <w:tc>
          <w:tcPr>
            <w:tcW w:w="10480" w:type="dxa"/>
            <w:vAlign w:val="bottom"/>
          </w:tcPr>
          <w:p>
            <w:pPr>
              <w:ind w:left="320"/>
              <w:spacing w:after="0"/>
              <w:rPr>
                <w:sz w:val="20"/>
                <w:szCs w:val="20"/>
                <w:color w:val="auto"/>
              </w:rPr>
            </w:pPr>
            <w:r>
              <w:rPr>
                <w:rFonts w:ascii="Arial" w:cs="Arial" w:eastAsia="Arial" w:hAnsi="Arial"/>
                <w:sz w:val="16"/>
                <w:szCs w:val="16"/>
                <w:color w:val="auto"/>
              </w:rPr>
              <w:t>Computation of Ratio of Earnings to Fixed Charges.</w:t>
            </w:r>
          </w:p>
        </w:tc>
      </w:tr>
      <w:tr>
        <w:trPr>
          <w:trHeight w:val="304"/>
        </w:trPr>
        <w:tc>
          <w:tcPr>
            <w:tcW w:w="940" w:type="dxa"/>
            <w:vAlign w:val="bottom"/>
          </w:tcPr>
          <w:p>
            <w:pPr>
              <w:jc w:val="right"/>
              <w:ind w:right="478"/>
              <w:spacing w:after="0"/>
              <w:rPr>
                <w:sz w:val="20"/>
                <w:szCs w:val="20"/>
                <w:color w:val="auto"/>
              </w:rPr>
            </w:pPr>
            <w:r>
              <w:rPr>
                <w:rFonts w:ascii="Arial" w:cs="Arial" w:eastAsia="Arial" w:hAnsi="Arial"/>
                <w:sz w:val="16"/>
                <w:szCs w:val="16"/>
                <w:color w:val="auto"/>
              </w:rPr>
              <w:t>31.1</w:t>
            </w:r>
          </w:p>
        </w:tc>
        <w:tc>
          <w:tcPr>
            <w:tcW w:w="10480" w:type="dxa"/>
            <w:vAlign w:val="bottom"/>
          </w:tcPr>
          <w:p>
            <w:pPr>
              <w:ind w:left="320"/>
              <w:spacing w:after="0"/>
              <w:rPr>
                <w:sz w:val="20"/>
                <w:szCs w:val="20"/>
                <w:color w:val="auto"/>
              </w:rPr>
            </w:pPr>
            <w:r>
              <w:rPr>
                <w:rFonts w:ascii="Arial" w:cs="Arial" w:eastAsia="Arial" w:hAnsi="Arial"/>
                <w:sz w:val="16"/>
                <w:szCs w:val="16"/>
                <w:color w:val="auto"/>
              </w:rPr>
              <w:t>Rule 13a-14(a) Certification of Kenneth M. Jacobs.</w:t>
            </w:r>
          </w:p>
        </w:tc>
      </w:tr>
      <w:tr>
        <w:trPr>
          <w:trHeight w:val="304"/>
        </w:trPr>
        <w:tc>
          <w:tcPr>
            <w:tcW w:w="940" w:type="dxa"/>
            <w:vAlign w:val="bottom"/>
          </w:tcPr>
          <w:p>
            <w:pPr>
              <w:jc w:val="right"/>
              <w:ind w:right="478"/>
              <w:spacing w:after="0"/>
              <w:rPr>
                <w:sz w:val="20"/>
                <w:szCs w:val="20"/>
                <w:color w:val="auto"/>
              </w:rPr>
            </w:pPr>
            <w:r>
              <w:rPr>
                <w:rFonts w:ascii="Arial" w:cs="Arial" w:eastAsia="Arial" w:hAnsi="Arial"/>
                <w:sz w:val="16"/>
                <w:szCs w:val="16"/>
                <w:color w:val="auto"/>
              </w:rPr>
              <w:t>31.2</w:t>
            </w:r>
          </w:p>
        </w:tc>
        <w:tc>
          <w:tcPr>
            <w:tcW w:w="10480" w:type="dxa"/>
            <w:vAlign w:val="bottom"/>
          </w:tcPr>
          <w:p>
            <w:pPr>
              <w:ind w:left="320"/>
              <w:spacing w:after="0"/>
              <w:rPr>
                <w:sz w:val="20"/>
                <w:szCs w:val="20"/>
                <w:color w:val="auto"/>
              </w:rPr>
            </w:pPr>
            <w:r>
              <w:rPr>
                <w:rFonts w:ascii="Arial" w:cs="Arial" w:eastAsia="Arial" w:hAnsi="Arial"/>
                <w:sz w:val="16"/>
                <w:szCs w:val="16"/>
                <w:color w:val="auto"/>
              </w:rPr>
              <w:t>Rule 13a-14(a) Certification of Matthieu Bucaille.</w:t>
            </w:r>
          </w:p>
        </w:tc>
      </w:tr>
      <w:tr>
        <w:trPr>
          <w:trHeight w:val="304"/>
        </w:trPr>
        <w:tc>
          <w:tcPr>
            <w:tcW w:w="940" w:type="dxa"/>
            <w:vAlign w:val="bottom"/>
          </w:tcPr>
          <w:p>
            <w:pPr>
              <w:jc w:val="right"/>
              <w:ind w:right="478"/>
              <w:spacing w:after="0"/>
              <w:rPr>
                <w:sz w:val="20"/>
                <w:szCs w:val="20"/>
                <w:color w:val="auto"/>
              </w:rPr>
            </w:pPr>
            <w:r>
              <w:rPr>
                <w:rFonts w:ascii="Arial" w:cs="Arial" w:eastAsia="Arial" w:hAnsi="Arial"/>
                <w:sz w:val="16"/>
                <w:szCs w:val="16"/>
                <w:color w:val="auto"/>
              </w:rPr>
              <w:t>32.1</w:t>
            </w:r>
          </w:p>
        </w:tc>
        <w:tc>
          <w:tcPr>
            <w:tcW w:w="10480" w:type="dxa"/>
            <w:vAlign w:val="bottom"/>
          </w:tcPr>
          <w:p>
            <w:pPr>
              <w:ind w:left="320"/>
              <w:spacing w:after="0"/>
              <w:rPr>
                <w:sz w:val="20"/>
                <w:szCs w:val="20"/>
                <w:color w:val="auto"/>
              </w:rPr>
            </w:pPr>
            <w:r>
              <w:rPr>
                <w:rFonts w:ascii="Arial" w:cs="Arial" w:eastAsia="Arial" w:hAnsi="Arial"/>
                <w:sz w:val="16"/>
                <w:szCs w:val="16"/>
                <w:color w:val="auto"/>
              </w:rPr>
              <w:t>Section 1350 Certification for Kenneth M. Jacobs.</w:t>
            </w:r>
          </w:p>
        </w:tc>
      </w:tr>
      <w:tr>
        <w:trPr>
          <w:trHeight w:val="304"/>
        </w:trPr>
        <w:tc>
          <w:tcPr>
            <w:tcW w:w="940" w:type="dxa"/>
            <w:vAlign w:val="bottom"/>
          </w:tcPr>
          <w:p>
            <w:pPr>
              <w:jc w:val="right"/>
              <w:ind w:right="478"/>
              <w:spacing w:after="0"/>
              <w:rPr>
                <w:sz w:val="20"/>
                <w:szCs w:val="20"/>
                <w:color w:val="auto"/>
              </w:rPr>
            </w:pPr>
            <w:r>
              <w:rPr>
                <w:rFonts w:ascii="Arial" w:cs="Arial" w:eastAsia="Arial" w:hAnsi="Arial"/>
                <w:sz w:val="16"/>
                <w:szCs w:val="16"/>
                <w:color w:val="auto"/>
              </w:rPr>
              <w:t>32.2</w:t>
            </w:r>
          </w:p>
        </w:tc>
        <w:tc>
          <w:tcPr>
            <w:tcW w:w="10480" w:type="dxa"/>
            <w:vAlign w:val="bottom"/>
          </w:tcPr>
          <w:p>
            <w:pPr>
              <w:ind w:left="320"/>
              <w:spacing w:after="0"/>
              <w:rPr>
                <w:sz w:val="20"/>
                <w:szCs w:val="20"/>
                <w:color w:val="auto"/>
              </w:rPr>
            </w:pPr>
            <w:r>
              <w:rPr>
                <w:rFonts w:ascii="Arial" w:cs="Arial" w:eastAsia="Arial" w:hAnsi="Arial"/>
                <w:sz w:val="16"/>
                <w:szCs w:val="16"/>
                <w:color w:val="auto"/>
              </w:rPr>
              <w:t>Section 1350 Certification for Matthieu Bucaille.</w:t>
            </w:r>
          </w:p>
        </w:tc>
      </w:tr>
      <w:tr>
        <w:trPr>
          <w:trHeight w:val="304"/>
        </w:trPr>
        <w:tc>
          <w:tcPr>
            <w:tcW w:w="940" w:type="dxa"/>
            <w:vAlign w:val="bottom"/>
          </w:tcPr>
          <w:p>
            <w:pPr>
              <w:spacing w:after="0"/>
              <w:rPr>
                <w:sz w:val="20"/>
                <w:szCs w:val="20"/>
                <w:color w:val="auto"/>
              </w:rPr>
            </w:pPr>
            <w:r>
              <w:rPr>
                <w:rFonts w:ascii="Arial" w:cs="Arial" w:eastAsia="Arial" w:hAnsi="Arial"/>
                <w:sz w:val="16"/>
                <w:szCs w:val="16"/>
                <w:color w:val="auto"/>
              </w:rPr>
              <w:t>101.INS</w:t>
            </w:r>
          </w:p>
        </w:tc>
        <w:tc>
          <w:tcPr>
            <w:tcW w:w="10480" w:type="dxa"/>
            <w:vAlign w:val="bottom"/>
          </w:tcPr>
          <w:p>
            <w:pPr>
              <w:ind w:left="320"/>
              <w:spacing w:after="0"/>
              <w:rPr>
                <w:sz w:val="20"/>
                <w:szCs w:val="20"/>
                <w:color w:val="auto"/>
              </w:rPr>
            </w:pPr>
            <w:r>
              <w:rPr>
                <w:rFonts w:ascii="Arial" w:cs="Arial" w:eastAsia="Arial" w:hAnsi="Arial"/>
                <w:sz w:val="16"/>
                <w:szCs w:val="16"/>
                <w:color w:val="auto"/>
              </w:rPr>
              <w:t>XBRL Instance Document</w:t>
            </w:r>
          </w:p>
        </w:tc>
      </w:tr>
      <w:tr>
        <w:trPr>
          <w:trHeight w:val="304"/>
        </w:trPr>
        <w:tc>
          <w:tcPr>
            <w:tcW w:w="940" w:type="dxa"/>
            <w:vAlign w:val="bottom"/>
          </w:tcPr>
          <w:p>
            <w:pPr>
              <w:spacing w:after="0"/>
              <w:rPr>
                <w:sz w:val="20"/>
                <w:szCs w:val="20"/>
                <w:color w:val="auto"/>
              </w:rPr>
            </w:pPr>
            <w:r>
              <w:rPr>
                <w:rFonts w:ascii="Arial" w:cs="Arial" w:eastAsia="Arial" w:hAnsi="Arial"/>
                <w:sz w:val="16"/>
                <w:szCs w:val="16"/>
                <w:color w:val="auto"/>
              </w:rPr>
              <w:t>101.SCH</w:t>
            </w:r>
          </w:p>
        </w:tc>
        <w:tc>
          <w:tcPr>
            <w:tcW w:w="10480" w:type="dxa"/>
            <w:vAlign w:val="bottom"/>
          </w:tcPr>
          <w:p>
            <w:pPr>
              <w:ind w:left="320"/>
              <w:spacing w:after="0"/>
              <w:rPr>
                <w:sz w:val="20"/>
                <w:szCs w:val="20"/>
                <w:color w:val="auto"/>
              </w:rPr>
            </w:pPr>
            <w:r>
              <w:rPr>
                <w:rFonts w:ascii="Arial" w:cs="Arial" w:eastAsia="Arial" w:hAnsi="Arial"/>
                <w:sz w:val="16"/>
                <w:szCs w:val="16"/>
                <w:color w:val="auto"/>
              </w:rPr>
              <w:t>XBRL Taxonomy Extension Schema</w:t>
            </w:r>
          </w:p>
        </w:tc>
      </w:tr>
      <w:tr>
        <w:trPr>
          <w:trHeight w:val="304"/>
        </w:trPr>
        <w:tc>
          <w:tcPr>
            <w:tcW w:w="940" w:type="dxa"/>
            <w:vAlign w:val="bottom"/>
          </w:tcPr>
          <w:p>
            <w:pPr>
              <w:spacing w:after="0"/>
              <w:rPr>
                <w:sz w:val="20"/>
                <w:szCs w:val="20"/>
                <w:color w:val="auto"/>
              </w:rPr>
            </w:pPr>
            <w:r>
              <w:rPr>
                <w:rFonts w:ascii="Arial" w:cs="Arial" w:eastAsia="Arial" w:hAnsi="Arial"/>
                <w:sz w:val="16"/>
                <w:szCs w:val="16"/>
                <w:color w:val="auto"/>
              </w:rPr>
              <w:t>101.CAL</w:t>
            </w:r>
          </w:p>
        </w:tc>
        <w:tc>
          <w:tcPr>
            <w:tcW w:w="10480" w:type="dxa"/>
            <w:vAlign w:val="bottom"/>
          </w:tcPr>
          <w:p>
            <w:pPr>
              <w:ind w:left="320"/>
              <w:spacing w:after="0"/>
              <w:rPr>
                <w:sz w:val="20"/>
                <w:szCs w:val="20"/>
                <w:color w:val="auto"/>
              </w:rPr>
            </w:pPr>
            <w:r>
              <w:rPr>
                <w:rFonts w:ascii="Arial" w:cs="Arial" w:eastAsia="Arial" w:hAnsi="Arial"/>
                <w:sz w:val="16"/>
                <w:szCs w:val="16"/>
                <w:color w:val="auto"/>
              </w:rPr>
              <w:t>XBRL Taxonomy Extension Calculation Linkbase</w:t>
            </w:r>
          </w:p>
        </w:tc>
      </w:tr>
      <w:tr>
        <w:trPr>
          <w:trHeight w:val="304"/>
        </w:trPr>
        <w:tc>
          <w:tcPr>
            <w:tcW w:w="940" w:type="dxa"/>
            <w:vAlign w:val="bottom"/>
          </w:tcPr>
          <w:p>
            <w:pPr>
              <w:spacing w:after="0"/>
              <w:rPr>
                <w:sz w:val="20"/>
                <w:szCs w:val="20"/>
                <w:color w:val="auto"/>
              </w:rPr>
            </w:pPr>
            <w:r>
              <w:rPr>
                <w:rFonts w:ascii="Arial" w:cs="Arial" w:eastAsia="Arial" w:hAnsi="Arial"/>
                <w:sz w:val="16"/>
                <w:szCs w:val="16"/>
                <w:color w:val="auto"/>
              </w:rPr>
              <w:t>101.DEF</w:t>
            </w:r>
          </w:p>
        </w:tc>
        <w:tc>
          <w:tcPr>
            <w:tcW w:w="10480" w:type="dxa"/>
            <w:vAlign w:val="bottom"/>
          </w:tcPr>
          <w:p>
            <w:pPr>
              <w:ind w:left="320"/>
              <w:spacing w:after="0"/>
              <w:rPr>
                <w:sz w:val="20"/>
                <w:szCs w:val="20"/>
                <w:color w:val="auto"/>
              </w:rPr>
            </w:pPr>
            <w:r>
              <w:rPr>
                <w:rFonts w:ascii="Arial" w:cs="Arial" w:eastAsia="Arial" w:hAnsi="Arial"/>
                <w:sz w:val="16"/>
                <w:szCs w:val="16"/>
                <w:color w:val="auto"/>
              </w:rPr>
              <w:t>XBRL Taxonomy Extension Definition Linkbase</w:t>
            </w:r>
          </w:p>
        </w:tc>
      </w:tr>
      <w:tr>
        <w:trPr>
          <w:trHeight w:val="304"/>
        </w:trPr>
        <w:tc>
          <w:tcPr>
            <w:tcW w:w="940" w:type="dxa"/>
            <w:vAlign w:val="bottom"/>
          </w:tcPr>
          <w:p>
            <w:pPr>
              <w:spacing w:after="0"/>
              <w:rPr>
                <w:sz w:val="20"/>
                <w:szCs w:val="20"/>
                <w:color w:val="auto"/>
              </w:rPr>
            </w:pPr>
            <w:r>
              <w:rPr>
                <w:rFonts w:ascii="Arial" w:cs="Arial" w:eastAsia="Arial" w:hAnsi="Arial"/>
                <w:sz w:val="16"/>
                <w:szCs w:val="16"/>
                <w:color w:val="auto"/>
              </w:rPr>
              <w:t>101.LAB</w:t>
            </w:r>
          </w:p>
        </w:tc>
        <w:tc>
          <w:tcPr>
            <w:tcW w:w="10480" w:type="dxa"/>
            <w:vAlign w:val="bottom"/>
          </w:tcPr>
          <w:p>
            <w:pPr>
              <w:ind w:left="320"/>
              <w:spacing w:after="0"/>
              <w:rPr>
                <w:sz w:val="20"/>
                <w:szCs w:val="20"/>
                <w:color w:val="auto"/>
              </w:rPr>
            </w:pPr>
            <w:r>
              <w:rPr>
                <w:rFonts w:ascii="Arial" w:cs="Arial" w:eastAsia="Arial" w:hAnsi="Arial"/>
                <w:sz w:val="16"/>
                <w:szCs w:val="16"/>
                <w:color w:val="auto"/>
              </w:rPr>
              <w:t>XBRL Taxonomy Extension Label Linkbase</w:t>
            </w:r>
          </w:p>
        </w:tc>
      </w:tr>
      <w:tr>
        <w:trPr>
          <w:trHeight w:val="304"/>
        </w:trPr>
        <w:tc>
          <w:tcPr>
            <w:tcW w:w="940" w:type="dxa"/>
            <w:vAlign w:val="bottom"/>
          </w:tcPr>
          <w:p>
            <w:pPr>
              <w:spacing w:after="0"/>
              <w:rPr>
                <w:sz w:val="20"/>
                <w:szCs w:val="20"/>
                <w:color w:val="auto"/>
              </w:rPr>
            </w:pPr>
            <w:r>
              <w:rPr>
                <w:rFonts w:ascii="Arial" w:cs="Arial" w:eastAsia="Arial" w:hAnsi="Arial"/>
                <w:sz w:val="16"/>
                <w:szCs w:val="16"/>
                <w:color w:val="auto"/>
              </w:rPr>
              <w:t>101.PRE</w:t>
            </w:r>
          </w:p>
        </w:tc>
        <w:tc>
          <w:tcPr>
            <w:tcW w:w="10480" w:type="dxa"/>
            <w:vAlign w:val="bottom"/>
          </w:tcPr>
          <w:p>
            <w:pPr>
              <w:ind w:left="320"/>
              <w:spacing w:after="0"/>
              <w:rPr>
                <w:sz w:val="20"/>
                <w:szCs w:val="20"/>
                <w:color w:val="auto"/>
              </w:rPr>
            </w:pPr>
            <w:r>
              <w:rPr>
                <w:rFonts w:ascii="Arial" w:cs="Arial" w:eastAsia="Arial" w:hAnsi="Arial"/>
                <w:sz w:val="16"/>
                <w:szCs w:val="16"/>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66040</wp:posOffset>
            </wp:positionV>
            <wp:extent cx="72326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13" w:lineRule="exact"/>
        <w:rPr>
          <w:sz w:val="20"/>
          <w:szCs w:val="20"/>
          <w:color w:val="auto"/>
        </w:rPr>
      </w:pPr>
    </w:p>
    <w:p>
      <w:pPr>
        <w:spacing w:after="0"/>
        <w:tabs>
          <w:tab w:leader="none" w:pos="2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Management contract or compensatory plan or arrangement.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440" w:right="239" w:bottom="1440" w:gutter="0" w:footer="0" w:header="0"/>
        </w:sectPr>
      </w:pPr>
    </w:p>
    <w:bookmarkStart w:id="87" w:name="page88"/>
    <w:bookmarkEnd w:id="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174" w:lineRule="exact"/>
        <w:rPr>
          <w:sz w:val="20"/>
          <w:szCs w:val="20"/>
          <w:color w:val="auto"/>
        </w:rPr>
      </w:pPr>
    </w:p>
    <w:p>
      <w:pPr>
        <w:ind w:right="60" w:firstLine="457"/>
        <w:spacing w:after="0" w:line="29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Dated: July 27, 2015</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LAZARD LTD</w:t>
      </w:r>
    </w:p>
    <w:p>
      <w:pPr>
        <w:spacing w:after="0" w:line="221" w:lineRule="exact"/>
        <w:rPr>
          <w:sz w:val="20"/>
          <w:szCs w:val="20"/>
          <w:color w:val="auto"/>
        </w:rPr>
      </w:pPr>
    </w:p>
    <w:tbl>
      <w:tblPr>
        <w:tblLayout w:type="fixed"/>
        <w:tblInd w:w="6860" w:type="dxa"/>
        <w:tblCellMar>
          <w:top w:w="0" w:type="dxa"/>
          <w:left w:w="0" w:type="dxa"/>
          <w:bottom w:w="0" w:type="dxa"/>
          <w:right w:w="0" w:type="dxa"/>
        </w:tblCellMar>
      </w:tblPr>
      <w:tr>
        <w:trPr>
          <w:trHeight w:val="209"/>
        </w:trPr>
        <w:tc>
          <w:tcPr>
            <w:tcW w:w="600" w:type="dxa"/>
            <w:vAlign w:val="bottom"/>
          </w:tcPr>
          <w:p>
            <w:pPr>
              <w:spacing w:after="0"/>
              <w:rPr>
                <w:sz w:val="20"/>
                <w:szCs w:val="20"/>
                <w:color w:val="auto"/>
              </w:rPr>
            </w:pPr>
            <w:r>
              <w:rPr>
                <w:rFonts w:ascii="Arial" w:cs="Arial" w:eastAsia="Arial" w:hAnsi="Arial"/>
                <w:sz w:val="16"/>
                <w:szCs w:val="16"/>
                <w:color w:val="auto"/>
              </w:rPr>
              <w:t>By:</w:t>
            </w:r>
          </w:p>
        </w:tc>
        <w:tc>
          <w:tcPr>
            <w:tcW w:w="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w:t>
            </w:r>
          </w:p>
        </w:tc>
        <w:tc>
          <w:tcPr>
            <w:tcW w:w="37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Matthieu Bucaille</w:t>
            </w:r>
          </w:p>
        </w:tc>
      </w:tr>
      <w:tr>
        <w:trPr>
          <w:trHeight w:val="202"/>
        </w:trPr>
        <w:tc>
          <w:tcPr>
            <w:tcW w:w="600" w:type="dxa"/>
            <w:vAlign w:val="bottom"/>
          </w:tcPr>
          <w:p>
            <w:pPr>
              <w:spacing w:after="0"/>
              <w:rPr>
                <w:sz w:val="20"/>
                <w:szCs w:val="20"/>
                <w:color w:val="auto"/>
              </w:rPr>
            </w:pPr>
            <w:r>
              <w:rPr>
                <w:rFonts w:ascii="Arial" w:cs="Arial" w:eastAsia="Arial" w:hAnsi="Arial"/>
                <w:sz w:val="16"/>
                <w:szCs w:val="16"/>
                <w:color w:val="auto"/>
              </w:rPr>
              <w:t>Name:</w:t>
            </w:r>
          </w:p>
        </w:tc>
        <w:tc>
          <w:tcPr>
            <w:tcW w:w="3960" w:type="dxa"/>
            <w:vAlign w:val="bottom"/>
            <w:gridSpan w:val="2"/>
          </w:tcPr>
          <w:p>
            <w:pPr>
              <w:spacing w:after="0"/>
              <w:rPr>
                <w:sz w:val="20"/>
                <w:szCs w:val="20"/>
                <w:color w:val="auto"/>
              </w:rPr>
            </w:pPr>
            <w:r>
              <w:rPr>
                <w:rFonts w:ascii="Arial" w:cs="Arial" w:eastAsia="Arial" w:hAnsi="Arial"/>
                <w:sz w:val="16"/>
                <w:szCs w:val="16"/>
                <w:color w:val="auto"/>
              </w:rPr>
              <w:t>Matthieu Bucaille</w:t>
            </w:r>
          </w:p>
        </w:tc>
      </w:tr>
      <w:tr>
        <w:trPr>
          <w:trHeight w:val="209"/>
        </w:trPr>
        <w:tc>
          <w:tcPr>
            <w:tcW w:w="600" w:type="dxa"/>
            <w:vAlign w:val="bottom"/>
          </w:tcPr>
          <w:p>
            <w:pPr>
              <w:spacing w:after="0"/>
              <w:rPr>
                <w:sz w:val="20"/>
                <w:szCs w:val="20"/>
                <w:color w:val="auto"/>
              </w:rPr>
            </w:pPr>
            <w:r>
              <w:rPr>
                <w:rFonts w:ascii="Arial" w:cs="Arial" w:eastAsia="Arial" w:hAnsi="Arial"/>
                <w:sz w:val="16"/>
                <w:szCs w:val="16"/>
                <w:color w:val="auto"/>
              </w:rPr>
              <w:t>Title:</w:t>
            </w:r>
          </w:p>
        </w:tc>
        <w:tc>
          <w:tcPr>
            <w:tcW w:w="3960" w:type="dxa"/>
            <w:vAlign w:val="bottom"/>
            <w:gridSpan w:val="2"/>
          </w:tcPr>
          <w:p>
            <w:pPr>
              <w:spacing w:after="0"/>
              <w:rPr>
                <w:sz w:val="20"/>
                <w:szCs w:val="20"/>
                <w:color w:val="auto"/>
              </w:rPr>
            </w:pPr>
            <w:r>
              <w:rPr>
                <w:rFonts w:ascii="Arial" w:cs="Arial" w:eastAsia="Arial" w:hAnsi="Arial"/>
                <w:sz w:val="16"/>
                <w:szCs w:val="16"/>
                <w:color w:val="auto"/>
              </w:rPr>
              <w:t>Chief Financial Officer</w:t>
            </w:r>
          </w:p>
        </w:tc>
      </w:tr>
      <w:tr>
        <w:trPr>
          <w:trHeight w:val="405"/>
        </w:trPr>
        <w:tc>
          <w:tcPr>
            <w:tcW w:w="600" w:type="dxa"/>
            <w:vAlign w:val="bottom"/>
          </w:tcPr>
          <w:p>
            <w:pPr>
              <w:spacing w:after="0"/>
              <w:rPr>
                <w:sz w:val="20"/>
                <w:szCs w:val="20"/>
                <w:color w:val="auto"/>
              </w:rPr>
            </w:pPr>
            <w:r>
              <w:rPr>
                <w:rFonts w:ascii="Arial" w:cs="Arial" w:eastAsia="Arial" w:hAnsi="Arial"/>
                <w:sz w:val="16"/>
                <w:szCs w:val="16"/>
                <w:color w:val="auto"/>
              </w:rPr>
              <w:t>By:</w:t>
            </w:r>
          </w:p>
        </w:tc>
        <w:tc>
          <w:tcPr>
            <w:tcW w:w="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w:t>
            </w:r>
          </w:p>
        </w:tc>
        <w:tc>
          <w:tcPr>
            <w:tcW w:w="37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Dominick Ragone</w:t>
            </w:r>
          </w:p>
        </w:tc>
      </w:tr>
      <w:tr>
        <w:trPr>
          <w:trHeight w:val="202"/>
        </w:trPr>
        <w:tc>
          <w:tcPr>
            <w:tcW w:w="600" w:type="dxa"/>
            <w:vAlign w:val="bottom"/>
          </w:tcPr>
          <w:p>
            <w:pPr>
              <w:spacing w:after="0"/>
              <w:rPr>
                <w:sz w:val="20"/>
                <w:szCs w:val="20"/>
                <w:color w:val="auto"/>
              </w:rPr>
            </w:pPr>
            <w:r>
              <w:rPr>
                <w:rFonts w:ascii="Arial" w:cs="Arial" w:eastAsia="Arial" w:hAnsi="Arial"/>
                <w:sz w:val="16"/>
                <w:szCs w:val="16"/>
                <w:color w:val="auto"/>
              </w:rPr>
              <w:t>Name:</w:t>
            </w:r>
          </w:p>
        </w:tc>
        <w:tc>
          <w:tcPr>
            <w:tcW w:w="3960" w:type="dxa"/>
            <w:vAlign w:val="bottom"/>
            <w:gridSpan w:val="2"/>
          </w:tcPr>
          <w:p>
            <w:pPr>
              <w:spacing w:after="0"/>
              <w:rPr>
                <w:sz w:val="20"/>
                <w:szCs w:val="20"/>
                <w:color w:val="auto"/>
              </w:rPr>
            </w:pPr>
            <w:r>
              <w:rPr>
                <w:rFonts w:ascii="Arial" w:cs="Arial" w:eastAsia="Arial" w:hAnsi="Arial"/>
                <w:sz w:val="16"/>
                <w:szCs w:val="16"/>
                <w:color w:val="auto"/>
              </w:rPr>
              <w:t>Dominick Ragone</w:t>
            </w:r>
          </w:p>
        </w:tc>
      </w:tr>
      <w:tr>
        <w:trPr>
          <w:trHeight w:val="209"/>
        </w:trPr>
        <w:tc>
          <w:tcPr>
            <w:tcW w:w="600" w:type="dxa"/>
            <w:vAlign w:val="bottom"/>
          </w:tcPr>
          <w:p>
            <w:pPr>
              <w:spacing w:after="0"/>
              <w:rPr>
                <w:sz w:val="20"/>
                <w:szCs w:val="20"/>
                <w:color w:val="auto"/>
              </w:rPr>
            </w:pPr>
            <w:r>
              <w:rPr>
                <w:rFonts w:ascii="Arial" w:cs="Arial" w:eastAsia="Arial" w:hAnsi="Arial"/>
                <w:sz w:val="16"/>
                <w:szCs w:val="16"/>
                <w:color w:val="auto"/>
              </w:rPr>
              <w:t>Title:</w:t>
            </w:r>
          </w:p>
        </w:tc>
        <w:tc>
          <w:tcPr>
            <w:tcW w:w="3960" w:type="dxa"/>
            <w:vAlign w:val="bottom"/>
            <w:gridSpan w:val="2"/>
          </w:tcPr>
          <w:p>
            <w:pPr>
              <w:spacing w:after="0"/>
              <w:rPr>
                <w:sz w:val="20"/>
                <w:szCs w:val="20"/>
                <w:color w:val="auto"/>
              </w:rPr>
            </w:pPr>
            <w:r>
              <w:rPr>
                <w:rFonts w:ascii="Arial" w:cs="Arial" w:eastAsia="Arial" w:hAnsi="Arial"/>
                <w:sz w:val="16"/>
                <w:szCs w:val="16"/>
                <w:color w:val="auto"/>
              </w:rPr>
              <w:t>Chief Accounting Officer</w:t>
            </w: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440" w:right="239" w:bottom="1440" w:gutter="0" w:footer="0" w:header="0"/>
        </w:sectPr>
      </w:pPr>
    </w:p>
    <w:bookmarkStart w:id="88" w:name="page89"/>
    <w:bookmarkEnd w:id="88"/>
    <w:p>
      <w:pPr>
        <w:ind w:left="10580"/>
        <w:spacing w:after="0"/>
        <w:rPr>
          <w:sz w:val="20"/>
          <w:szCs w:val="20"/>
          <w:color w:val="auto"/>
        </w:rPr>
      </w:pPr>
      <w:r>
        <w:rPr>
          <w:rFonts w:ascii="Arial" w:cs="Arial" w:eastAsia="Arial" w:hAnsi="Arial"/>
          <w:sz w:val="15"/>
          <w:szCs w:val="15"/>
          <w:b w:val="1"/>
          <w:bCs w:val="1"/>
          <w:color w:val="auto"/>
        </w:rPr>
        <w:t>Exhibit 12.1</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LAZARD LTD</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COMPUTATION OF RATIO OF EARNINGS TO FIXED CHARGES (a)</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ratio of earnings to fixed charges for Lazard Ltd and its subsidiaries on a consolidated basis.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2"/>
              </w:rPr>
              <w:t>Six Months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20" w:type="dxa"/>
            <w:vAlign w:val="bottom"/>
            <w:gridSpan w:val="5"/>
            <w:vMerge w:val="restart"/>
          </w:tcPr>
          <w:p>
            <w:pPr>
              <w:jc w:val="center"/>
              <w:ind w:left="57"/>
              <w:spacing w:after="0"/>
              <w:rPr>
                <w:sz w:val="20"/>
                <w:szCs w:val="20"/>
                <w:color w:val="auto"/>
              </w:rPr>
            </w:pPr>
            <w:r>
              <w:rPr>
                <w:rFonts w:ascii="Arial" w:cs="Arial" w:eastAsia="Arial" w:hAnsi="Arial"/>
                <w:sz w:val="13"/>
                <w:szCs w:val="13"/>
                <w:b w:val="1"/>
                <w:bCs w:val="1"/>
                <w:color w:val="auto"/>
                <w:w w:val="87"/>
              </w:rPr>
              <w:t>Year Ended December 31,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4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restart"/>
          </w:tcPr>
          <w:p>
            <w:pPr>
              <w:jc w:val="center"/>
              <w:ind w:right="540"/>
              <w:spacing w:after="0" w:line="139" w:lineRule="exact"/>
              <w:rPr>
                <w:sz w:val="20"/>
                <w:szCs w:val="20"/>
                <w:color w:val="auto"/>
              </w:rPr>
            </w:pPr>
            <w:r>
              <w:rPr>
                <w:rFonts w:ascii="Arial" w:cs="Arial" w:eastAsia="Arial" w:hAnsi="Arial"/>
                <w:sz w:val="13"/>
                <w:szCs w:val="13"/>
                <w:b w:val="1"/>
                <w:bCs w:val="1"/>
                <w:color w:val="auto"/>
                <w:w w:val="90"/>
              </w:rPr>
              <w:t>Ended</w:t>
            </w:r>
          </w:p>
        </w:tc>
        <w:tc>
          <w:tcPr>
            <w:tcW w:w="1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gridSpan w:val="5"/>
            <w:vMerge w:val="continue"/>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4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320" w:type="dxa"/>
            <w:vAlign w:val="bottom"/>
            <w:gridSpan w:val="3"/>
          </w:tcPr>
          <w:p>
            <w:pPr>
              <w:jc w:val="center"/>
              <w:ind w:right="440"/>
              <w:spacing w:after="0"/>
              <w:rPr>
                <w:sz w:val="20"/>
                <w:szCs w:val="20"/>
                <w:color w:val="auto"/>
              </w:rPr>
            </w:pPr>
            <w:r>
              <w:rPr>
                <w:rFonts w:ascii="Arial" w:cs="Arial" w:eastAsia="Arial" w:hAnsi="Arial"/>
                <w:sz w:val="13"/>
                <w:szCs w:val="13"/>
                <w:b w:val="1"/>
                <w:bCs w:val="1"/>
                <w:color w:val="auto"/>
                <w:w w:val="85"/>
              </w:rPr>
              <w:t>June 30, 2015</w:t>
            </w:r>
          </w:p>
        </w:tc>
        <w:tc>
          <w:tcPr>
            <w:tcW w:w="160" w:type="dxa"/>
            <w:vAlign w:val="bottom"/>
          </w:tcPr>
          <w:p>
            <w:pPr>
              <w:spacing w:after="0"/>
              <w:rPr>
                <w:sz w:val="13"/>
                <w:szCs w:val="13"/>
                <w:color w:val="auto"/>
              </w:rPr>
            </w:pPr>
          </w:p>
        </w:tc>
        <w:tc>
          <w:tcPr>
            <w:tcW w:w="580" w:type="dxa"/>
            <w:vAlign w:val="bottom"/>
          </w:tcPr>
          <w:p>
            <w:pPr>
              <w:jc w:val="right"/>
              <w:ind w:right="160"/>
              <w:spacing w:after="0"/>
              <w:rPr>
                <w:sz w:val="20"/>
                <w:szCs w:val="20"/>
                <w:color w:val="auto"/>
              </w:rPr>
            </w:pPr>
            <w:r>
              <w:rPr>
                <w:rFonts w:ascii="Arial" w:cs="Arial" w:eastAsia="Arial" w:hAnsi="Arial"/>
                <w:sz w:val="13"/>
                <w:szCs w:val="13"/>
                <w:b w:val="1"/>
                <w:bCs w:val="1"/>
                <w:color w:val="auto"/>
              </w:rPr>
              <w:t>2014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80"/>
              <w:spacing w:after="0"/>
              <w:rPr>
                <w:sz w:val="20"/>
                <w:szCs w:val="20"/>
                <w:color w:val="auto"/>
              </w:rPr>
            </w:pPr>
            <w:r>
              <w:rPr>
                <w:rFonts w:ascii="Arial" w:cs="Arial" w:eastAsia="Arial" w:hAnsi="Arial"/>
                <w:sz w:val="13"/>
                <w:szCs w:val="13"/>
                <w:b w:val="1"/>
                <w:bCs w:val="1"/>
                <w:color w:val="auto"/>
              </w:rPr>
              <w:t>2013</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center"/>
              <w:ind w:right="60"/>
              <w:spacing w:after="0"/>
              <w:rPr>
                <w:sz w:val="20"/>
                <w:szCs w:val="20"/>
                <w:color w:val="auto"/>
              </w:rPr>
            </w:pPr>
            <w:r>
              <w:rPr>
                <w:rFonts w:ascii="Arial" w:cs="Arial" w:eastAsia="Arial" w:hAnsi="Arial"/>
                <w:sz w:val="13"/>
                <w:szCs w:val="13"/>
                <w:b w:val="1"/>
                <w:bCs w:val="1"/>
                <w:color w:val="auto"/>
                <w:w w:val="89"/>
              </w:rPr>
              <w:t>2012</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ind w:right="160"/>
              <w:spacing w:after="0"/>
              <w:rPr>
                <w:sz w:val="20"/>
                <w:szCs w:val="20"/>
                <w:color w:val="auto"/>
              </w:rPr>
            </w:pPr>
            <w:r>
              <w:rPr>
                <w:rFonts w:ascii="Arial" w:cs="Arial" w:eastAsia="Arial" w:hAnsi="Arial"/>
                <w:sz w:val="13"/>
                <w:szCs w:val="13"/>
                <w:b w:val="1"/>
                <w:bCs w:val="1"/>
                <w:color w:val="auto"/>
              </w:rPr>
              <w:t>2011</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60"/>
              <w:spacing w:after="0"/>
              <w:rPr>
                <w:sz w:val="20"/>
                <w:szCs w:val="20"/>
                <w:color w:val="auto"/>
              </w:rPr>
            </w:pPr>
            <w:r>
              <w:rPr>
                <w:rFonts w:ascii="Arial" w:cs="Arial" w:eastAsia="Arial" w:hAnsi="Arial"/>
                <w:sz w:val="13"/>
                <w:szCs w:val="13"/>
                <w:b w:val="1"/>
                <w:bCs w:val="1"/>
                <w:color w:val="auto"/>
              </w:rPr>
              <w:t>2010</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4"/>
          </w:tcPr>
          <w:p>
            <w:pPr>
              <w:jc w:val="center"/>
              <w:ind w:right="80"/>
              <w:spacing w:after="0" w:line="144" w:lineRule="exact"/>
              <w:rPr>
                <w:sz w:val="20"/>
                <w:szCs w:val="20"/>
                <w:color w:val="auto"/>
              </w:rPr>
            </w:pPr>
            <w:r>
              <w:rPr>
                <w:rFonts w:ascii="Arial" w:cs="Arial" w:eastAsia="Arial" w:hAnsi="Arial"/>
                <w:sz w:val="13"/>
                <w:szCs w:val="13"/>
                <w:b w:val="1"/>
                <w:bCs w:val="1"/>
                <w:color w:val="auto"/>
                <w:w w:val="85"/>
              </w:rPr>
              <w:t>(dollars in thousands)</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(726,713)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6"/>
              </w:rPr>
              <w:t>519,465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37"/>
              <w:spacing w:after="0"/>
              <w:rPr>
                <w:sz w:val="20"/>
                <w:szCs w:val="20"/>
                <w:color w:val="auto"/>
              </w:rPr>
            </w:pPr>
            <w:r>
              <w:rPr>
                <w:rFonts w:ascii="Arial" w:cs="Arial" w:eastAsia="Arial" w:hAnsi="Arial"/>
                <w:sz w:val="16"/>
                <w:szCs w:val="16"/>
                <w:color w:val="auto"/>
              </w:rPr>
              <w:t>216,807</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123,885</w:t>
            </w:r>
          </w:p>
        </w:tc>
        <w:tc>
          <w:tcPr>
            <w:tcW w:w="3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235,499</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243,650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Add—Fixed charges</w:t>
            </w:r>
          </w:p>
        </w:tc>
        <w:tc>
          <w:tcPr>
            <w:tcW w:w="1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6"/>
                <w:szCs w:val="16"/>
                <w:color w:val="auto"/>
              </w:rPr>
              <w:t>39,900</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86,066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37"/>
              <w:spacing w:after="0"/>
              <w:rPr>
                <w:sz w:val="20"/>
                <w:szCs w:val="20"/>
                <w:color w:val="auto"/>
              </w:rPr>
            </w:pPr>
            <w:r>
              <w:rPr>
                <w:rFonts w:ascii="Arial" w:cs="Arial" w:eastAsia="Arial" w:hAnsi="Arial"/>
                <w:sz w:val="16"/>
                <w:szCs w:val="16"/>
                <w:color w:val="auto"/>
              </w:rPr>
              <w:t>103,668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106,470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6"/>
                <w:szCs w:val="16"/>
                <w:color w:val="auto"/>
              </w:rPr>
              <w:t>110,919</w:t>
            </w: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117,119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 (loss) before</w:t>
            </w: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fixed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(686,813)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6"/>
              </w:rPr>
              <w:t>605,531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37"/>
              <w:spacing w:after="0"/>
              <w:rPr>
                <w:sz w:val="20"/>
                <w:szCs w:val="20"/>
                <w:color w:val="auto"/>
              </w:rPr>
            </w:pPr>
            <w:r>
              <w:rPr>
                <w:rFonts w:ascii="Arial" w:cs="Arial" w:eastAsia="Arial" w:hAnsi="Arial"/>
                <w:sz w:val="16"/>
                <w:szCs w:val="16"/>
                <w:color w:val="auto"/>
              </w:rPr>
              <w:t>320,475</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230,355</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346,418</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360,769</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6"/>
                <w:szCs w:val="16"/>
                <w:color w:val="auto"/>
              </w:rPr>
              <w:t>Fixed Charges: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Interest (b)</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27,633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62,570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37"/>
              <w:spacing w:after="0"/>
              <w:rPr>
                <w:sz w:val="20"/>
                <w:szCs w:val="20"/>
                <w:color w:val="auto"/>
              </w:rPr>
            </w:pPr>
            <w:r>
              <w:rPr>
                <w:rFonts w:ascii="Arial" w:cs="Arial" w:eastAsia="Arial" w:hAnsi="Arial"/>
                <w:sz w:val="16"/>
                <w:szCs w:val="16"/>
                <w:color w:val="auto"/>
              </w:rPr>
              <w:t>79,381</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81,565</w:t>
            </w:r>
          </w:p>
        </w:tc>
        <w:tc>
          <w:tcPr>
            <w:tcW w:w="3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90,126</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97,709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tcPr>
          <w:p>
            <w:pPr>
              <w:ind w:left="380"/>
              <w:spacing w:after="0"/>
              <w:rPr>
                <w:sz w:val="20"/>
                <w:szCs w:val="20"/>
                <w:color w:val="auto"/>
              </w:rPr>
            </w:pPr>
            <w:r>
              <w:rPr>
                <w:rFonts w:ascii="Arial" w:cs="Arial" w:eastAsia="Arial" w:hAnsi="Arial"/>
                <w:sz w:val="16"/>
                <w:szCs w:val="16"/>
                <w:color w:val="auto"/>
              </w:rPr>
              <w:t>Other (c)</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12,267</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23,496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37"/>
              <w:spacing w:after="0"/>
              <w:rPr>
                <w:sz w:val="20"/>
                <w:szCs w:val="20"/>
                <w:color w:val="auto"/>
              </w:rPr>
            </w:pPr>
            <w:r>
              <w:rPr>
                <w:rFonts w:ascii="Arial" w:cs="Arial" w:eastAsia="Arial" w:hAnsi="Arial"/>
                <w:sz w:val="16"/>
                <w:szCs w:val="16"/>
                <w:color w:val="auto"/>
              </w:rPr>
              <w:t>24,287</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24,905</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6"/>
                <w:szCs w:val="16"/>
                <w:color w:val="auto"/>
              </w:rPr>
              <w:t>20,793</w:t>
            </w:r>
          </w:p>
        </w:tc>
        <w:tc>
          <w:tcPr>
            <w:tcW w:w="16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19,410</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Total fixed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39,900</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86,066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37"/>
              <w:spacing w:after="0"/>
              <w:rPr>
                <w:sz w:val="20"/>
                <w:szCs w:val="20"/>
                <w:color w:val="auto"/>
              </w:rPr>
            </w:pPr>
            <w:r>
              <w:rPr>
                <w:rFonts w:ascii="Arial" w:cs="Arial" w:eastAsia="Arial" w:hAnsi="Arial"/>
                <w:sz w:val="16"/>
                <w:szCs w:val="16"/>
                <w:color w:val="auto"/>
              </w:rPr>
              <w:t>103,668</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106,470</w:t>
            </w:r>
          </w:p>
        </w:tc>
        <w:tc>
          <w:tcPr>
            <w:tcW w:w="3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110,919</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117,119</w:t>
            </w:r>
          </w:p>
        </w:tc>
        <w:tc>
          <w:tcPr>
            <w:tcW w:w="0" w:type="dxa"/>
            <w:vAlign w:val="bottom"/>
          </w:tcPr>
          <w:p>
            <w:pPr>
              <w:spacing w:after="0"/>
              <w:rPr>
                <w:sz w:val="1"/>
                <w:szCs w:val="1"/>
                <w:color w:val="auto"/>
              </w:rPr>
            </w:pPr>
          </w:p>
        </w:tc>
      </w:tr>
      <w:tr>
        <w:trPr>
          <w:trHeight w:val="20"/>
        </w:trPr>
        <w:tc>
          <w:tcPr>
            <w:tcW w:w="47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720" w:type="dxa"/>
            <w:vAlign w:val="bottom"/>
            <w:gridSpan w:val="2"/>
          </w:tcPr>
          <w:p>
            <w:pPr>
              <w:spacing w:after="0"/>
              <w:rPr>
                <w:sz w:val="20"/>
                <w:szCs w:val="20"/>
                <w:color w:val="auto"/>
              </w:rPr>
            </w:pPr>
            <w:r>
              <w:rPr>
                <w:rFonts w:ascii="Arial" w:cs="Arial" w:eastAsia="Arial" w:hAnsi="Arial"/>
                <w:sz w:val="16"/>
                <w:szCs w:val="16"/>
                <w:color w:val="auto"/>
              </w:rPr>
              <w:t>Ratio of earnings to fixed charges</w:t>
            </w:r>
          </w:p>
        </w:tc>
        <w:tc>
          <w:tcPr>
            <w:tcW w:w="100" w:type="dxa"/>
            <w:vAlign w:val="bottom"/>
          </w:tcPr>
          <w:p>
            <w:pPr>
              <w:spacing w:after="0"/>
              <w:rPr>
                <w:sz w:val="24"/>
                <w:szCs w:val="2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–(d)</w:t>
            </w:r>
          </w:p>
        </w:tc>
        <w:tc>
          <w:tcPr>
            <w:tcW w:w="16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7.04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3.09(e)</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2.16(f)</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6"/>
                <w:szCs w:val="16"/>
                <w:color w:val="auto"/>
              </w:rPr>
              <w:t>3.12</w:t>
            </w:r>
          </w:p>
        </w:tc>
        <w:tc>
          <w:tcPr>
            <w:tcW w:w="16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3.08(g)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Deficiency in the coverage of operating income (loss) before fixed</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charges to total fixed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726,713</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326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Notes (dollars in thousands):</w:t>
      </w:r>
    </w:p>
    <w:p>
      <w:pPr>
        <w:spacing w:after="0" w:line="25" w:lineRule="exact"/>
        <w:rPr>
          <w:sz w:val="20"/>
          <w:szCs w:val="20"/>
          <w:color w:val="auto"/>
        </w:rPr>
      </w:pPr>
    </w:p>
    <w:p>
      <w:pPr>
        <w:ind w:left="460" w:hanging="459"/>
        <w:spacing w:after="0"/>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For purposes of computing the ratio of earnings to fixed charges:</w:t>
      </w:r>
    </w:p>
    <w:p>
      <w:pPr>
        <w:spacing w:after="0" w:line="88" w:lineRule="exact"/>
        <w:rPr>
          <w:rFonts w:ascii="Arial" w:cs="Arial" w:eastAsia="Arial" w:hAnsi="Arial"/>
          <w:sz w:val="16"/>
          <w:szCs w:val="16"/>
          <w:color w:val="auto"/>
        </w:rPr>
      </w:pPr>
    </w:p>
    <w:p>
      <w:pPr>
        <w:ind w:left="920" w:hanging="349"/>
        <w:spacing w:after="0"/>
        <w:tabs>
          <w:tab w:leader="none" w:pos="9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earnings for the periods presented represent income before income taxes and fixed charges, and</w:t>
      </w:r>
    </w:p>
    <w:p>
      <w:pPr>
        <w:spacing w:after="0" w:line="94" w:lineRule="exact"/>
        <w:rPr>
          <w:rFonts w:ascii="Arial" w:cs="Arial" w:eastAsia="Arial" w:hAnsi="Arial"/>
          <w:sz w:val="16"/>
          <w:szCs w:val="16"/>
          <w:color w:val="auto"/>
        </w:rPr>
      </w:pPr>
    </w:p>
    <w:p>
      <w:pPr>
        <w:ind w:left="920" w:hanging="349"/>
        <w:spacing w:after="0"/>
        <w:tabs>
          <w:tab w:leader="none" w:pos="9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fixed charges represent the interest expense and the portion of rental expense which represents an appropriate interest factor.</w:t>
      </w:r>
    </w:p>
    <w:p>
      <w:pPr>
        <w:spacing w:after="0" w:line="94" w:lineRule="exact"/>
        <w:rPr>
          <w:rFonts w:ascii="Arial" w:cs="Arial" w:eastAsia="Arial" w:hAnsi="Arial"/>
          <w:sz w:val="16"/>
          <w:szCs w:val="16"/>
          <w:color w:val="auto"/>
        </w:rPr>
      </w:pPr>
    </w:p>
    <w:p>
      <w:pPr>
        <w:ind w:left="460" w:right="280" w:hanging="459"/>
        <w:spacing w:after="0" w:line="296"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Company’s policy is to include interest expense on unrecognized tax benefits in income tax expense. Accordingly, such interest expense is not included in the computations of the ratio of earnings to fixed charges.</w:t>
      </w:r>
    </w:p>
    <w:p>
      <w:pPr>
        <w:spacing w:after="0" w:line="26" w:lineRule="exact"/>
        <w:rPr>
          <w:rFonts w:ascii="Arial" w:cs="Arial" w:eastAsia="Arial" w:hAnsi="Arial"/>
          <w:sz w:val="16"/>
          <w:szCs w:val="16"/>
          <w:color w:val="auto"/>
        </w:rPr>
      </w:pPr>
    </w:p>
    <w:p>
      <w:pPr>
        <w:ind w:left="460" w:hanging="459"/>
        <w:spacing w:after="0"/>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Other fixed charges consist of the interest factor in rentals.</w:t>
      </w:r>
    </w:p>
    <w:p>
      <w:pPr>
        <w:spacing w:after="0" w:line="94" w:lineRule="exact"/>
        <w:rPr>
          <w:rFonts w:ascii="Arial" w:cs="Arial" w:eastAsia="Arial" w:hAnsi="Arial"/>
          <w:sz w:val="16"/>
          <w:szCs w:val="16"/>
          <w:color w:val="auto"/>
        </w:rPr>
      </w:pPr>
    </w:p>
    <w:p>
      <w:pPr>
        <w:ind w:left="460" w:hanging="459"/>
        <w:spacing w:after="0"/>
        <w:tabs>
          <w:tab w:leader="none" w:pos="4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Operating income for the six month period ended June 30, 2015 is presented after giving effect to a charge of (i) $60,219 associated with the redemption of</w:t>
      </w:r>
    </w:p>
    <w:p>
      <w:pPr>
        <w:spacing w:after="0" w:line="36" w:lineRule="exact"/>
        <w:rPr>
          <w:rFonts w:ascii="Arial" w:cs="Arial" w:eastAsia="Arial" w:hAnsi="Arial"/>
          <w:sz w:val="15"/>
          <w:szCs w:val="15"/>
          <w:color w:val="auto"/>
        </w:rPr>
      </w:pPr>
    </w:p>
    <w:p>
      <w:pPr>
        <w:ind w:left="460" w:right="60"/>
        <w:spacing w:after="0" w:line="276" w:lineRule="auto"/>
        <w:rPr>
          <w:rFonts w:ascii="Arial" w:cs="Arial" w:eastAsia="Arial" w:hAnsi="Arial"/>
          <w:sz w:val="15"/>
          <w:szCs w:val="15"/>
          <w:color w:val="auto"/>
        </w:rPr>
      </w:pPr>
      <w:r>
        <w:rPr>
          <w:rFonts w:ascii="Arial" w:cs="Arial" w:eastAsia="Arial" w:hAnsi="Arial"/>
          <w:sz w:val="16"/>
          <w:szCs w:val="16"/>
          <w:color w:val="auto"/>
        </w:rPr>
        <w:t>$450 million of the 2017 Notes, (ii) $2,655 excess interest expense due to the overlap between the issuance of the 2025 Notes and the settlement of the redemption of the 2017 Notes, (iii) $12,203 relating to a private equity revenue adjustment and (iv) $961,948 relating to the provision pursuant to the tax receivable agreement. Excluding the impact of such items, the ratio of earnings to fixed charges would have been 8.68.</w:t>
      </w:r>
    </w:p>
    <w:p>
      <w:pPr>
        <w:spacing w:after="0" w:line="42" w:lineRule="exact"/>
        <w:rPr>
          <w:rFonts w:ascii="Arial" w:cs="Arial" w:eastAsia="Arial" w:hAnsi="Arial"/>
          <w:sz w:val="15"/>
          <w:szCs w:val="15"/>
          <w:color w:val="auto"/>
        </w:rPr>
      </w:pPr>
    </w:p>
    <w:p>
      <w:pPr>
        <w:ind w:left="460" w:hanging="459"/>
        <w:spacing w:after="0" w:line="306" w:lineRule="auto"/>
        <w:tabs>
          <w:tab w:leader="none" w:pos="4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Operating income for the year ended December 31, 2013 is presented after giving effect to a charge of (i) $64,703 associated with the cost saving initiatives announced by the Company in October 2012, (ii) $54,087 pertaining to the refinancing of the 2015 Notes and the issuance of the 2020 Notes and (iii) $12,203 relating to private equity incentive compensation. Excluding the impact of such charge, the ratio of earnings to fixed charges would have been 4.35.</w:t>
      </w:r>
    </w:p>
    <w:p>
      <w:pPr>
        <w:spacing w:after="0" w:line="23" w:lineRule="exact"/>
        <w:rPr>
          <w:rFonts w:ascii="Arial" w:cs="Arial" w:eastAsia="Arial" w:hAnsi="Arial"/>
          <w:sz w:val="15"/>
          <w:szCs w:val="15"/>
          <w:color w:val="auto"/>
        </w:rPr>
      </w:pPr>
    </w:p>
    <w:p>
      <w:pPr>
        <w:ind w:left="460" w:right="180" w:hanging="459"/>
        <w:spacing w:after="0" w:line="298" w:lineRule="auto"/>
        <w:tabs>
          <w:tab w:leader="none" w:pos="4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Operating income for the year ended December 31, 2012 is presented after giving effect to (i) a charge in the first quarter of $24,659 relating to severance costs and benefit payments associated with staff reductions, including the acceleration of unrecognized amortization expense of deferred incentive compensation previously granted to individuals being terminated and (ii) a charge in the fourth quarter of $102,576 associated with the cost saving initiatives announced by the Company in October 2012. Excluding the impact of such items, the ratio of earnings to fixed charges would have been 3.36.</w:t>
      </w:r>
    </w:p>
    <w:p>
      <w:pPr>
        <w:sectPr>
          <w:pgSz w:w="11900" w:h="16838" w:orient="portrait"/>
          <w:cols w:equalWidth="0" w:num="1">
            <w:col w:w="11420"/>
          </w:cols>
          <w:pgMar w:left="240" w:top="127" w:right="239" w:bottom="1440" w:gutter="0" w:footer="0" w:header="0"/>
        </w:sectPr>
      </w:pPr>
    </w:p>
    <w:bookmarkStart w:id="89" w:name="page90"/>
    <w:bookmarkEnd w:id="89"/>
    <w:p>
      <w:pPr>
        <w:ind w:left="459" w:hanging="459"/>
        <w:spacing w:after="0" w:line="280" w:lineRule="auto"/>
        <w:tabs>
          <w:tab w:leader="none" w:pos="459" w:val="left"/>
        </w:tabs>
        <w:numPr>
          <w:ilvl w:val="0"/>
          <w:numId w:val="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6785" cy="36830"/>
                    </a:xfrm>
                    <a:prstGeom prst="rect">
                      <a:avLst/>
                    </a:prstGeom>
                    <a:noFill/>
                  </pic:spPr>
                </pic:pic>
              </a:graphicData>
            </a:graphic>
          </wp:anchor>
        </w:drawing>
        <w:t>Operating income for the year ended December 31, 2010 is presented after giving effect to (i) a restructuring charge of $87,108, (ii) a charge of $24,860 relating to the amendment of Lazard’s retirement policy with respect to RSU awards and (iii) benefits pursuant to the tax receivable agreement of $8,834 relating to the aforementioned items. Excluding the impact of such items, the ratio of earnings to fixed charges would have been 3.96.</w:t>
      </w:r>
    </w:p>
    <w:p>
      <w:pPr>
        <w:sectPr>
          <w:pgSz w:w="11900" w:h="16838" w:orient="portrait"/>
          <w:cols w:equalWidth="0" w:num="1">
            <w:col w:w="11419"/>
          </w:cols>
          <w:pgMar w:left="241" w:top="270"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6"/>
          <w:szCs w:val="16"/>
          <w:b w:val="1"/>
          <w:bCs w:val="1"/>
          <w:color w:val="auto"/>
        </w:rPr>
        <w:t>EXHIBIT 31.1</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 Kenneth M. Jacobs, certify that:</w:t>
      </w:r>
    </w:p>
    <w:p>
      <w:pPr>
        <w:spacing w:after="0" w:line="170" w:lineRule="exact"/>
        <w:rPr>
          <w:sz w:val="20"/>
          <w:szCs w:val="20"/>
          <w:color w:val="auto"/>
        </w:rPr>
      </w:pPr>
    </w:p>
    <w:p>
      <w:pPr>
        <w:ind w:left="620" w:hanging="162"/>
        <w:spacing w:after="0"/>
        <w:tabs>
          <w:tab w:leader="none" w:pos="6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June 30, 2015 of Lazard Ltd (the “Registrant”);</w:t>
      </w:r>
    </w:p>
    <w:p>
      <w:pPr>
        <w:spacing w:after="0" w:line="170" w:lineRule="exact"/>
        <w:rPr>
          <w:rFonts w:ascii="Arial" w:cs="Arial" w:eastAsia="Arial" w:hAnsi="Arial"/>
          <w:sz w:val="16"/>
          <w:szCs w:val="16"/>
          <w:color w:val="auto"/>
        </w:rPr>
      </w:pPr>
    </w:p>
    <w:p>
      <w:pPr>
        <w:ind w:right="60" w:firstLine="458"/>
        <w:spacing w:after="0" w:line="296" w:lineRule="auto"/>
        <w:tabs>
          <w:tab w:leader="none" w:pos="621"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6"/>
          <w:szCs w:val="16"/>
          <w:color w:val="auto"/>
        </w:rPr>
      </w:pPr>
    </w:p>
    <w:p>
      <w:pPr>
        <w:ind w:right="580" w:firstLine="458"/>
        <w:spacing w:after="0" w:line="296" w:lineRule="auto"/>
        <w:tabs>
          <w:tab w:leader="none" w:pos="621"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Arial" w:cs="Arial" w:eastAsia="Arial" w:hAnsi="Arial"/>
          <w:sz w:val="16"/>
          <w:szCs w:val="16"/>
          <w:color w:val="auto"/>
        </w:rPr>
      </w:pPr>
    </w:p>
    <w:p>
      <w:pPr>
        <w:ind w:right="380" w:firstLine="458"/>
        <w:spacing w:after="0" w:line="358" w:lineRule="auto"/>
        <w:tabs>
          <w:tab w:leader="none" w:pos="621"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460" w:right="200" w:firstLine="437"/>
        <w:spacing w:after="0" w:line="280" w:lineRule="auto"/>
        <w:tabs>
          <w:tab w:leader="none" w:pos="1122" w:val="left"/>
        </w:tabs>
        <w:numPr>
          <w:ilvl w:val="1"/>
          <w:numId w:val="5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Arial" w:cs="Arial" w:eastAsia="Arial" w:hAnsi="Arial"/>
          <w:sz w:val="16"/>
          <w:szCs w:val="16"/>
          <w:color w:val="auto"/>
        </w:rPr>
      </w:pPr>
    </w:p>
    <w:p>
      <w:pPr>
        <w:ind w:left="460" w:right="300" w:firstLine="437"/>
        <w:spacing w:after="0" w:line="280" w:lineRule="auto"/>
        <w:tabs>
          <w:tab w:leader="none" w:pos="1132" w:val="left"/>
        </w:tabs>
        <w:numPr>
          <w:ilvl w:val="1"/>
          <w:numId w:val="5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Arial" w:cs="Arial" w:eastAsia="Arial" w:hAnsi="Arial"/>
          <w:sz w:val="16"/>
          <w:szCs w:val="16"/>
          <w:color w:val="auto"/>
        </w:rPr>
      </w:pPr>
    </w:p>
    <w:p>
      <w:pPr>
        <w:ind w:left="460" w:right="60" w:firstLine="437"/>
        <w:spacing w:after="0" w:line="296" w:lineRule="auto"/>
        <w:tabs>
          <w:tab w:leader="none" w:pos="1122"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Arial" w:cs="Arial" w:eastAsia="Arial" w:hAnsi="Arial"/>
          <w:sz w:val="16"/>
          <w:szCs w:val="16"/>
          <w:color w:val="auto"/>
        </w:rPr>
      </w:pPr>
    </w:p>
    <w:p>
      <w:pPr>
        <w:ind w:left="460" w:right="180" w:firstLine="437"/>
        <w:spacing w:after="0" w:line="280" w:lineRule="auto"/>
        <w:tabs>
          <w:tab w:leader="none" w:pos="1132" w:val="left"/>
        </w:tabs>
        <w:numPr>
          <w:ilvl w:val="1"/>
          <w:numId w:val="5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rFonts w:ascii="Arial" w:cs="Arial" w:eastAsia="Arial" w:hAnsi="Arial"/>
          <w:sz w:val="16"/>
          <w:szCs w:val="16"/>
          <w:color w:val="auto"/>
        </w:rPr>
      </w:pPr>
    </w:p>
    <w:p>
      <w:pPr>
        <w:ind w:right="240" w:firstLine="458"/>
        <w:spacing w:after="0" w:line="296" w:lineRule="auto"/>
        <w:tabs>
          <w:tab w:leader="none" w:pos="621"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Arial" w:cs="Arial" w:eastAsia="Arial" w:hAnsi="Arial"/>
          <w:sz w:val="16"/>
          <w:szCs w:val="16"/>
          <w:color w:val="auto"/>
        </w:rPr>
      </w:pPr>
    </w:p>
    <w:p>
      <w:pPr>
        <w:ind w:left="460" w:right="300" w:firstLine="437"/>
        <w:spacing w:after="0" w:line="296" w:lineRule="auto"/>
        <w:tabs>
          <w:tab w:leader="none" w:pos="1122" w:val="left"/>
        </w:tabs>
        <w:numPr>
          <w:ilvl w:val="1"/>
          <w:numId w:val="5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Arial" w:cs="Arial" w:eastAsia="Arial" w:hAnsi="Arial"/>
          <w:sz w:val="16"/>
          <w:szCs w:val="16"/>
          <w:color w:val="auto"/>
        </w:rPr>
      </w:pPr>
    </w:p>
    <w:p>
      <w:pPr>
        <w:ind w:left="460" w:right="440" w:firstLine="437"/>
        <w:spacing w:after="0" w:line="296" w:lineRule="auto"/>
        <w:tabs>
          <w:tab w:leader="none" w:pos="1132" w:val="left"/>
        </w:tabs>
        <w:numPr>
          <w:ilvl w:val="1"/>
          <w:numId w:val="5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Date: July 27, 2015</w:t>
      </w:r>
    </w:p>
    <w:p>
      <w:pPr>
        <w:spacing w:after="0" w:line="200" w:lineRule="exact"/>
        <w:rPr>
          <w:sz w:val="20"/>
          <w:szCs w:val="20"/>
          <w:color w:val="auto"/>
        </w:rPr>
      </w:pPr>
    </w:p>
    <w:p>
      <w:pPr>
        <w:spacing w:after="0" w:line="211"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/s/</w:t>
      </w:r>
      <w:r>
        <w:rPr>
          <w:sz w:val="20"/>
          <w:szCs w:val="20"/>
          <w:color w:val="auto"/>
        </w:rPr>
        <w:tab/>
      </w:r>
      <w:r>
        <w:rPr>
          <w:rFonts w:ascii="Arial" w:cs="Arial" w:eastAsia="Arial" w:hAnsi="Arial"/>
          <w:sz w:val="14"/>
          <w:szCs w:val="14"/>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29006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90068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Kenneth M. Jacobs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Chairman and Chief Executive Officer</w:t>
      </w:r>
    </w:p>
    <w:p>
      <w:pPr>
        <w:sectPr>
          <w:pgSz w:w="11900" w:h="16838" w:orient="portrait"/>
          <w:cols w:equalWidth="0" w:num="1">
            <w:col w:w="11420"/>
          </w:cols>
          <w:pgMar w:left="240" w:top="127"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6"/>
          <w:szCs w:val="16"/>
          <w:b w:val="1"/>
          <w:bCs w:val="1"/>
          <w:color w:val="auto"/>
        </w:rPr>
        <w:t>EXHIBIT 31.2</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 Matthieu Bucaille, certify that:</w:t>
      </w:r>
    </w:p>
    <w:p>
      <w:pPr>
        <w:spacing w:after="0" w:line="170" w:lineRule="exact"/>
        <w:rPr>
          <w:sz w:val="20"/>
          <w:szCs w:val="20"/>
          <w:color w:val="auto"/>
        </w:rPr>
      </w:pPr>
    </w:p>
    <w:p>
      <w:pPr>
        <w:ind w:left="620" w:hanging="162"/>
        <w:spacing w:after="0"/>
        <w:tabs>
          <w:tab w:leader="none" w:pos="6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June 30, 2015 of Lazard Ltd (the “Registrant”);</w:t>
      </w:r>
    </w:p>
    <w:p>
      <w:pPr>
        <w:spacing w:after="0" w:line="170" w:lineRule="exact"/>
        <w:rPr>
          <w:rFonts w:ascii="Arial" w:cs="Arial" w:eastAsia="Arial" w:hAnsi="Arial"/>
          <w:sz w:val="16"/>
          <w:szCs w:val="16"/>
          <w:color w:val="auto"/>
        </w:rPr>
      </w:pPr>
    </w:p>
    <w:p>
      <w:pPr>
        <w:ind w:right="60" w:firstLine="458"/>
        <w:spacing w:after="0" w:line="296" w:lineRule="auto"/>
        <w:tabs>
          <w:tab w:leader="none" w:pos="621"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6"/>
          <w:szCs w:val="16"/>
          <w:color w:val="auto"/>
        </w:rPr>
      </w:pPr>
    </w:p>
    <w:p>
      <w:pPr>
        <w:ind w:right="580" w:firstLine="458"/>
        <w:spacing w:after="0" w:line="296" w:lineRule="auto"/>
        <w:tabs>
          <w:tab w:leader="none" w:pos="621"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Arial" w:cs="Arial" w:eastAsia="Arial" w:hAnsi="Arial"/>
          <w:sz w:val="16"/>
          <w:szCs w:val="16"/>
          <w:color w:val="auto"/>
        </w:rPr>
      </w:pPr>
    </w:p>
    <w:p>
      <w:pPr>
        <w:ind w:right="380" w:firstLine="458"/>
        <w:spacing w:after="0" w:line="358" w:lineRule="auto"/>
        <w:tabs>
          <w:tab w:leader="none" w:pos="621"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460" w:right="200" w:firstLine="437"/>
        <w:spacing w:after="0" w:line="280" w:lineRule="auto"/>
        <w:tabs>
          <w:tab w:leader="none" w:pos="1122" w:val="left"/>
        </w:tabs>
        <w:numPr>
          <w:ilvl w:val="1"/>
          <w:numId w:val="5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Arial" w:cs="Arial" w:eastAsia="Arial" w:hAnsi="Arial"/>
          <w:sz w:val="16"/>
          <w:szCs w:val="16"/>
          <w:color w:val="auto"/>
        </w:rPr>
      </w:pPr>
    </w:p>
    <w:p>
      <w:pPr>
        <w:ind w:left="460" w:right="300" w:firstLine="437"/>
        <w:spacing w:after="0" w:line="280" w:lineRule="auto"/>
        <w:tabs>
          <w:tab w:leader="none" w:pos="1132" w:val="left"/>
        </w:tabs>
        <w:numPr>
          <w:ilvl w:val="1"/>
          <w:numId w:val="5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Arial" w:cs="Arial" w:eastAsia="Arial" w:hAnsi="Arial"/>
          <w:sz w:val="16"/>
          <w:szCs w:val="16"/>
          <w:color w:val="auto"/>
        </w:rPr>
      </w:pPr>
    </w:p>
    <w:p>
      <w:pPr>
        <w:ind w:left="460" w:right="60" w:firstLine="437"/>
        <w:spacing w:after="0" w:line="296" w:lineRule="auto"/>
        <w:tabs>
          <w:tab w:leader="none" w:pos="1122"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Arial" w:cs="Arial" w:eastAsia="Arial" w:hAnsi="Arial"/>
          <w:sz w:val="16"/>
          <w:szCs w:val="16"/>
          <w:color w:val="auto"/>
        </w:rPr>
      </w:pPr>
    </w:p>
    <w:p>
      <w:pPr>
        <w:ind w:left="460" w:right="180" w:firstLine="437"/>
        <w:spacing w:after="0" w:line="280" w:lineRule="auto"/>
        <w:tabs>
          <w:tab w:leader="none" w:pos="1132" w:val="left"/>
        </w:tabs>
        <w:numPr>
          <w:ilvl w:val="1"/>
          <w:numId w:val="5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rFonts w:ascii="Arial" w:cs="Arial" w:eastAsia="Arial" w:hAnsi="Arial"/>
          <w:sz w:val="16"/>
          <w:szCs w:val="16"/>
          <w:color w:val="auto"/>
        </w:rPr>
      </w:pPr>
    </w:p>
    <w:p>
      <w:pPr>
        <w:ind w:right="240" w:firstLine="458"/>
        <w:spacing w:after="0" w:line="296" w:lineRule="auto"/>
        <w:tabs>
          <w:tab w:leader="none" w:pos="621"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Arial" w:cs="Arial" w:eastAsia="Arial" w:hAnsi="Arial"/>
          <w:sz w:val="16"/>
          <w:szCs w:val="16"/>
          <w:color w:val="auto"/>
        </w:rPr>
      </w:pPr>
    </w:p>
    <w:p>
      <w:pPr>
        <w:ind w:left="460" w:right="300" w:firstLine="437"/>
        <w:spacing w:after="0" w:line="296" w:lineRule="auto"/>
        <w:tabs>
          <w:tab w:leader="none" w:pos="1122" w:val="left"/>
        </w:tabs>
        <w:numPr>
          <w:ilvl w:val="1"/>
          <w:numId w:val="5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Arial" w:cs="Arial" w:eastAsia="Arial" w:hAnsi="Arial"/>
          <w:sz w:val="16"/>
          <w:szCs w:val="16"/>
          <w:color w:val="auto"/>
        </w:rPr>
      </w:pPr>
    </w:p>
    <w:p>
      <w:pPr>
        <w:ind w:left="460" w:right="440" w:firstLine="437"/>
        <w:spacing w:after="0" w:line="296" w:lineRule="auto"/>
        <w:tabs>
          <w:tab w:leader="none" w:pos="1132" w:val="left"/>
        </w:tabs>
        <w:numPr>
          <w:ilvl w:val="1"/>
          <w:numId w:val="5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Date: July 27, 2015</w:t>
      </w:r>
    </w:p>
    <w:p>
      <w:pPr>
        <w:spacing w:after="0" w:line="200" w:lineRule="exact"/>
        <w:rPr>
          <w:sz w:val="20"/>
          <w:szCs w:val="20"/>
          <w:color w:val="auto"/>
        </w:rPr>
      </w:pPr>
    </w:p>
    <w:p>
      <w:pPr>
        <w:spacing w:after="0" w:line="211"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/s/</w:t>
      </w:r>
      <w:r>
        <w:rPr>
          <w:sz w:val="20"/>
          <w:szCs w:val="20"/>
          <w:color w:val="auto"/>
        </w:rPr>
        <w:tab/>
      </w:r>
      <w:r>
        <w:rPr>
          <w:rFonts w:ascii="Arial" w:cs="Arial" w:eastAsia="Arial" w:hAnsi="Arial"/>
          <w:sz w:val="15"/>
          <w:szCs w:val="15"/>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29006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90068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Matthieu Bucaille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1420"/>
          </w:cols>
          <w:pgMar w:left="240" w:top="127"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6"/>
          <w:szCs w:val="16"/>
          <w:b w:val="1"/>
          <w:bCs w:val="1"/>
          <w:color w:val="auto"/>
        </w:rPr>
        <w:t>EXHIBIT 32.1</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July 27, 2015</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Securities and Exchange Commission</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100 F Street, NE</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Washington, DC 20549</w:t>
      </w:r>
    </w:p>
    <w:p>
      <w:pPr>
        <w:spacing w:after="0" w:line="164" w:lineRule="exact"/>
        <w:rPr>
          <w:sz w:val="20"/>
          <w:szCs w:val="20"/>
          <w:color w:val="auto"/>
        </w:rPr>
      </w:pPr>
    </w:p>
    <w:p>
      <w:pPr>
        <w:ind w:right="20" w:firstLine="457"/>
        <w:spacing w:after="0" w:line="280" w:lineRule="auto"/>
        <w:rPr>
          <w:sz w:val="20"/>
          <w:szCs w:val="20"/>
          <w:color w:val="auto"/>
        </w:rPr>
      </w:pPr>
      <w:r>
        <w:rPr>
          <w:rFonts w:ascii="Arial" w:cs="Arial" w:eastAsia="Arial" w:hAnsi="Arial"/>
          <w:sz w:val="16"/>
          <w:szCs w:val="16"/>
          <w:color w:val="auto"/>
        </w:rPr>
        <w:t>Pursuant to 18 U.S.C. § 1350, the undersigned officer of Lazard Ltd (the “Registrant”) hereby certifies that the Registrant’s Quarterly Report on Form 10-Q for the quarter ended June 30, 2015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56"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/s/</w:t>
      </w:r>
      <w:r>
        <w:rPr>
          <w:sz w:val="20"/>
          <w:szCs w:val="20"/>
          <w:color w:val="auto"/>
        </w:rPr>
        <w:tab/>
      </w:r>
      <w:r>
        <w:rPr>
          <w:rFonts w:ascii="Arial" w:cs="Arial" w:eastAsia="Arial" w:hAnsi="Arial"/>
          <w:sz w:val="14"/>
          <w:szCs w:val="14"/>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29006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90068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Kenneth M. Jacobs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Chairman and Chief Executive Officer</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7"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6"/>
          <w:szCs w:val="16"/>
          <w:b w:val="1"/>
          <w:bCs w:val="1"/>
          <w:color w:val="auto"/>
        </w:rPr>
        <w:t>EXHIBIT 32.2</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July 27, 2015</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Securities and Exchange Commission</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100 F Street, NE</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Washington, DC 20549</w:t>
      </w:r>
    </w:p>
    <w:p>
      <w:pPr>
        <w:spacing w:after="0" w:line="164" w:lineRule="exact"/>
        <w:rPr>
          <w:sz w:val="20"/>
          <w:szCs w:val="20"/>
          <w:color w:val="auto"/>
        </w:rPr>
      </w:pPr>
    </w:p>
    <w:p>
      <w:pPr>
        <w:ind w:right="20" w:firstLine="457"/>
        <w:spacing w:after="0" w:line="280" w:lineRule="auto"/>
        <w:rPr>
          <w:sz w:val="20"/>
          <w:szCs w:val="20"/>
          <w:color w:val="auto"/>
        </w:rPr>
      </w:pPr>
      <w:r>
        <w:rPr>
          <w:rFonts w:ascii="Arial" w:cs="Arial" w:eastAsia="Arial" w:hAnsi="Arial"/>
          <w:sz w:val="16"/>
          <w:szCs w:val="16"/>
          <w:color w:val="auto"/>
        </w:rPr>
        <w:t>Pursuant to 18 U.S.C. § 1350, the undersigned officer of Lazard Ltd (the “Registrant”) hereby certifies that the Registrant’s Quarterly Report on Form 10-Q for the quarter ended June 30, 2015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56"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/s/</w:t>
      </w:r>
      <w:r>
        <w:rPr>
          <w:sz w:val="20"/>
          <w:szCs w:val="20"/>
          <w:color w:val="auto"/>
        </w:rPr>
        <w:tab/>
      </w:r>
      <w:r>
        <w:rPr>
          <w:rFonts w:ascii="Arial" w:cs="Arial" w:eastAsia="Arial" w:hAnsi="Arial"/>
          <w:sz w:val="15"/>
          <w:szCs w:val="15"/>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29006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90068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Matthieu Bucaille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1."/>
      <w:numFmt w:val="decimal"/>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1."/>
      <w:numFmt w:val="decimal"/>
      <w:start w:val="2"/>
    </w:lvl>
  </w:abstractNum>
  <w:abstractNum w:abstractNumId="6">
    <w:nsid w:val="737B8DDC"/>
    <w:multiLevelType w:val="hybridMultilevel"/>
    <w:lvl w:ilvl="0">
      <w:lvlJc w:val="left"/>
      <w:lvlText w:val="%1."/>
      <w:numFmt w:val="decimal"/>
      <w:start w:val="3"/>
    </w:lvl>
  </w:abstractNum>
  <w:abstractNum w:abstractNumId="7">
    <w:nsid w:val="6CEAF087"/>
    <w:multiLevelType w:val="hybridMultilevel"/>
    <w:lvl w:ilvl="0">
      <w:lvlJc w:val="left"/>
      <w:lvlText w:val="%1."/>
      <w:numFmt w:val="decimal"/>
      <w:start w:val="4"/>
    </w:lvl>
  </w:abstractNum>
  <w:abstractNum w:abstractNumId="8">
    <w:nsid w:val="22221A70"/>
    <w:multiLevelType w:val="hybridMultilevel"/>
    <w:lvl w:ilvl="0">
      <w:lvlJc w:val="left"/>
      <w:lvlText w:val="(%1)"/>
      <w:numFmt w:val="lowerLetter"/>
      <w:start w:val="1"/>
    </w:lvl>
  </w:abstractNum>
  <w:abstractNum w:abstractNumId="9">
    <w:nsid w:val="4516DDE9"/>
    <w:multiLevelType w:val="hybridMultilevel"/>
    <w:lvl w:ilvl="0">
      <w:lvlJc w:val="left"/>
      <w:lvlText w:val="(%1)"/>
      <w:numFmt w:val="lowerRoman"/>
      <w:start w:val="4"/>
    </w:lvl>
  </w:abstractNum>
  <w:abstractNum w:abstractNumId="10">
    <w:nsid w:val="3006C83E"/>
    <w:multiLevelType w:val="hybridMultilevel"/>
    <w:lvl w:ilvl="0">
      <w:lvlJc w:val="left"/>
      <w:lvlText w:val="%1."/>
      <w:numFmt w:val="decimal"/>
      <w:start w:val="5"/>
    </w:lvl>
  </w:abstractNum>
  <w:abstractNum w:abstractNumId="11">
    <w:nsid w:val="614FD4A1"/>
    <w:multiLevelType w:val="hybridMultilevel"/>
    <w:lvl w:ilvl="0">
      <w:lvlJc w:val="left"/>
      <w:lvlText w:val="(%1)"/>
      <w:numFmt w:val="lowerLetter"/>
      <w:start w:val="1"/>
    </w:lvl>
  </w:abstractNum>
  <w:abstractNum w:abstractNumId="12">
    <w:nsid w:val="419AC241"/>
    <w:multiLevelType w:val="hybridMultilevel"/>
    <w:lvl w:ilvl="0">
      <w:lvlJc w:val="left"/>
      <w:lvlText w:val="(%1)"/>
      <w:numFmt w:val="lowerLetter"/>
      <w:start w:val="1"/>
    </w:lvl>
  </w:abstractNum>
  <w:abstractNum w:abstractNumId="13">
    <w:nsid w:val="5577F8E1"/>
    <w:multiLevelType w:val="hybridMultilevel"/>
    <w:lvl w:ilvl="0">
      <w:lvlJc w:val="left"/>
      <w:lvlText w:val="(%1)"/>
      <w:numFmt w:val="lowerLetter"/>
      <w:start w:val="1"/>
    </w:lvl>
  </w:abstractNum>
  <w:abstractNum w:abstractNumId="14">
    <w:nsid w:val="440BADFC"/>
    <w:multiLevelType w:val="hybridMultilevel"/>
    <w:lvl w:ilvl="0">
      <w:lvlJc w:val="left"/>
      <w:lvlText w:val="%1."/>
      <w:numFmt w:val="decimal"/>
      <w:start w:val="6"/>
    </w:lvl>
  </w:abstractNum>
  <w:abstractNum w:abstractNumId="15">
    <w:nsid w:val="5072367"/>
    <w:multiLevelType w:val="hybridMultilevel"/>
    <w:lvl w:ilvl="0">
      <w:lvlJc w:val="left"/>
      <w:lvlText w:val="(%1)"/>
      <w:numFmt w:val="lowerLetter"/>
      <w:start w:val="1"/>
    </w:lvl>
  </w:abstractNum>
  <w:abstractNum w:abstractNumId="16">
    <w:nsid w:val="3804823E"/>
    <w:multiLevelType w:val="hybridMultilevel"/>
    <w:lvl w:ilvl="0">
      <w:lvlJc w:val="left"/>
      <w:lvlText w:val="%1."/>
      <w:numFmt w:val="decimal"/>
      <w:start w:val="7"/>
    </w:lvl>
  </w:abstractNum>
  <w:abstractNum w:abstractNumId="17">
    <w:nsid w:val="77465F01"/>
    <w:multiLevelType w:val="hybridMultilevel"/>
    <w:lvl w:ilvl="0">
      <w:lvlJc w:val="left"/>
      <w:lvlText w:val="%1."/>
      <w:numFmt w:val="decimal"/>
      <w:start w:val="8"/>
    </w:lvl>
  </w:abstractNum>
  <w:abstractNum w:abstractNumId="18">
    <w:nsid w:val="7724C67E"/>
    <w:multiLevelType w:val="hybridMultilevel"/>
    <w:lvl w:ilvl="0">
      <w:lvlJc w:val="left"/>
      <w:lvlText w:val="%1"/>
      <w:numFmt w:val="decimal"/>
      <w:start w:val="1"/>
    </w:lvl>
    <w:lvl w:ilvl="1">
      <w:lvlJc w:val="left"/>
      <w:lvlText w:val="(%2)"/>
      <w:numFmt w:val="lowerLetter"/>
      <w:start w:val="1"/>
    </w:lvl>
  </w:abstractNum>
  <w:abstractNum w:abstractNumId="19">
    <w:nsid w:val="5C482A97"/>
    <w:multiLevelType w:val="hybridMultilevel"/>
    <w:lvl w:ilvl="0">
      <w:lvlJc w:val="left"/>
      <w:lvlText w:val="%1."/>
      <w:numFmt w:val="decimal"/>
      <w:start w:val="9"/>
    </w:lvl>
    <w:lvl w:ilvl="1">
      <w:lvlJc w:val="left"/>
      <w:lvlText w:val="%2"/>
      <w:numFmt w:val="lowerLetter"/>
      <w:start w:val="1"/>
    </w:lvl>
  </w:abstractNum>
  <w:abstractNum w:abstractNumId="20">
    <w:nsid w:val="2463B9EA"/>
    <w:multiLevelType w:val="hybridMultilevel"/>
    <w:lvl w:ilvl="0">
      <w:lvlJc w:val="left"/>
      <w:lvlText w:val="(%1)"/>
      <w:numFmt w:val="lowerLetter"/>
      <w:start w:val="1"/>
    </w:lvl>
  </w:abstractNum>
  <w:abstractNum w:abstractNumId="21">
    <w:nsid w:val="5E884ADC"/>
    <w:multiLevelType w:val="hybridMultilevel"/>
    <w:lvl w:ilvl="0">
      <w:lvlJc w:val="left"/>
      <w:lvlText w:val="%1."/>
      <w:numFmt w:val="decimal"/>
      <w:start w:val="10"/>
    </w:lvl>
  </w:abstractNum>
  <w:abstractNum w:abstractNumId="22">
    <w:nsid w:val="51EAD36B"/>
    <w:multiLevelType w:val="hybridMultilevel"/>
    <w:lvl w:ilvl="0">
      <w:lvlJc w:val="left"/>
      <w:lvlText w:val="%1."/>
      <w:numFmt w:val="decimal"/>
      <w:start w:val="11"/>
    </w:lvl>
  </w:abstractNum>
  <w:abstractNum w:abstractNumId="23">
    <w:nsid w:val="2D517796"/>
    <w:multiLevelType w:val="hybridMultilevel"/>
    <w:lvl w:ilvl="0">
      <w:lvlJc w:val="left"/>
      <w:lvlText w:val="(%1)"/>
      <w:numFmt w:val="lowerLetter"/>
      <w:start w:val="1"/>
    </w:lvl>
  </w:abstractNum>
  <w:abstractNum w:abstractNumId="24">
    <w:nsid w:val="580BD78F"/>
    <w:multiLevelType w:val="hybridMultilevel"/>
    <w:lvl w:ilvl="0">
      <w:lvlJc w:val="left"/>
      <w:lvlText w:val="%1."/>
      <w:numFmt w:val="decimal"/>
      <w:start w:val="12"/>
    </w:lvl>
  </w:abstractNum>
  <w:abstractNum w:abstractNumId="25">
    <w:nsid w:val="153EA438"/>
    <w:multiLevelType w:val="hybridMultilevel"/>
    <w:lvl w:ilvl="0">
      <w:lvlJc w:val="left"/>
      <w:lvlText w:val="%1."/>
      <w:numFmt w:val="decimal"/>
      <w:start w:val="13"/>
    </w:lvl>
  </w:abstractNum>
  <w:abstractNum w:abstractNumId="26">
    <w:nsid w:val="3855585C"/>
    <w:multiLevelType w:val="hybridMultilevel"/>
    <w:lvl w:ilvl="0">
      <w:lvlJc w:val="left"/>
      <w:lvlText w:val="%1."/>
      <w:numFmt w:val="decimal"/>
      <w:start w:val="14"/>
    </w:lvl>
  </w:abstractNum>
  <w:abstractNum w:abstractNumId="27">
    <w:nsid w:val="70A64E2A"/>
    <w:multiLevelType w:val="hybridMultilevel"/>
    <w:lvl w:ilvl="0">
      <w:lvlJc w:val="left"/>
      <w:lvlText w:val="%1."/>
      <w:numFmt w:val="decimal"/>
      <w:start w:val="15"/>
    </w:lvl>
  </w:abstractNum>
  <w:abstractNum w:abstractNumId="28">
    <w:nsid w:val="6A2342EC"/>
    <w:multiLevelType w:val="hybridMultilevel"/>
    <w:lvl w:ilvl="0">
      <w:lvlJc w:val="left"/>
      <w:lvlText w:val="%1."/>
      <w:numFmt w:val="decimal"/>
      <w:start w:val="16"/>
    </w:lvl>
  </w:abstractNum>
  <w:abstractNum w:abstractNumId="29">
    <w:nsid w:val="2A487CB0"/>
    <w:multiLevelType w:val="hybridMultilevel"/>
    <w:lvl w:ilvl="0">
      <w:lvlJc w:val="left"/>
      <w:lvlText w:val="%1."/>
      <w:numFmt w:val="decimal"/>
      <w:start w:val="17"/>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1)"/>
      <w:numFmt w:val="lowerLetter"/>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1)"/>
      <w:numFmt w:val="lowerLetter"/>
      <w:start w:val="1"/>
    </w:lvl>
  </w:abstractNum>
  <w:abstractNum w:abstractNumId="39">
    <w:nsid w:val="7644A45C"/>
    <w:multiLevelType w:val="hybridMultilevel"/>
    <w:lvl w:ilvl="0">
      <w:lvlJc w:val="left"/>
      <w:lvlText w:val="(%1)"/>
      <w:numFmt w:val="lowerLetter"/>
      <w:start w:val="1"/>
    </w:lvl>
  </w:abstractNum>
  <w:abstractNum w:abstractNumId="40">
    <w:nsid w:val="32FFF902"/>
    <w:multiLevelType w:val="hybridMultilevel"/>
    <w:lvl w:ilvl="0">
      <w:lvlJc w:val="left"/>
      <w:lvlText w:val="(%1)"/>
      <w:numFmt w:val="lowerLetter"/>
      <w:start w:val="1"/>
    </w:lvl>
  </w:abstractNum>
  <w:abstractNum w:abstractNumId="41">
    <w:nsid w:val="684A481A"/>
    <w:multiLevelType w:val="hybridMultilevel"/>
    <w:lvl w:ilvl="0">
      <w:lvlJc w:val="left"/>
      <w:lvlText w:val="(%1)"/>
      <w:numFmt w:val="lowerLetter"/>
      <w:start w:val="1"/>
    </w:lvl>
  </w:abstractNum>
  <w:abstractNum w:abstractNumId="42">
    <w:nsid w:val="579478FE"/>
    <w:multiLevelType w:val="hybridMultilevel"/>
    <w:lvl w:ilvl="0">
      <w:lvlJc w:val="left"/>
      <w:lvlText w:val="(%1)"/>
      <w:numFmt w:val="lowerLetter"/>
      <w:start w:val="2"/>
    </w:lvl>
  </w:abstractNum>
  <w:abstractNum w:abstractNumId="43">
    <w:nsid w:val="749ABB43"/>
    <w:multiLevelType w:val="hybridMultilevel"/>
    <w:lvl w:ilvl="0">
      <w:lvlJc w:val="left"/>
      <w:lvlText w:val="(%1)"/>
      <w:numFmt w:val="lowerLetter"/>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1)"/>
      <w:numFmt w:val="lowerLetter"/>
      <w:start w:val="1"/>
    </w:lvl>
  </w:abstractNum>
  <w:abstractNum w:abstractNumId="48">
    <w:nsid w:val="12E685FB"/>
    <w:multiLevelType w:val="hybridMultilevel"/>
    <w:lvl w:ilvl="0">
      <w:lvlJc w:val="left"/>
      <w:lvlText w:val="(%1)"/>
      <w:numFmt w:val="lowerLetter"/>
      <w:start w:val="2"/>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1)"/>
      <w:numFmt w:val="decimal"/>
      <w:start w:val="1"/>
    </w:lvl>
  </w:abstractNum>
  <w:abstractNum w:abstractNumId="51">
    <w:nsid w:val="374A3FE6"/>
    <w:multiLevelType w:val="hybridMultilevel"/>
    <w:lvl w:ilvl="0">
      <w:lvlJc w:val="left"/>
      <w:lvlText w:val="(%1)"/>
      <w:numFmt w:val="decimal"/>
      <w:start w:val="2"/>
    </w:lvl>
  </w:abstractNum>
  <w:abstractNum w:abstractNumId="52">
    <w:nsid w:val="4F4EF005"/>
    <w:multiLevelType w:val="hybridMultilevel"/>
    <w:lvl w:ilvl="0">
      <w:lvlJc w:val="left"/>
      <w:lvlText w:val="(%1)"/>
      <w:numFmt w:val="lowerLetter"/>
      <w:start w:val="1"/>
    </w:lvl>
    <w:lvl w:ilvl="1">
      <w:lvlJc w:val="left"/>
      <w:lvlText w:val="•"/>
      <w:numFmt w:val="bullet"/>
      <w:start w:val="1"/>
    </w:lvl>
  </w:abstractNum>
  <w:abstractNum w:abstractNumId="53">
    <w:nsid w:val="23F9C13C"/>
    <w:multiLevelType w:val="hybridMultilevel"/>
    <w:lvl w:ilvl="0">
      <w:lvlJc w:val="left"/>
      <w:lvlText w:val="(%1)"/>
      <w:numFmt w:val="lowerLetter"/>
      <w:start w:val="7"/>
    </w:lvl>
  </w:abstractNum>
  <w:abstractNum w:abstractNumId="54">
    <w:nsid w:val="649BB77C"/>
    <w:multiLevelType w:val="hybridMultilevel"/>
    <w:lvl w:ilvl="0">
      <w:lvlJc w:val="left"/>
      <w:lvlText w:val="%1."/>
      <w:numFmt w:val="decimal"/>
      <w:start w:val="1"/>
    </w:lvl>
    <w:lvl w:ilvl="1">
      <w:lvlJc w:val="left"/>
      <w:lvlText w:val="(%2)"/>
      <w:numFmt w:val="lowerLetter"/>
      <w:start w:val="1"/>
    </w:lvl>
  </w:abstractNum>
  <w:abstractNum w:abstractNumId="55">
    <w:nsid w:val="275AC79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2019-12-29T16:46:00Z</dcterms:created>
  <dcterms:modified xsi:type="dcterms:W3CDTF">2019-12-29T16:46:00Z</dcterms:modified>
</cp:coreProperties>
</file>