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22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4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357"/>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8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1"/>
              </w:rPr>
              <w:t>Delaware</w:t>
            </w:r>
          </w:p>
        </w:tc>
        <w:tc>
          <w:tcPr>
            <w:tcW w:w="218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80" w:type="dxa"/>
            <w:vAlign w:val="bottom"/>
            <w:gridSpan w:val="3"/>
          </w:tcPr>
          <w:p>
            <w:pPr>
              <w:jc w:val="center"/>
              <w:ind w:right="338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180" w:type="dxa"/>
            <w:vAlign w:val="bottom"/>
          </w:tcPr>
          <w:p>
            <w:pPr>
              <w:jc w:val="center"/>
              <w:ind w:left="2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8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w w:val="88"/>
              </w:rPr>
              <w:t>or Organization)</w:t>
            </w:r>
          </w:p>
        </w:tc>
        <w:tc>
          <w:tcPr>
            <w:tcW w:w="2180" w:type="dxa"/>
            <w:vAlign w:val="bottom"/>
          </w:tcPr>
          <w:p>
            <w:pPr>
              <w:spacing w:after="0"/>
              <w:rPr>
                <w:sz w:val="15"/>
                <w:szCs w:val="15"/>
                <w:color w:val="auto"/>
              </w:rPr>
            </w:pPr>
          </w:p>
        </w:tc>
      </w:tr>
      <w:tr>
        <w:trPr>
          <w:trHeight w:val="230"/>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30"/>
        </w:trPr>
        <w:tc>
          <w:tcPr>
            <w:tcW w:w="2900" w:type="dxa"/>
            <w:vAlign w:val="bottom"/>
          </w:tcPr>
          <w:p>
            <w:pPr>
              <w:spacing w:after="0"/>
              <w:rPr>
                <w:sz w:val="24"/>
                <w:szCs w:val="24"/>
                <w:color w:val="auto"/>
              </w:rPr>
            </w:pPr>
          </w:p>
        </w:tc>
        <w:tc>
          <w:tcPr>
            <w:tcW w:w="30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30 Rockefeller Plaza</w:t>
            </w:r>
          </w:p>
        </w:tc>
        <w:tc>
          <w:tcPr>
            <w:tcW w:w="21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New York, NY 10112</w:t>
            </w:r>
          </w:p>
        </w:tc>
        <w:tc>
          <w:tcPr>
            <w:tcW w:w="2180" w:type="dxa"/>
            <w:vAlign w:val="bottom"/>
          </w:tcPr>
          <w:p>
            <w:pPr>
              <w:spacing w:after="0"/>
              <w:rPr>
                <w:sz w:val="18"/>
                <w:szCs w:val="18"/>
                <w:color w:val="auto"/>
              </w:rPr>
            </w:pPr>
          </w:p>
        </w:tc>
      </w:tr>
      <w:tr>
        <w:trPr>
          <w:trHeight w:val="228"/>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180" w:type="dxa"/>
            <w:vAlign w:val="bottom"/>
          </w:tcPr>
          <w:p>
            <w:pPr>
              <w:spacing w:after="0"/>
              <w:rPr>
                <w:sz w:val="19"/>
                <w:szCs w:val="19"/>
                <w:color w:val="auto"/>
              </w:rPr>
            </w:pPr>
          </w:p>
        </w:tc>
      </w:tr>
      <w:tr>
        <w:trPr>
          <w:trHeight w:val="351"/>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8"/>
              </w:rPr>
              <w:t>Registrant’s telephone number: (212)-632-6000</w:t>
            </w:r>
          </w:p>
        </w:tc>
        <w:tc>
          <w:tcPr>
            <w:tcW w:w="2180" w:type="dxa"/>
            <w:vAlign w:val="bottom"/>
          </w:tcPr>
          <w:p>
            <w:pPr>
              <w:spacing w:after="0"/>
              <w:rPr>
                <w:sz w:val="24"/>
                <w:szCs w:val="24"/>
                <w:color w:val="auto"/>
              </w:rPr>
            </w:pPr>
          </w:p>
        </w:tc>
      </w:tr>
    </w:tbl>
    <w:p>
      <w:pPr>
        <w:spacing w:after="0" w:line="129"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3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right="1700"/>
        <w:spacing w:after="0" w:line="30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22, 2016,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June 30, 2016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4">
              <w:r>
                <w:rPr>
                  <w:rFonts w:ascii="Arial" w:cs="Arial" w:eastAsia="Arial" w:hAnsi="Arial"/>
                  <w:sz w:val="18"/>
                  <w:szCs w:val="18"/>
                  <w:b w:val="1"/>
                  <w:bCs w:val="1"/>
                  <w:color w:val="0000EE"/>
                  <w:w w:val="94"/>
                </w:rPr>
                <w:t>Part II. Other Information</w:t>
              </w:r>
            </w:hyperlink>
          </w:p>
        </w:tc>
        <w:tc>
          <w:tcPr>
            <w:tcW w:w="90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3"/>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6"/>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2016 and December 31, 2015</w:t>
              </w:r>
            </w:hyperlink>
          </w:p>
        </w:tc>
        <w:tc>
          <w:tcPr>
            <w:tcW w:w="3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6"/>
            <w:vMerge w:val="continue"/>
          </w:tcPr>
          <w:p>
            <w:pPr>
              <w:spacing w:after="0"/>
              <w:rPr>
                <w:sz w:val="13"/>
                <w:szCs w:val="13"/>
                <w:color w:val="auto"/>
              </w:rPr>
            </w:pPr>
          </w:p>
        </w:tc>
        <w:tc>
          <w:tcPr>
            <w:tcW w:w="370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0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w:t>
              </w:r>
            </w:hyperlink>
          </w:p>
        </w:tc>
        <w:tc>
          <w:tcPr>
            <w:tcW w:w="4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2016 and 2015</w:t>
              </w:r>
            </w:hyperlink>
          </w:p>
        </w:tc>
        <w:tc>
          <w:tcPr>
            <w:tcW w:w="9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2016 and 2015</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2016 and 2015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Members’ Equity for the six month periods ended June 30, 2016 and 2015</w:t>
              </w:r>
            </w:hyperlink>
          </w:p>
        </w:tc>
        <w:tc>
          <w:tcPr>
            <w:tcW w:w="2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140" w:type="dxa"/>
            <w:vAlign w:val="bottom"/>
          </w:tcPr>
          <w:p>
            <w:pPr>
              <w:jc w:val="right"/>
              <w:ind w:right="11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2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637,588</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$ 1,025,844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667,313</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33,522</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34,948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Receivables (net of allowance for doubtful accounts of $13,569 and $12,882 at June 30, 2016 and December 31, 2015,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402,986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Lazard Ltd subsidiaries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23,858</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519,174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479,007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530,712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$282,731 and $265,505 at June 30, 2016 and December 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2015,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201,929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207,165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and other intangible assets (net of accumulated amortization of $58,534 and $57,561 at June 30, 2016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2015, 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56,529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225,449</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3,148,692</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$ 3,389,054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721,171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270,468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Payable to Lazard Ltd subsidiaries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2,555,228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2,686,154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1"/>
              </w:rPr>
              <w:t>Members’ equity (net of 4,279,623 and 3,322,385 shares of Lazard Ltd Class A common stock, at a cost of $156,619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and $161,288 at June 30, 2016 and December 31, 2015,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732,377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(196,346)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(189,758)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536,031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593,464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3,148,692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3,389,054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June 30,</w:t>
            </w: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286,609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314,277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551,752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615,649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 fees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241,397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475,128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2,735</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17,342</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36,071</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27,224</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546,535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620,463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1,056,839</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1,214,457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25,524</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533,711</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607,951</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1,031,315</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1,184,804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308,296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605,494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27,150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54,152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24,296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47,227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15,895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29,330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19,376</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420,377</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446,815</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819,934</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113,334</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161,136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211,381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97,612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183,924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LESS - NET INCOME ATTRIBUTABLE TO NONCONTROLLING</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3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96,606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145,629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179,018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6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$ 97,612</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146,672</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183,924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Currency translation adjustments (including a tax expense (benefit) of $(3) for the three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months ended June 30, 2016 and $6 for the six months ended June 30, 2016)</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(15,779)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(18,314)</w:t>
            </w: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Actuarial loss (net of tax benefit of $228 and $8,121 for the three months ended June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7"/>
              </w:rPr>
              <w:t>30, 2016 and 2015, respectively, and $298 and $8,006 for the six months ended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June 30, 2016 and 2015, respectively)</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(14,836)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(14,617)</w:t>
            </w:r>
          </w:p>
        </w:tc>
      </w:tr>
      <w:tr>
        <w:trPr>
          <w:trHeight w:val="208"/>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w w:val="93"/>
              </w:rPr>
              <w:t>Adjustment for items reclassified to earnings (net of tax expense of $403 and $538 for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w w:val="91"/>
              </w:rPr>
              <w:t>the three months ended June 30, 2016 and 2015, respectively, and $796 and $1,101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rPr>
              <w:t>for the six months ended June 30, 2016 and 2015, respectively)</w:t>
            </w: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(15,133)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(30,555)</w:t>
            </w: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82,479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144,098</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185,270</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2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spacing w:after="0"/>
              <w:rPr>
                <w:sz w:val="20"/>
                <w:szCs w:val="20"/>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$ 81,472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143,057</w:t>
            </w:r>
          </w:p>
        </w:tc>
        <w:tc>
          <w:tcPr>
            <w:tcW w:w="4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172,430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177,535</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183,924</w:t>
            </w:r>
          </w:p>
        </w:tc>
        <w:tc>
          <w:tcPr>
            <w:tcW w:w="2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215,825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16,630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and share-based incentive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198,461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170,700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benefit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disposal of subsidiaries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(271,010)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1,697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85,079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52,482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167,481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(314,004)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(209,205)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64,620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210,841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(13,102)</w:t>
            </w: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396,272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(509,098)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(194,729)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(141,323)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Distribution to members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(201,147)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(54,164)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(102,634)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(443,473)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0"/>
              </w:rPr>
              <w:t>(402,632)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(22,770)</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(388,256)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0"/>
              </w:rPr>
              <w:t>(227,663)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1,025,844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917,212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EQUIVALENTS—June 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637,588</w:t>
            </w:r>
          </w:p>
        </w:tc>
        <w:tc>
          <w:tcPr>
            <w:tcW w:w="24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689,549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2015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$ 594,834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(163,288)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$ 431,546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208,089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208,089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215,825</w:t>
            </w: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8"/>
                <w:szCs w:val="18"/>
                <w:color w:val="auto"/>
              </w:rPr>
              <w:t>(30,554)</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(30,554)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(30,555)</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122,793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122,793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122,793</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(40,839)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(40,839)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(11,873)</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(52,712)</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8"/>
              </w:rPr>
              <w:t>(141,323)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(141,323)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(141,323)</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w w:val="99"/>
              </w:rPr>
              <w:t>Delivery of Lazard Ltd Class A common stock in connection with share-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based incentive compensation and related tax benefit of $9,495</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(93,139)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(93,139)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(93,139)</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660"/>
              <w:spacing w:after="0"/>
              <w:rPr>
                <w:sz w:val="20"/>
                <w:szCs w:val="20"/>
                <w:color w:val="auto"/>
              </w:rPr>
            </w:pPr>
            <w:r>
              <w:rPr>
                <w:rFonts w:ascii="Arial" w:cs="Arial" w:eastAsia="Arial" w:hAnsi="Arial"/>
                <w:sz w:val="18"/>
                <w:szCs w:val="18"/>
                <w:color w:val="auto"/>
              </w:rPr>
              <w:t>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(1,634)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 June 30, 2015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$ 649,096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(193,842</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$ 455,254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$ 513,709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2015 and June 30, 2015. Also includes profit participation interests and two managing member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2016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$ 839,517</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(189,758)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$ 649,759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53,141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$ 702,900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179,018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179,018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183,924</w:t>
            </w: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Other comprehensive income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8"/>
                <w:szCs w:val="18"/>
                <w:color w:val="auto"/>
              </w:rPr>
              <w:t>(6,588)</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(6,588)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(6,587)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155,325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155,325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155,325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w w:val="98"/>
              </w:rPr>
              <w:t>(201,147)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(201,147)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(201,762)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8"/>
              </w:rPr>
              <w:t>(194,729)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(194,729)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(194,729)</w:t>
            </w: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w w:val="99"/>
              </w:rPr>
              <w:t>Delivery of Lazard Ltd Class A common stock in connection with share-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8"/>
                <w:szCs w:val="18"/>
                <w:color w:val="auto"/>
              </w:rPr>
              <w:t>based incentive compensation and related tax benefit of $141</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(54,023)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(54,023)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(54,023)</w:t>
            </w: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60" w:type="dxa"/>
            <w:vAlign w:val="bottom"/>
          </w:tcPr>
          <w:p>
            <w:pPr>
              <w:ind w:left="440"/>
              <w:spacing w:after="0"/>
              <w:rPr>
                <w:sz w:val="20"/>
                <w:szCs w:val="20"/>
                <w:color w:val="auto"/>
              </w:rPr>
            </w:pPr>
            <w:r>
              <w:rPr>
                <w:rFonts w:ascii="Arial" w:cs="Arial" w:eastAsia="Arial" w:hAnsi="Arial"/>
                <w:sz w:val="18"/>
                <w:szCs w:val="18"/>
                <w:color w:val="auto"/>
              </w:rPr>
              <w:t>Delivery of Lazard Ltd Class A common stock and tax benefit of</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tcPr>
          <w:p>
            <w:pPr>
              <w:ind w:left="660"/>
              <w:spacing w:after="0"/>
              <w:rPr>
                <w:sz w:val="20"/>
                <w:szCs w:val="20"/>
                <w:color w:val="auto"/>
              </w:rPr>
            </w:pPr>
            <w:r>
              <w:rPr>
                <w:rFonts w:ascii="Arial" w:cs="Arial" w:eastAsia="Arial" w:hAnsi="Arial"/>
                <w:sz w:val="18"/>
                <w:szCs w:val="18"/>
                <w:color w:val="auto"/>
              </w:rPr>
              <w:t>$126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2,739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2,739</w:t>
            </w: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5,677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Balance – June 30, 2016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$ 732,377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(196,346</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$ 536,031</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$ 593,464</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3680" w:right="1780" w:hanging="3672"/>
        <w:spacing w:after="0" w:line="475" w:lineRule="auto"/>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both January 1, 2016 and June 30, 2016, in addition to profit participation interests, there were two managing member interests. See 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698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Amended and Restated Operating Agreement dated as of October 26, 2015 (the “Operating Agreement”).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2016 and December 31, 2015. Lazard Ltd, through its control of the managing members of Lazard Group, controls Lazard Group.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2015 (the “Form 10-K”). The accompanying December 31, 2015 unaudited condensed consolidated statement of financial condition data was derived from audited consolidated financial statements, but does not include all disclosures required by U.S. GAAP for annual financial statement purposes. The accompanying condensed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consolidated financial statements reflect all adjustments which are, in the opinion of management, necessary for a fair presentation of the financial position, results of operations and cash flows for the interim periods presented.</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2016 are not indicative of the results to be expected for any future interim or annual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90" w:lineRule="exact"/>
        <w:rPr>
          <w:rFonts w:ascii="Arial" w:cs="Arial" w:eastAsia="Arial" w:hAnsi="Arial"/>
          <w:sz w:val="18"/>
          <w:szCs w:val="18"/>
          <w:color w:val="auto"/>
        </w:rPr>
      </w:pPr>
    </w:p>
    <w:p>
      <w:pPr>
        <w:ind w:left="900" w:right="5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4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18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—In May 2014, the Financial Accounting Standards Board (the “FASB”) issued comprehensive new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guidance. The guidance requires a company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During 2016, the FASB issued additional clarifications for certain aspects of the new revenue recognition guidance. The Company is currently evaluating the new guidance.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Amendments to the Consolidation Analysis</w:t>
      </w:r>
      <w:r>
        <w:rPr>
          <w:rFonts w:ascii="Arial" w:cs="Arial" w:eastAsia="Arial" w:hAnsi="Arial"/>
          <w:sz w:val="16"/>
          <w:szCs w:val="16"/>
          <w:color w:val="auto"/>
        </w:rPr>
        <w:t>—In February 2015, the FASB issued updated guidance for the consolidation of certain legal entities.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updated guidance eliminates the deferral of certain consolidation standards for entities considered to be investment companies and modifies the evaluation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limited partnerships and similar legal entities are VIEs or VOEs. The new guidance is effective for annual reporting periods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2015, with early adoption permitted. The Company adopted this guidance using the modified retrospective method with an effective adoption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January 1, 2016. The adoption of this guidance did not have a material impact on our consolidated financial statements or related disclosures.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—In April 2015, the FASB issued updated guidance which requires a company to classify debt issuance costs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w:t>
      </w:r>
      <w:r>
        <w:rPr>
          <w:rFonts w:ascii="Arial" w:cs="Arial" w:eastAsia="Arial" w:hAnsi="Arial"/>
          <w:sz w:val="16"/>
          <w:szCs w:val="16"/>
          <w:i w:val="1"/>
          <w:iCs w:val="1"/>
          <w:color w:val="auto"/>
        </w:rPr>
        <w:t xml:space="preserve"> Customers Accounting for Fees Paid in a Cloud Computing Arrangement</w:t>
      </w:r>
      <w:r>
        <w:rPr>
          <w:rFonts w:ascii="Arial" w:cs="Arial" w:eastAsia="Arial" w:hAnsi="Arial"/>
          <w:sz w:val="16"/>
          <w:szCs w:val="16"/>
          <w:color w:val="auto"/>
        </w:rPr>
        <w:t>—In April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 lease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In March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—In June 2016, the FASB issued new guidance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23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receivables represent fee receivables, amounts due from customers and other receivables and amounts due from Lazard Ltd subsidiaries.</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2016 and 2015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5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$11,230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$18,459</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$ 23,540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2,061</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2,579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13,569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21,071</w:t>
            </w:r>
          </w:p>
        </w:tc>
        <w:tc>
          <w:tcPr>
            <w:tcW w:w="3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13,569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$ 21,071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2016 and December 31, 2015, the Company had receivables past due or deemed uncollectible of $19,839 and $19,923, respectively.</w:t>
      </w:r>
    </w:p>
    <w:p>
      <w:pPr>
        <w:spacing w:after="0" w:line="19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Of the Company’s fee receivables at June 30, 2016 and December 31, 2015, $82,244 and $81,774, respectively, represented interest-bearing financing receivables. In addition, at June 30, 2016 and December 31, 2015, the Company had interest-bearing receivables from Lazard Ltd subsidiaries of $16,618 and $106,567,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$420,312 and $417,689 at June 30, 2016 and December 31, 2015, respectively, approximates fair value.</w:t>
      </w:r>
    </w:p>
    <w:p>
      <w:pPr>
        <w:spacing w:after="0" w:line="25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2016 and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3"/>
          </w:tcPr>
          <w:p>
            <w:pPr>
              <w:spacing w:after="0"/>
              <w:rPr>
                <w:sz w:val="20"/>
                <w:szCs w:val="20"/>
                <w:color w:val="auto"/>
              </w:rPr>
            </w:pPr>
            <w:r>
              <w:rPr>
                <w:rFonts w:ascii="Arial" w:cs="Arial" w:eastAsia="Arial" w:hAnsi="Arial"/>
                <w:sz w:val="18"/>
                <w:szCs w:val="18"/>
                <w:color w:val="auto"/>
              </w:rPr>
              <w:t>Funds: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63,124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171,252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105,561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390,170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421,541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479,007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469,769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gridSpan w:val="3"/>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33,791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280" w:hanging="572"/>
        <w:spacing w:after="0" w:line="255"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$15,834, $38,350 and $131,204, respectively, at June 30,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Investments in debt securities and securities sold, not yet purchased (included in “other liabilities”) at June 30, 2016 primarily consist of convertible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three month and six month periods ended June 30, 2015.</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During the three month and six month periods ended June 30, 2016 and 2015, the Company reported in “revenue-other” on its condensed consolidated statements of operations net unrealized investment gains and losses pertaining to “trading” securities still held as of the reporting date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5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5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0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2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$ 254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(3,206)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$5,246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14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 and are classified as Level 2 when their fair values are based on inputs that generally can be corroborated by observable market data.</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fair value of investments in private equity funds were classified as Level 3 for certain investments that were valued based on a potential transaction value as of June 30, 2015.</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44"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The following tables present, as of June 30,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47,670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48,968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27,379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50,233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63,124</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171,213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171,252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105,561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309,380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31,347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470,485</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185,893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185,893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216,524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219,684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197,787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100,219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467,958</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195,689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195,689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198,928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780" w:hanging="572"/>
        <w:spacing w:after="0" w:line="33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7"/>
              </w:rPr>
              <w:t>Three Months Ended June 30, 2016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6"/>
              </w:rPr>
              <w:t>Six Months Ended June 30, 2016</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8"/>
              </w:rPr>
              <w:t>Three Months Ended June 30, 2015 (a)</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3"/>
              </w:rPr>
              <w:t>Acquisitions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$ 23,414</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87"/>
              </w:rPr>
              <w:t>Six Months Ended June 30, 2015 (a)</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Realized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Included</w:t>
            </w:r>
          </w:p>
        </w:tc>
        <w:tc>
          <w:tcPr>
            <w:tcW w:w="58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In Revenue-</w:t>
            </w:r>
          </w:p>
        </w:tc>
        <w:tc>
          <w:tcPr>
            <w:tcW w:w="5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140" w:type="dxa"/>
            <w:vAlign w:val="bottom"/>
          </w:tcPr>
          <w:p>
            <w:pPr>
              <w:spacing w:after="0"/>
              <w:rPr>
                <w:sz w:val="12"/>
                <w:szCs w:val="12"/>
                <w:color w:val="auto"/>
              </w:rPr>
            </w:pPr>
          </w:p>
        </w:tc>
        <w:tc>
          <w:tcPr>
            <w:tcW w:w="11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Sales/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Other (b)</w:t>
            </w:r>
          </w:p>
        </w:tc>
        <w:tc>
          <w:tcPr>
            <w:tcW w:w="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Transfers (c)</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2,781</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19,887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64"/>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580" w:right="80" w:hanging="572"/>
        <w:spacing w:after="0" w:line="33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tables for the three month and six month periods ended June 30, 2015 reflect the retrospective application of new disclosure guidance adopted by the Company for investments using NAV or its equivalent as a practical expedient when measuring fair value. See Note 2.</w:t>
      </w:r>
    </w:p>
    <w:p>
      <w:pPr>
        <w:spacing w:after="0" w:line="4" w:lineRule="exact"/>
        <w:rPr>
          <w:rFonts w:ascii="Arial" w:cs="Arial" w:eastAsia="Arial" w:hAnsi="Arial"/>
          <w:sz w:val="16"/>
          <w:szCs w:val="16"/>
          <w:color w:val="auto"/>
        </w:rPr>
      </w:pPr>
    </w:p>
    <w:p>
      <w:pPr>
        <w:ind w:left="580" w:right="38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2016 and the three month and six month periods ended June 30, 2015 include net unrealized gains of $2, $5, $150 and $2,781, respectively.</w:t>
      </w:r>
    </w:p>
    <w:p>
      <w:pPr>
        <w:spacing w:after="0" w:line="50"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2014 of $19,255 were transferred to Level 3 from the NAV category in the six months ended June 30, 2015 as these investments were valued based on potential transaction value as of June 30, 2015.</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2016 and 2015.</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tables present, at June 30, 2016 and December 31, 2015,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2016</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60" w:type="dxa"/>
            <w:vAlign w:val="bottom"/>
            <w:gridSpan w:val="6"/>
          </w:tcPr>
          <w:p>
            <w:pPr>
              <w:ind w:left="22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2560" w:type="dxa"/>
            <w:vAlign w:val="bottom"/>
            <w:gridSpan w:val="6"/>
          </w:tcPr>
          <w:p>
            <w:pPr>
              <w:ind w:left="320"/>
              <w:spacing w:after="0"/>
              <w:rPr>
                <w:sz w:val="20"/>
                <w:szCs w:val="20"/>
                <w:color w:val="auto"/>
              </w:rPr>
            </w:pPr>
            <w:r>
              <w:rPr>
                <w:rFonts w:ascii="Arial" w:cs="Arial" w:eastAsia="Arial" w:hAnsi="Arial"/>
                <w:sz w:val="14"/>
                <w:szCs w:val="14"/>
                <w:b w:val="1"/>
                <w:bCs w:val="1"/>
                <w:color w:val="auto"/>
              </w:rPr>
              <w:t>Investments Not Redeemable</w:t>
            </w:r>
          </w:p>
        </w:tc>
        <w:tc>
          <w:tcPr>
            <w:tcW w:w="1860" w:type="dxa"/>
            <w:vAlign w:val="bottom"/>
            <w:gridSpan w:val="3"/>
          </w:tcPr>
          <w:p>
            <w:pPr>
              <w:ind w:left="220"/>
              <w:spacing w:after="0"/>
              <w:rPr>
                <w:sz w:val="20"/>
                <w:szCs w:val="20"/>
                <w:color w:val="auto"/>
              </w:rPr>
            </w:pPr>
            <w:r>
              <w:rPr>
                <w:rFonts w:ascii="Arial" w:cs="Arial" w:eastAsia="Arial" w:hAnsi="Arial"/>
                <w:sz w:val="14"/>
                <w:szCs w:val="14"/>
                <w:b w:val="1"/>
                <w:bCs w:val="1"/>
                <w:color w:val="auto"/>
                <w:w w:val="96"/>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Unfunded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Years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680" w:type="dxa"/>
            <w:vAlign w:val="bottom"/>
          </w:tcPr>
          <w:p>
            <w:pPr>
              <w:jc w:val="right"/>
              <w:spacing w:after="0"/>
              <w:rPr>
                <w:sz w:val="20"/>
                <w:szCs w:val="20"/>
                <w:color w:val="auto"/>
              </w:rPr>
            </w:pPr>
            <w:r>
              <w:rPr>
                <w:rFonts w:ascii="Arial" w:cs="Arial" w:eastAsia="Arial" w:hAnsi="Arial"/>
                <w:sz w:val="18"/>
                <w:szCs w:val="18"/>
                <w:color w:val="auto"/>
              </w:rPr>
              <w:t>$21,806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1"/>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NA</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1"/>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680" w:type="dxa"/>
            <w:vAlign w:val="bottom"/>
          </w:tcPr>
          <w:p>
            <w:pPr>
              <w:jc w:val="right"/>
              <w:spacing w:after="0"/>
              <w:rPr>
                <w:sz w:val="20"/>
                <w:szCs w:val="20"/>
                <w:color w:val="auto"/>
              </w:rPr>
            </w:pPr>
            <w:r>
              <w:rPr>
                <w:rFonts w:ascii="Arial" w:cs="Arial" w:eastAsia="Arial" w:hAnsi="Arial"/>
                <w:sz w:val="18"/>
                <w:szCs w:val="18"/>
                <w:color w:val="auto"/>
              </w:rPr>
              <w:t>72,187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9,183(f)</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2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2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128,460</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9,183</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(44%), monthly (46%) and quarterly (10%)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(4%) and monthly (96%)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(19%), monthly (52%) and quarterly (29%)</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$6,890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gridSpan w:val="6"/>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26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6"/>
              </w:rPr>
              <w:t>Investments Not Redeemable</w:t>
            </w: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Unfunded</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5-10</w:t>
            </w: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Redeemable</w:t>
            </w: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5 Years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Thereafter</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NA</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NA</w:t>
            </w: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10,242(f)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3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39%</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122,732</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10,242</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3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June 30, 2016,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primarily arose from commitments to EGCP III, which amounted to $8,613,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3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condensed consolidated statements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June 30, 2016 and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177,129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193,574</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185,893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195,689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$327 and $7,127 as of June 30, 2016, respectively, and</w:t>
      </w:r>
    </w:p>
    <w:p>
      <w:pPr>
        <w:spacing w:after="0" w:line="38" w:lineRule="exact"/>
        <w:rPr>
          <w:rFonts w:ascii="Arial" w:cs="Arial" w:eastAsia="Arial" w:hAnsi="Arial"/>
          <w:sz w:val="16"/>
          <w:szCs w:val="16"/>
          <w:color w:val="auto"/>
        </w:rPr>
      </w:pPr>
    </w:p>
    <w:p>
      <w:pPr>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$460 and $958 as of December 31, 2015, respectively, for contracts with the same counterparty under legally enforceable master netting agreements. Such amounts are recorded “net” in “other assets”, with receivables for net cash collateral under such contracts of $10,996 and $9,636 as of June 30, 2016 and December 31, 2015, respectively.</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2016 and 2015,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(4,023)</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$(6,854)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1,894</w:t>
            </w:r>
          </w:p>
        </w:tc>
        <w:tc>
          <w:tcPr>
            <w:tcW w:w="560" w:type="dxa"/>
            <w:vAlign w:val="bottom"/>
          </w:tcPr>
          <w:p>
            <w:pPr>
              <w:jc w:val="right"/>
              <w:spacing w:after="0"/>
              <w:rPr>
                <w:sz w:val="20"/>
                <w:szCs w:val="20"/>
                <w:color w:val="auto"/>
              </w:rPr>
            </w:pPr>
            <w:r>
              <w:rPr>
                <w:rFonts w:ascii="Arial" w:cs="Arial" w:eastAsia="Arial" w:hAnsi="Arial"/>
                <w:sz w:val="18"/>
                <w:szCs w:val="18"/>
                <w:color w:val="auto"/>
              </w:rPr>
              <w:t>2,202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(2,242)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(3,064)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(2,262)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920" w:type="dxa"/>
            <w:vAlign w:val="bottom"/>
            <w:vMerge w:val="restart"/>
          </w:tcPr>
          <w:p>
            <w:pPr>
              <w:jc w:val="right"/>
              <w:ind w:right="191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2016 and December 31, 2015, property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Estimated</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98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Life in Years</w:t>
            </w: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$139,890</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3-20</w:t>
            </w:r>
          </w:p>
        </w:tc>
        <w:tc>
          <w:tcPr>
            <w:tcW w:w="700" w:type="dxa"/>
            <w:vAlign w:val="bottom"/>
          </w:tcPr>
          <w:p>
            <w:pPr>
              <w:jc w:val="right"/>
              <w:spacing w:after="0"/>
              <w:rPr>
                <w:sz w:val="20"/>
                <w:szCs w:val="20"/>
                <w:color w:val="auto"/>
              </w:rPr>
            </w:pPr>
            <w:r>
              <w:rPr>
                <w:rFonts w:ascii="Arial" w:cs="Arial" w:eastAsia="Arial" w:hAnsi="Arial"/>
                <w:sz w:val="18"/>
                <w:szCs w:val="18"/>
                <w:color w:val="auto"/>
              </w:rPr>
              <w:t>167,494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167,838</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160,552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472,670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282,731</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265,505</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201,929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207,165</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2016 and December 31, 2015 are presented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$322,939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320,761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r>
      <w:tr>
        <w:trPr>
          <w:trHeight w:val="27"/>
        </w:trPr>
        <w:tc>
          <w:tcPr>
            <w:tcW w:w="7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328,181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326,976</w:t>
            </w:r>
          </w:p>
        </w:tc>
        <w:tc>
          <w:tcPr>
            <w:tcW w:w="100" w:type="dxa"/>
            <w:vAlign w:val="bottom"/>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At June 30, 2016 and December 31, 2015, goodwill of $258,398 and $256,220,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2016 and 2015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$320,761</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$ 335,402</w:t>
            </w: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2,178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r>
      <w:tr>
        <w:trPr>
          <w:trHeight w:val="27"/>
        </w:trPr>
        <w:tc>
          <w:tcPr>
            <w:tcW w:w="7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322,939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$ 326,822</w:t>
            </w:r>
          </w:p>
        </w:tc>
        <w:tc>
          <w:tcPr>
            <w:tcW w:w="12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changes in the carrying amount of goodwill for the six month periods ended June 30, 2016 and 2015 are attributable to the Company’s Financial Advisory segment.</w:t>
      </w:r>
    </w:p>
    <w:p>
      <w:pPr>
        <w:spacing w:after="0" w:line="11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240" w:top="459" w:right="7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2016 and December 31, 2015,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June 30, 2016</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December 31, 2015</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36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36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$5,234</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360" w:type="dxa"/>
            <w:vAlign w:val="bottom"/>
          </w:tcPr>
          <w:p>
            <w:pPr>
              <w:ind w:left="220"/>
              <w:spacing w:after="0"/>
              <w:rPr>
                <w:sz w:val="20"/>
                <w:szCs w:val="20"/>
                <w:color w:val="auto"/>
              </w:rPr>
            </w:pPr>
            <w:r>
              <w:rPr>
                <w:rFonts w:ascii="Arial" w:cs="Arial" w:eastAsia="Arial" w:hAnsi="Arial"/>
                <w:sz w:val="18"/>
                <w:szCs w:val="18"/>
                <w:color w:val="auto"/>
              </w:rPr>
              <w:t>agreements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4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w:t>
            </w:r>
          </w:p>
        </w:tc>
        <w:tc>
          <w:tcPr>
            <w:tcW w:w="4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$58,534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5,242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$ 6,215</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2016 was $330 and $974, respectively, and for the three month and six month periods ended June 30, 2015 was $1,857 and $2,890,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040" w:type="dxa"/>
            <w:vAlign w:val="bottom"/>
            <w:vMerge w:val="restart"/>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gridSpan w:val="2"/>
            <w:vMerge w:val="continue"/>
          </w:tcPr>
          <w:p>
            <w:pPr>
              <w:spacing w:after="0"/>
              <w:rPr>
                <w:sz w:val="14"/>
                <w:szCs w:val="14"/>
                <w:color w:val="auto"/>
              </w:rPr>
            </w:pPr>
          </w:p>
        </w:tc>
        <w:tc>
          <w:tcPr>
            <w:tcW w:w="7040" w:type="dxa"/>
            <w:vAlign w:val="bottom"/>
            <w:vMerge w:val="continue"/>
          </w:tcPr>
          <w:p>
            <w:pPr>
              <w:spacing w:after="0"/>
              <w:rPr>
                <w:sz w:val="14"/>
                <w:szCs w:val="14"/>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2016 (July 1 through December 31)</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2016 and December 31,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8"/>
              </w:rPr>
              <w:t>June 30, 2016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December 31, 2015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Principal</w:t>
            </w: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Maturity</w:t>
            </w: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Date</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Rate(b)</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Lazard Group 2017</w:t>
            </w:r>
          </w:p>
        </w:tc>
        <w:tc>
          <w:tcPr>
            <w:tcW w:w="1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Lazard Group 2020</w:t>
            </w:r>
          </w:p>
        </w:tc>
        <w:tc>
          <w:tcPr>
            <w:tcW w:w="17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500,000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11/14/20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495,970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Lazard Group 2025</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395,896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8,239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990,111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998,350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989,358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460" w:right="680"/>
        <w:spacing w:after="0" w:line="254" w:lineRule="auto"/>
        <w:rPr>
          <w:sz w:val="20"/>
          <w:szCs w:val="20"/>
          <w:color w:val="auto"/>
        </w:rPr>
      </w:pPr>
      <w:r>
        <w:rPr>
          <w:rFonts w:ascii="Arial" w:cs="Arial" w:eastAsia="Arial" w:hAnsi="Arial"/>
          <w:sz w:val="18"/>
          <w:szCs w:val="18"/>
          <w:color w:val="auto"/>
        </w:rPr>
        <w:t>costs, resulted in a loss on debt extinguishment of $60,219. Such loss on debt extinguishment was recorded in “operating expenses—other” on the condensed consolidated statement of operations for the six month period ended June 30, 2015.</w:t>
      </w:r>
    </w:p>
    <w:p>
      <w:pPr>
        <w:ind w:left="460" w:right="4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interest rates of the 2017 Notes, Lazard Group’s 4.25% senior notes due November 14, 2020 (the “2020 Notes”) and the 2025 Notes are 6.96%, 4.43% and 3.87%, respectively.</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table, as of December 31, 2015, reflects the retrospective application of new guidance adopted by the Company for debt issuance costs. See Note 2.</w:t>
      </w:r>
    </w:p>
    <w:p>
      <w:pPr>
        <w:spacing w:after="0" w:line="194"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2016 and December 31, 2015, no amounts were outstanding under the Amended and Restated Credit Agreement.</w:t>
      </w:r>
    </w:p>
    <w:p>
      <w:pPr>
        <w:spacing w:after="0" w:line="10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2016, the Company was in compliance with such provisions. All of the Company’s senior debt obligations are unsecured.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30, 2016, the Company had approximately $215,000 in unused lines of credit available to it, including the credit facility provided under the Amended and Restated Credit Agreement, and unused lines of credit available to LFB of approximately $11,000 (at June 30, 2016 exchange rates) and Edgewater of $52,000. The unused lines of credit available to Edgewater are guaranteed by certain Edgewater private equity funds and can be drawn upon only by the applicable general partner, fund, or individual portfolio companies for the benefit of the applicable funds and individual portfolio companies of such funds. In addition, LFB has access to the Eurosystem Covered Bond Purchase Program of the Banque de France.</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Company’s senior debt at June 30, 2016 and December 31, 2015 is carried at historical amounts. At those dates, the fair value of such senior debt was approximately $1,037,000 and $994,000, respectively. The fair value of the Company’s senior debt is based on market quotations. The Company’s senior debt would be categorized within Level 2 of the hierarchy of fair value measurements if carried at fair value.</w:t>
      </w:r>
    </w:p>
    <w:p>
      <w:pPr>
        <w:spacing w:after="0" w:line="22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2016, LFB had $5,394 of such indemnifications and held $5,337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Certain Business Transactions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June 30, 2016 and December 31, 2015, 114,285 and 913,722 shares, respectively, are issuable on a contingent basis, and 2,171,429 and 1,371,992 shares, respectively, have been earned because applicable performance thresholds have been satisfied. As of June 30, 2016 and December 31, 2015, 2,171,429 and 1,371,992, respectively, of the earned shares have been settled.</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June 30, 2016, LFB and LFNY had no such underwriting commitments.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—Distributions in respect of Lazard Group’s common membership interests are allocated to the holders of such interests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2016 and 2015, Lazard Group distributed $201,147 and $40,839, respectively, to the subsidiaries of Lazard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Ltd.</w:t>
      </w:r>
    </w:p>
    <w:p>
      <w:pPr>
        <w:spacing w:after="0" w:line="16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2016 and since 2013,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88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90"/>
              </w:rPr>
              <w:t>Authorization</w:t>
            </w:r>
          </w:p>
        </w:tc>
        <w:tc>
          <w:tcPr>
            <w:tcW w:w="1780" w:type="dxa"/>
            <w:vAlign w:val="bottom"/>
            <w:gridSpan w:val="2"/>
          </w:tcPr>
          <w:p>
            <w:pPr>
              <w:ind w:left="50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7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2016</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113,182</w:t>
            </w:r>
          </w:p>
        </w:tc>
        <w:tc>
          <w:tcPr>
            <w:tcW w:w="7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6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7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Price Per</w:t>
            </w:r>
          </w:p>
        </w:tc>
      </w:tr>
      <w:tr>
        <w:trPr>
          <w:trHeight w:val="161"/>
        </w:trPr>
        <w:tc>
          <w:tcPr>
            <w:tcW w:w="160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w w:val="92"/>
              </w:rPr>
              <w:t>Purchased</w:t>
            </w:r>
          </w:p>
        </w:tc>
        <w:tc>
          <w:tcPr>
            <w:tcW w:w="4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960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Six Months Ended June 30:</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2015</w:t>
            </w:r>
          </w:p>
        </w:tc>
        <w:tc>
          <w:tcPr>
            <w:tcW w:w="80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4"/>
              </w:rPr>
              <w:t>2,306,694</w:t>
            </w:r>
          </w:p>
        </w:tc>
        <w:tc>
          <w:tcPr>
            <w:tcW w:w="960" w:type="dxa"/>
            <w:vAlign w:val="bottom"/>
            <w:tcBorders>
              <w:top w:val="single" w:sz="8" w:color="CCEEFF"/>
            </w:tcBorders>
            <w:gridSpan w:val="2"/>
          </w:tcPr>
          <w:p>
            <w:pPr>
              <w:jc w:val="center"/>
              <w:ind w:left="332"/>
              <w:spacing w:after="0"/>
              <w:rPr>
                <w:sz w:val="20"/>
                <w:szCs w:val="20"/>
                <w:color w:val="auto"/>
              </w:rPr>
            </w:pPr>
            <w:r>
              <w:rPr>
                <w:rFonts w:ascii="Arial" w:cs="Arial" w:eastAsia="Arial" w:hAnsi="Arial"/>
                <w:sz w:val="18"/>
                <w:szCs w:val="18"/>
                <w:color w:val="auto"/>
                <w:w w:val="89"/>
              </w:rPr>
              <w:t>$ 51.04</w:t>
            </w:r>
          </w:p>
        </w:tc>
        <w:tc>
          <w:tcPr>
            <w:tcW w:w="100" w:type="dxa"/>
            <w:vAlign w:val="bottom"/>
            <w:tcBorders>
              <w:top w:val="single" w:sz="8" w:color="CCEEFF"/>
            </w:tcBorders>
          </w:tcPr>
          <w:p>
            <w:pPr>
              <w:spacing w:after="0"/>
              <w:rPr>
                <w:sz w:val="24"/>
                <w:szCs w:val="24"/>
                <w:color w:val="auto"/>
              </w:rPr>
            </w:pPr>
          </w:p>
        </w:tc>
      </w:tr>
      <w:tr>
        <w:trPr>
          <w:trHeight w:val="218"/>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00" w:type="dxa"/>
            <w:vAlign w:val="bottom"/>
            <w:shd w:val="clear" w:color="auto" w:fill="CCEEFF"/>
          </w:tcPr>
          <w:p>
            <w:pPr>
              <w:spacing w:after="0"/>
              <w:rPr>
                <w:sz w:val="18"/>
                <w:szCs w:val="18"/>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5,646,092</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$ 34.49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During the six month periods ended June 30, 2016 and 2015,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the estimated amount of such tax. In addition, during the three month period ended June 30, 2016, the Company purchased shares of Lazard Ltd Class A common stock from an executive officer. The aggregate value of all such purchases during the six month periods ended June 30, 2016 and 2015 was approximately $4,900 and $17,700, respectively.</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six month period ended June 30, 2015, Lazard Group purchased 480,604 shares of Lazard Ltd Class A common stock from subsidiaries of Lazard Ltd for $25,801. There were no such purchases during the six month period ended June 30, 2016.</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2016, a total of $224,614 of share repurchase authorization remained available under Lazard Ltd’s share repurchase program, which will expire on December 31, 2017.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six month period ended June 30, 2016, Lazard Ltd had in place trading plans under Rule 10b5-1 of the Securities Exchange Act of 1934, pursuant to which it effected stock repurchases in the open market.</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Net of Tax </w:t>
      </w:r>
      <w:r>
        <w:rPr>
          <w:rFonts w:ascii="Arial" w:cs="Arial" w:eastAsia="Arial" w:hAnsi="Arial"/>
          <w:sz w:val="18"/>
          <w:szCs w:val="18"/>
          <w:b w:val="1"/>
          <w:bCs w:val="1"/>
          <w:color w:val="auto"/>
        </w:rPr>
        <w:t>(“AOCI”)</w:t>
      </w:r>
      <w:r>
        <w:rPr>
          <w:rFonts w:ascii="Arial" w:cs="Arial" w:eastAsia="Arial" w:hAnsi="Arial"/>
          <w:sz w:val="18"/>
          <w:szCs w:val="18"/>
          <w:color w:val="auto"/>
        </w:rPr>
        <w:t>—The tables below reflect the balances of each component of AOCI at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2015 and activity during the six month periods then ended: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(52,687</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(137,073</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(189,760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(189,758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June 30, 2016:</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(8,278)</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(616)</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(8,894)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(8,278)</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1,691</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(6,587)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(60,965)</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(135,382)</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(196,347)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(196,346)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June 30, 2015:</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(18,314)</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(14,617)</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(32,931)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(32,930)</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(18,314)</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(12,241)</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(30,555)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(26,939)</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(166,906)</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(193,845)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(193,842)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$ 1,524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$ 1,728</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$ 3,103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Less – related income taxes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$ 1,121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2016 and 2015 and noncontrolling interests as of June 30, 2016 and December 31, 2015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63"/>
              <w:spacing w:after="0"/>
              <w:rPr>
                <w:sz w:val="20"/>
                <w:szCs w:val="20"/>
                <w:color w:val="auto"/>
              </w:rPr>
            </w:pPr>
            <w:r>
              <w:rPr>
                <w:rFonts w:ascii="Arial" w:cs="Arial" w:eastAsia="Arial" w:hAnsi="Arial"/>
                <w:sz w:val="14"/>
                <w:szCs w:val="14"/>
                <w:b w:val="1"/>
                <w:bCs w:val="1"/>
                <w:color w:val="auto"/>
                <w:w w:val="87"/>
              </w:rPr>
              <w:t>Net Income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4"/>
                <w:szCs w:val="14"/>
                <w:b w:val="1"/>
                <w:bCs w:val="1"/>
                <w:color w:val="auto"/>
                <w:w w:val="85"/>
              </w:rPr>
              <w:t>Interests</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6"/>
          </w:tcPr>
          <w:p>
            <w:pPr>
              <w:jc w:val="right"/>
              <w:ind w:right="340"/>
              <w:spacing w:after="0" w:line="129" w:lineRule="exact"/>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5"/>
          </w:tcPr>
          <w:p>
            <w:pPr>
              <w:jc w:val="right"/>
              <w:ind w:right="337"/>
              <w:spacing w:after="0" w:line="129"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2"/>
              </w:rPr>
              <w:t>June 30,</w:t>
            </w:r>
          </w:p>
        </w:tc>
        <w:tc>
          <w:tcPr>
            <w:tcW w:w="7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and six month periods ended June 30, 2016 and 2015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2015</w:t>
            </w:r>
          </w:p>
        </w:tc>
        <w:tc>
          <w:tcPr>
            <w:tcW w:w="6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RSUs</w:t>
            </w:r>
          </w:p>
        </w:tc>
        <w:tc>
          <w:tcPr>
            <w:tcW w:w="800" w:type="dxa"/>
            <w:vAlign w:val="bottom"/>
          </w:tcPr>
          <w:p>
            <w:pPr>
              <w:jc w:val="right"/>
              <w:spacing w:after="0"/>
              <w:rPr>
                <w:sz w:val="20"/>
                <w:szCs w:val="20"/>
                <w:color w:val="auto"/>
              </w:rPr>
            </w:pPr>
            <w:r>
              <w:rPr>
                <w:rFonts w:ascii="Arial" w:cs="Arial" w:eastAsia="Arial" w:hAnsi="Arial"/>
                <w:sz w:val="18"/>
                <w:szCs w:val="18"/>
                <w:color w:val="auto"/>
              </w:rPr>
              <w:t>$40,564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32,263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$94,972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27,024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8,342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2,830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31,818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$59,963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44,188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$154,569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2016 and 2015, dividend participation rights required the issuance of 841,433 and 529,616 RSUs, respectively.</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38,771 and 23,961 DSUs granted in connection with annual compensation during the six month periods ended June 30, 2016 and 2015, respectively. Their remaining compensation is payable in cash, which they may elect to receive in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2016 and 2015, 4,467 and 1,183 DSUs, respectively, had been granted pursuant to such Plan.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2016 and 2015: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DSUs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8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9,599,658</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312,670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Granted (including 841,433 RSUs relating to dividend participation)</w:t>
            </w:r>
          </w:p>
        </w:tc>
        <w:tc>
          <w:tcPr>
            <w:tcW w:w="840" w:type="dxa"/>
            <w:vAlign w:val="bottom"/>
          </w:tcPr>
          <w:p>
            <w:pPr>
              <w:jc w:val="right"/>
              <w:spacing w:after="0"/>
              <w:rPr>
                <w:sz w:val="20"/>
                <w:szCs w:val="20"/>
                <w:color w:val="auto"/>
              </w:rPr>
            </w:pPr>
            <w:r>
              <w:rPr>
                <w:rFonts w:ascii="Arial" w:cs="Arial" w:eastAsia="Arial" w:hAnsi="Arial"/>
                <w:sz w:val="18"/>
                <w:szCs w:val="18"/>
                <w:color w:val="auto"/>
              </w:rPr>
              <w:t>6,486,463</w:t>
            </w:r>
          </w:p>
        </w:tc>
        <w:tc>
          <w:tcPr>
            <w:tcW w:w="2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34.47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43,238</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(94,692)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(4,233,894)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39.10</w:t>
            </w:r>
          </w:p>
        </w:tc>
        <w:tc>
          <w:tcPr>
            <w:tcW w:w="30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(84,759)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11,757,535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271,149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13,529,116</w:t>
            </w:r>
          </w:p>
        </w:tc>
        <w:tc>
          <w:tcPr>
            <w:tcW w:w="28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286,227</w:t>
            </w: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529,616 RSUs relating to dividend participation)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3,982,135</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(397,637)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43.04</w:t>
            </w:r>
          </w:p>
        </w:tc>
        <w:tc>
          <w:tcPr>
            <w:tcW w:w="3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(6,873,352)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Balance, June 30,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10,240,262</w:t>
            </w:r>
          </w:p>
        </w:tc>
        <w:tc>
          <w:tcPr>
            <w:tcW w:w="28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43.14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311,371</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RSUs that vested during the six month periods ended June 30, 2016 and 2015, the Company satisfied its minimum statutory tax withholding requirements in lieu of delivering 1,382,153 and 1,895,301 shares of Class A common stock during such respective six month periods. Accordingly, 2,851,741 and 4,978,051 shares of Class A common stock held by the Company were delivered during the six month periods ended June 30, 2016 and 2015, respectively.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June 30, 2016, estimated unrecognized RSU compensation expense was approximately $211,443, with such expense expected to be recognized over a weighted average period of approximately 1.0 years subsequent to June 30, 2016.</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2016 and 2015:</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Restricted</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1,795,258</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(30,412)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(729,457)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1,749,127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January 1, 2015</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729,827</w:t>
            </w:r>
          </w:p>
        </w:tc>
        <w:tc>
          <w:tcPr>
            <w:tcW w:w="5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576,886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(44,769)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(501,298)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Balance, June 30,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760,646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2016 and 2015, the Company satisfied its minimum statutory tax withholding requirements in lieu of delivering 129,389 and 92,500 shares of Class A common stock during such respective six month periods. Accordingly, 600,068 and 408,798 shares of Class A common stock held by the Company were delivered during the six month periods ended June 30, 2016 and 2015, respectively.</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June 30, 2016, estimated unrecognized restricted stock expense was approximately $45,100, with such expense to be recognized over a weighted average period of approximately 1.1 years subsequent to June 30, 2016.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2016 and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1,019,038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627,956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(417,018)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June 30, 2016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1,229,976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1,347,148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368,389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June 30,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1,019,038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171" w:lineRule="exact"/>
        <w:rPr>
          <w:sz w:val="20"/>
          <w:szCs w:val="20"/>
          <w:color w:val="auto"/>
        </w:rPr>
      </w:pPr>
    </w:p>
    <w:p>
      <w:pPr>
        <w:jc w:val="both"/>
        <w:ind w:right="500" w:firstLine="456"/>
        <w:spacing w:after="0" w:line="335" w:lineRule="auto"/>
        <w:rPr>
          <w:sz w:val="20"/>
          <w:szCs w:val="20"/>
          <w:color w:val="auto"/>
        </w:rPr>
      </w:pPr>
      <w:r>
        <w:rPr>
          <w:rFonts w:ascii="Arial" w:cs="Arial" w:eastAsia="Arial" w:hAnsi="Arial"/>
          <w:sz w:val="15"/>
          <w:szCs w:val="15"/>
          <w:color w:val="auto"/>
        </w:rPr>
        <w:t>In connection with PRSUs that vested during the six month periods ended June 30, 2016 and 2015, the Company satisfied its minimum statutory tax withholding requirements in lieu of delivering 64,169 and 32,086 shares of Class A common stock during such respective six month periods. Accordingly, 352,849 and 664,413 shares of Class A common stock held by the Company were delivered during the six month periods ended June 30, 2016 and 2015.</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2016, the total estimated unrecognized compensation expense was approximately $19,783, and the Company expects to amortize such expense over a weighted-average period of approximately 0.8 years subsequent to June 30, 2016.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six month periods ended June 30, 2016 and 2015:</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51,871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51,871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(68,628)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(37,890)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2016</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88,107</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177,129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89,817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(92,893)</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(3,259)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(44,522)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2015</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115,490</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202,063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June 30, 2016.</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2016 and 2015:</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2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$19,852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$18,260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$40,751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(1,894)</w:t>
            </w:r>
          </w:p>
        </w:tc>
        <w:tc>
          <w:tcPr>
            <w:tcW w:w="1340" w:type="dxa"/>
            <w:vAlign w:val="bottom"/>
            <w:gridSpan w:val="3"/>
          </w:tcPr>
          <w:p>
            <w:pPr>
              <w:jc w:val="right"/>
              <w:ind w:right="392"/>
              <w:spacing w:after="0"/>
              <w:rPr>
                <w:sz w:val="20"/>
                <w:szCs w:val="20"/>
                <w:color w:val="auto"/>
              </w:rPr>
            </w:pPr>
            <w:r>
              <w:rPr>
                <w:rFonts w:ascii="Arial" w:cs="Arial" w:eastAsia="Arial" w:hAnsi="Arial"/>
                <w:sz w:val="18"/>
                <w:szCs w:val="18"/>
                <w:color w:val="auto"/>
              </w:rPr>
              <w:t>(2,202)</w:t>
            </w:r>
          </w:p>
        </w:tc>
        <w:tc>
          <w:tcPr>
            <w:tcW w:w="58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20,164</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38,549</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80" w:type="dxa"/>
            <w:vAlign w:val="bottom"/>
            <w:vMerge w:val="restart"/>
          </w:tcPr>
          <w:p>
            <w:pPr>
              <w:jc w:val="right"/>
              <w:ind w:right="1012"/>
              <w:spacing w:after="0"/>
              <w:rPr>
                <w:sz w:val="20"/>
                <w:szCs w:val="20"/>
                <w:color w:val="auto"/>
              </w:rPr>
            </w:pPr>
            <w:r>
              <w:rPr>
                <w:rFonts w:ascii="Arial" w:cs="Arial" w:eastAsia="Arial" w:hAnsi="Arial"/>
                <w:sz w:val="18"/>
                <w:szCs w:val="18"/>
                <w:color w:val="auto"/>
              </w:rPr>
              <w:t>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Medical Plan</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10"/>
          </w:tcPr>
          <w:p>
            <w:pPr>
              <w:ind w:left="200"/>
              <w:spacing w:after="0" w:line="142" w:lineRule="exact"/>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5,246</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(7,233)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(7,019)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1,012</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(57)</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$ 1,215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Medical Plan</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9"/>
          </w:tcPr>
          <w:p>
            <w:pPr>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12,259</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960" w:type="dxa"/>
            <w:vAlign w:val="bottom"/>
            <w:gridSpan w:val="6"/>
          </w:tcPr>
          <w:p>
            <w:pPr>
              <w:jc w:val="right"/>
              <w:ind w:right="240"/>
              <w:spacing w:after="0"/>
              <w:rPr>
                <w:sz w:val="20"/>
                <w:szCs w:val="20"/>
                <w:color w:val="auto"/>
              </w:rPr>
            </w:pPr>
            <w:r>
              <w:rPr>
                <w:rFonts w:ascii="Arial" w:cs="Arial" w:eastAsia="Arial" w:hAnsi="Arial"/>
                <w:sz w:val="18"/>
                <w:szCs w:val="18"/>
                <w:color w:val="auto"/>
              </w:rPr>
              <w:t>(14,399)</w:t>
            </w:r>
          </w:p>
        </w:tc>
        <w:tc>
          <w:tcPr>
            <w:tcW w:w="1120" w:type="dxa"/>
            <w:vAlign w:val="bottom"/>
            <w:gridSpan w:val="6"/>
          </w:tcPr>
          <w:p>
            <w:pPr>
              <w:jc w:val="right"/>
              <w:ind w:right="220"/>
              <w:spacing w:after="0"/>
              <w:rPr>
                <w:sz w:val="20"/>
                <w:szCs w:val="20"/>
                <w:color w:val="auto"/>
              </w:rPr>
            </w:pPr>
            <w:r>
              <w:rPr>
                <w:rFonts w:ascii="Arial" w:cs="Arial" w:eastAsia="Arial" w:hAnsi="Arial"/>
                <w:sz w:val="18"/>
                <w:szCs w:val="18"/>
                <w:color w:val="auto"/>
              </w:rPr>
              <w:t>(14,090)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2,001</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(124)</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32" w:lineRule="exact"/>
        <w:rPr>
          <w:sz w:val="20"/>
          <w:szCs w:val="20"/>
          <w:color w:val="auto"/>
        </w:rPr>
      </w:pPr>
    </w:p>
    <w:p>
      <w:pPr>
        <w:jc w:val="both"/>
        <w:ind w:right="200" w:firstLine="456"/>
        <w:spacing w:after="0" w:line="294" w:lineRule="auto"/>
        <w:rPr>
          <w:sz w:val="20"/>
          <w:szCs w:val="20"/>
          <w:color w:val="auto"/>
        </w:rPr>
      </w:pPr>
      <w:r>
        <w:rPr>
          <w:rFonts w:ascii="Arial" w:cs="Arial" w:eastAsia="Arial" w:hAnsi="Arial"/>
          <w:sz w:val="16"/>
          <w:szCs w:val="16"/>
          <w:color w:val="auto"/>
        </w:rPr>
        <w:t>The Company recorded income tax provisions of $15,722 and $27,457 for the three month and six month periods ended June 30, 2016, respectively, and $14,464 and $25,922 for the three month and six month periods ended June 30, 2015, respectively, representing effective tax rates of 13.9%, 13.0%, 9.0% and 10.7%,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and (iv) U.S. state and local taxes (primarily UBT), which are incremental to the U.S. federal statutory tax rate.</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2016 and December 31, 2015 included interest-bearing loans of $16,618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$106,567, respectively, including accrued interest thereon. Interest income relating to interest-bearing loans with subsidiaries of Lazard Ltd amounted to $25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$210 for the three month and six month periods ended June 30, 2016, respectively. There was no such interest income for the three month and six month periods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2015.</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2016 and December 31, 2015, Lazard Group’s payables to subsidiaries of Lazard Ltd included interest-bearing loans, including accrued interest thereon, of approximately $61,000 and $102,000, respectively. Interest expense relating to interest-bearing loans with subsidiaries of Lazard Ltd amounted to $862 and $1,729 for the three month and six month periods ended June 30, 2016, respectively, and $1,025 and $2,046 for the three month and six month periods ended June 30, 2015, respectively. In addition, as of June 30, 2016 and December 31, 2015, Lazard Group’s payables to subsidiaries of Lazard Ltd included $227 and $2,840, respectively, in connection with Lazard Group’s prior year business acquisitions.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Funds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$124,794 and $243,704 for the three month and six month periods ended June 30, 2016, respectively, and $140,275 and $275,621 for the three month and six month periods ended June 30, 2015, respectively, and are included in “asset management fees” on the condensed consolidated statements of operations. Of such amounts, $49,762 and $42,002 remained as a receivable at June 30, 2016 and December 31, 2015, respectively, and is included in “fees receivable” on the condensed consolidated statements of financial condition.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 and subsidiaries of Lazard Ltd.</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5"/>
          <w:szCs w:val="15"/>
          <w:color w:val="auto"/>
        </w:rPr>
        <w:t>/</w:t>
      </w:r>
      <w:r>
        <w:rPr>
          <w:rFonts w:ascii="Arial" w:cs="Arial" w:eastAsia="Arial" w:hAnsi="Arial"/>
          <w:sz w:val="19"/>
          <w:szCs w:val="19"/>
          <w:color w:val="auto"/>
          <w:vertAlign w:val="subscript"/>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2016, LFNY’s regulatory net capital was $74,673, which exceeded the minimum requirement by $71,156. LFNY’s aggregate indebtedness to net capital ratio was 0.71:1 as of June 30, 2016.</w:t>
      </w:r>
    </w:p>
    <w:p>
      <w:pPr>
        <w:spacing w:after="0" w:line="1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2016, the aggregate regulatory net capital of the U.K. Subsidiaries was $131,369, which exceeded the minimum requirement by $115,629.</w:t>
      </w:r>
    </w:p>
    <w:p>
      <w:pPr>
        <w:spacing w:after="0" w:line="14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2016, the consolidated regulatory net capital of CFLF was $132,672, which exceeded the minimum requirement set for regulatory capital levels by $88,184.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2016, the regulatory net capital of the combined European regulated group was $175,874, which exceeded the minimum requirement set for regulatory capital levels by $102,363.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2016, for those subsidiaries with regulatory capital requirements, their aggregate net capital was $103,005, which exceeded the minimum required capital by $77,533.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2016,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2016 and 2015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1"/>
              </w:rPr>
              <w:t>June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Revenue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286,965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316,384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552,979</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233,727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253,221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460,805</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63,163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92,174</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40" w:type="dxa"/>
            <w:vAlign w:val="bottom"/>
            <w:gridSpan w:val="3"/>
            <w:vMerge w:val="continue"/>
          </w:tcPr>
          <w:p>
            <w:pPr>
              <w:spacing w:after="0"/>
              <w:rPr>
                <w:sz w:val="24"/>
                <w:szCs w:val="24"/>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Net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254,126</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305,838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499,885</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585,645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182,702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193,791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357,863</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71,424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112,047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142,022</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(14,271)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(21,549)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(14,074)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(22,815)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(90,062)</w:t>
            </w: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840" w:type="dxa"/>
            <w:vAlign w:val="bottom"/>
            <w:gridSpan w:val="3"/>
            <w:vMerge w:val="continue"/>
          </w:tcPr>
          <w:p>
            <w:pPr>
              <w:spacing w:after="0"/>
              <w:rPr>
                <w:sz w:val="24"/>
                <w:szCs w:val="24"/>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Net Revenue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533,711</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607,951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$ 1,031,315</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$ 1,184,804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420,377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446,815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819,934</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40" w:type="dxa"/>
            <w:vAlign w:val="bottom"/>
          </w:tcPr>
          <w:p>
            <w:pPr>
              <w:ind w:left="1040"/>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113,334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161,136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211,381</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241,747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As Of</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512"/>
              <w:spacing w:after="0" w:line="129" w:lineRule="exact"/>
              <w:rPr>
                <w:sz w:val="20"/>
                <w:szCs w:val="20"/>
                <w:color w:val="auto"/>
              </w:rPr>
            </w:pPr>
            <w:r>
              <w:rPr>
                <w:rFonts w:ascii="Arial" w:cs="Arial" w:eastAsia="Arial" w:hAnsi="Arial"/>
                <w:sz w:val="14"/>
                <w:szCs w:val="14"/>
                <w:b w:val="1"/>
                <w:bCs w:val="1"/>
                <w:color w:val="auto"/>
                <w:w w:val="85"/>
              </w:rPr>
              <w:t>June 30,</w:t>
            </w:r>
          </w:p>
        </w:tc>
        <w:tc>
          <w:tcPr>
            <w:tcW w:w="84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Financial Advisory</w:t>
            </w:r>
          </w:p>
        </w:tc>
        <w:tc>
          <w:tcPr>
            <w:tcW w:w="3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732,462</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763,374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3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583,487</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2"/>
          </w:tcPr>
          <w:p>
            <w:pPr>
              <w:ind w:left="420"/>
              <w:spacing w:after="0"/>
              <w:rPr>
                <w:sz w:val="20"/>
                <w:szCs w:val="20"/>
                <w:color w:val="auto"/>
              </w:rPr>
            </w:pPr>
            <w:r>
              <w:rPr>
                <w:rFonts w:ascii="Arial" w:cs="Arial" w:eastAsia="Arial" w:hAnsi="Arial"/>
                <w:sz w:val="18"/>
                <w:szCs w:val="18"/>
                <w:color w:val="auto"/>
              </w:rPr>
              <w:t>Corporate (a)</w:t>
            </w:r>
          </w:p>
        </w:tc>
        <w:tc>
          <w:tcPr>
            <w:tcW w:w="3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1,832,743</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1,985,646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w:t>
            </w:r>
          </w:p>
        </w:tc>
        <w:tc>
          <w:tcPr>
            <w:tcW w:w="3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3,148,692</w:t>
            </w: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$ 3,389,054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of December 31, 2015, reflects the retrospective application of new disclosure guidance adopted by the Company for debt issuance costs. See Note 2.</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“second quarter”, “first half” or “the period” refer to, as the context requires, the three month and six month periods ended June 30, 2016 and June 30, 2015.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in our Form 10-Q for the quarter ended March 31, 2016 and in this Form 10-Q under the caption “Risk Factors,” including the following:</w:t>
      </w:r>
    </w:p>
    <w:p>
      <w:pPr>
        <w:spacing w:after="0" w:line="3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risks and uncertainties are not exhaustive. Other sections of the Form 10-K, our Form 10-Q for the quarter ended March 31, 2016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5620" w:right="3220" w:hanging="5045"/>
        <w:spacing w:after="0" w:line="440" w:lineRule="auto"/>
        <w:tabs>
          <w:tab w:leader="none" w:pos="8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 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ability to deploy surplus cash through distributions to members, purchases of Lazard Ltd Class A common stock and debt repurchases;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82"/>
              </w:rPr>
              <w:t>June 30,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50</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8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Equity market indices for developed markets at June 30, 2016 generally decreased as compared to such indices at June 30, 2015. Emerging markets equity indices at June 30, 2016 decreased as compared to June 30, 2015, but increased in the first half of 2016 compared to December 31, 2015. In the global M&amp;A markets during the first half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half of 2016, global restructuring activity, as measured by the number of corporate defaults, increased as compared to the first half of 2015, primarily due to a higher level of defaults in the commodity sector.</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first half of 2016, volatile market conditions continued. On an ongoing basis, volatile conditions may persist, and regional macroeconomic and geopolitical factors, including the United Kingdom’s vote to leave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00" w:hanging="325"/>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The fundamentals for continued M&amp;A activity appear to remain in place. Demand continues for expert, independent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w:t>
      </w:r>
    </w:p>
    <w:p>
      <w:pPr>
        <w:spacing w:after="0" w:line="61" w:lineRule="exact"/>
        <w:rPr>
          <w:rFonts w:ascii="Arial" w:cs="Arial" w:eastAsia="Arial" w:hAnsi="Arial"/>
          <w:sz w:val="18"/>
          <w:szCs w:val="18"/>
          <w:color w:val="auto"/>
        </w:rPr>
      </w:pPr>
    </w:p>
    <w:p>
      <w:pPr>
        <w:ind w:left="900" w:right="60" w:hanging="325"/>
        <w:spacing w:after="0" w:line="28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In the short to intermediate term, we expect most investor demand will come from defined benefit and defined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and Middle East North African Equities.</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our Form 10-Q for the quarter ended March 31, 2016 and this Form 10-Q.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half of 2016 as compared to 2015. With respect to announced M&amp;A transactions, the value and number of all transactions, including announced transactions with values greater than $500 million, also decreased in the first half of 2016 as compared to 2015.</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w w:val="83"/>
              </w:rPr>
              <w:t>2016</w:t>
            </w:r>
          </w:p>
        </w:tc>
        <w:tc>
          <w:tcPr>
            <w:tcW w:w="420" w:type="dxa"/>
            <w:vAlign w:val="bottom"/>
          </w:tcPr>
          <w:p>
            <w:pPr>
              <w:spacing w:after="0"/>
              <w:rPr>
                <w:sz w:val="14"/>
                <w:szCs w:val="14"/>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Incr / (Decr)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4"/>
                <w:szCs w:val="14"/>
                <w:color w:val="auto"/>
              </w:rPr>
            </w:pPr>
          </w:p>
        </w:tc>
        <w:tc>
          <w:tcPr>
            <w:tcW w:w="9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Incr / (Decr)</w:t>
            </w:r>
          </w:p>
        </w:tc>
      </w:tr>
      <w:tr>
        <w:trPr>
          <w:trHeight w:val="142"/>
        </w:trPr>
        <w:tc>
          <w:tcPr>
            <w:tcW w:w="3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ind w:right="534"/>
              <w:spacing w:after="0" w:line="142" w:lineRule="exact"/>
              <w:rPr>
                <w:sz w:val="20"/>
                <w:szCs w:val="20"/>
                <w:color w:val="auto"/>
              </w:rPr>
            </w:pPr>
            <w:r>
              <w:rPr>
                <w:rFonts w:ascii="Arial" w:cs="Arial" w:eastAsia="Arial" w:hAnsi="Arial"/>
                <w:sz w:val="14"/>
                <w:szCs w:val="14"/>
                <w:b w:val="1"/>
                <w:bCs w:val="1"/>
                <w:color w:val="auto"/>
              </w:rPr>
              <w:t>($ in billions)</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1,077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1,720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1,979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w w:val="84"/>
              </w:rPr>
              <w:t>8,011</w:t>
            </w:r>
          </w:p>
        </w:tc>
        <w:tc>
          <w:tcPr>
            <w:tcW w:w="420" w:type="dxa"/>
            <w:vAlign w:val="bottom"/>
          </w:tcPr>
          <w:p>
            <w:pPr>
              <w:spacing w:after="0"/>
              <w:rPr>
                <w:sz w:val="18"/>
                <w:szCs w:val="18"/>
                <w:color w:val="auto"/>
              </w:rPr>
            </w:pPr>
          </w:p>
        </w:tc>
        <w:tc>
          <w:tcPr>
            <w:tcW w:w="960" w:type="dxa"/>
            <w:vAlign w:val="bottom"/>
          </w:tcPr>
          <w:p>
            <w:pPr>
              <w:jc w:val="right"/>
              <w:ind w:right="376"/>
              <w:spacing w:after="0"/>
              <w:rPr>
                <w:sz w:val="20"/>
                <w:szCs w:val="20"/>
                <w:color w:val="auto"/>
              </w:rPr>
            </w:pPr>
            <w:r>
              <w:rPr>
                <w:rFonts w:ascii="Arial" w:cs="Arial" w:eastAsia="Arial" w:hAnsi="Arial"/>
                <w:sz w:val="18"/>
                <w:szCs w:val="18"/>
                <w:color w:val="auto"/>
                <w:w w:val="87"/>
              </w:rPr>
              <w:t>10,265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w w:val="83"/>
              </w:rPr>
              <w:t>17,341</w:t>
            </w:r>
          </w:p>
        </w:tc>
        <w:tc>
          <w:tcPr>
            <w:tcW w:w="40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8"/>
                <w:szCs w:val="18"/>
                <w:color w:val="auto"/>
                <w:w w:val="87"/>
              </w:rPr>
              <w:t>20,446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663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835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1,338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1,530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312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594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954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1,176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1,715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2,087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4"/>
              </w:rPr>
              <w:t>8,905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87"/>
              </w:rPr>
              <w:t>10,547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3"/>
              </w:rPr>
              <w:t>18,727</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87"/>
              </w:rPr>
              <w:t>20,853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904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1,604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3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8"/>
                <w:szCs w:val="18"/>
                <w:color w:val="auto"/>
              </w:rPr>
              <w:t>324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563</w:t>
            </w:r>
          </w:p>
        </w:tc>
        <w:tc>
          <w:tcPr>
            <w:tcW w:w="400" w:type="dxa"/>
            <w:vAlign w:val="bottom"/>
          </w:tcPr>
          <w:p>
            <w:pPr>
              <w:spacing w:after="0"/>
              <w:rPr>
                <w:sz w:val="19"/>
                <w:szCs w:val="19"/>
                <w:color w:val="auto"/>
              </w:rPr>
            </w:pPr>
          </w:p>
        </w:tc>
        <w:tc>
          <w:tcPr>
            <w:tcW w:w="900" w:type="dxa"/>
            <w:vAlign w:val="bottom"/>
          </w:tcPr>
          <w:p>
            <w:pPr>
              <w:jc w:val="right"/>
              <w:ind w:right="316"/>
              <w:spacing w:after="0"/>
              <w:rPr>
                <w:sz w:val="20"/>
                <w:szCs w:val="20"/>
                <w:color w:val="auto"/>
              </w:rPr>
            </w:pPr>
            <w:r>
              <w:rPr>
                <w:rFonts w:ascii="Arial" w:cs="Arial" w:eastAsia="Arial" w:hAnsi="Arial"/>
                <w:sz w:val="18"/>
                <w:szCs w:val="18"/>
                <w:color w:val="auto"/>
              </w:rPr>
              <w:t>599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July 6, 2016.</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Global restructuring activity during the first half of 2016, as measured by the number of corporate defaults, increased as compared to the first half of 2015. The number of defaulting issuers increased to 88 in the first half of 2016, according to Moody’s Investors Service, Inc., as compared to 38 in the first half of 2015, primarily due to a higher level of defaults in the commodity sector.</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22% in 2016 as compared to 2015. The industry statistics for global M&amp;A transactions described above reflect a 13% and 15% decrease in the value and number, respectively, of all completed transactions in the first half of 2016 as compared to 2015. For M&amp;A deals with values greater than $500 million, the value and number of completed transactions in the first half of 2016 decreased 13% and 17%, respectively, as compared to 2015.</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percentage change in major equity market indices at June 30, 2016, as compared to such indices at March 31, 2016, December 31, 2015, and at June 30, 2015,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June 30, 2016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March 31,</w:t>
            </w:r>
          </w:p>
        </w:tc>
        <w:tc>
          <w:tcPr>
            <w:tcW w:w="520" w:type="dxa"/>
            <w:vAlign w:val="bottom"/>
          </w:tcPr>
          <w:p>
            <w:pPr>
              <w:spacing w:after="0"/>
              <w:rPr>
                <w:sz w:val="11"/>
                <w:szCs w:val="11"/>
                <w:color w:val="auto"/>
              </w:rPr>
            </w:pPr>
          </w:p>
        </w:tc>
        <w:tc>
          <w:tcPr>
            <w:tcW w:w="182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5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2015</w:t>
            </w:r>
          </w:p>
        </w:tc>
        <w:tc>
          <w:tcPr>
            <w:tcW w:w="1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Euro Stoxx</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40" w:type="dxa"/>
            <w:vAlign w:val="bottom"/>
            <w:gridSpan w:val="3"/>
          </w:tcPr>
          <w:p>
            <w:pPr>
              <w:jc w:val="right"/>
              <w:ind w:right="80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3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34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2016 increased 3% versus AUM at December 31, 2015, primarily due to foreign exchange and market appreciation. Average AUM for the first half of 2016 decreased 6% as compared to average AUM in the first half of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Corporate segment net revenue during 2016 is not significant compared to Lazard’s net revenue, total assets in the Corporate segment represented 58% of Lazard’s consolidated total assets as of June 30, 2016, which are attributable to cash and cash equivalents, investments in debt and equity securities, interests in alternative investment, debt, equity and private equity funds, deferred tax assets and certain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w:t>
      </w:r>
    </w:p>
    <w:p>
      <w:pPr>
        <w:ind w:left="240" w:hanging="232"/>
        <w:spacing w:after="0"/>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share-based incentive compensation under the Lazard Ltd 2008 Incentive Compensation Plan (the “2008 Plan”) and the Lazard Ltd 2005 Equity Incentive</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9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2016 related to the 2015 year-end compensation process), including Performance-based restricted stock unit (“PRSU”) awards (based on the target payout level);</w:t>
      </w:r>
    </w:p>
    <w:p>
      <w:pPr>
        <w:spacing w:after="0" w:line="59"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 55.8% and 55.4%, respectively,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expenses also include the “amortization of intangible assets related to acquisitions”. For all periods, the amortization of intangible assets related to acquisitions pertains primarily to the acquisition of Edgewater.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gridSpan w:val="5"/>
          </w:tcPr>
          <w:p>
            <w:pPr>
              <w:jc w:val="right"/>
              <w:ind w:right="91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533,711</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607,951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4"/>
              </w:rPr>
              <w:t>1,031,315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1,184,804</w:t>
            </w:r>
          </w:p>
        </w:tc>
        <w:tc>
          <w:tcPr>
            <w:tcW w:w="0" w:type="dxa"/>
            <w:vAlign w:val="bottom"/>
          </w:tcPr>
          <w:p>
            <w:pPr>
              <w:spacing w:after="0"/>
              <w:rPr>
                <w:sz w:val="1"/>
                <w:szCs w:val="1"/>
                <w:color w:val="auto"/>
              </w:rPr>
            </w:pPr>
          </w:p>
        </w:tc>
      </w:tr>
      <w:tr>
        <w:trPr>
          <w:trHeight w:val="330"/>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308,296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336,707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605,494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111,751</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108,251</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213,466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330</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1,857</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w w:val="86"/>
              </w:rPr>
              <w:t>420,377</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446,815</w:t>
            </w:r>
          </w:p>
        </w:tc>
        <w:tc>
          <w:tcPr>
            <w:tcW w:w="80" w:type="dxa"/>
            <w:vAlign w:val="bottom"/>
          </w:tcPr>
          <w:p>
            <w:pPr>
              <w:spacing w:after="0"/>
              <w:rPr>
                <w:sz w:val="19"/>
                <w:szCs w:val="19"/>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819,934</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943,057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113,334</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161,136</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211,381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15,722</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14,464</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97,612</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146,672</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183,924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1,006</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 LLC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96,606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145,629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179,018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208,089</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21.2%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220" w:type="dxa"/>
            <w:vAlign w:val="bottom"/>
            <w:gridSpan w:val="2"/>
          </w:tcPr>
          <w:p>
            <w:pPr>
              <w:jc w:val="right"/>
              <w:ind w:right="29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$ 533,711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$ 607,951</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$ 1,031,315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$ 1,184,804</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700" w:type="dxa"/>
            <w:vAlign w:val="bottom"/>
          </w:tcPr>
          <w:p>
            <w:pPr>
              <w:jc w:val="right"/>
              <w:spacing w:after="0"/>
              <w:rPr>
                <w:sz w:val="20"/>
                <w:szCs w:val="20"/>
                <w:color w:val="auto"/>
              </w:rPr>
            </w:pPr>
            <w:r>
              <w:rPr>
                <w:rFonts w:ascii="Arial" w:cs="Arial" w:eastAsia="Arial" w:hAnsi="Arial"/>
                <w:sz w:val="18"/>
                <w:szCs w:val="18"/>
                <w:color w:val="auto"/>
              </w:rPr>
              <w:t>12,199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12,452</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24,547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29,533</w:t>
            </w:r>
          </w:p>
        </w:tc>
        <w:tc>
          <w:tcPr>
            <w:tcW w:w="12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(3,398)</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(12,322)</w:t>
            </w: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(12,203)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(12,203)</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(2,242)</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$ 542,200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$ 606,506</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$ 1,048,454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$ 1,187,570</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12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of the business (which primarily represents the realization of carried interest at fair value) is adjusted for the recognition of an obligation of $12,203 with the management of the disposed business, which obligation was previously recognized for U.S. GAAP.</w:t>
      </w:r>
    </w:p>
    <w:p>
      <w:pPr>
        <w:ind w:left="460" w:right="6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gridSpan w:val="5"/>
          </w:tcPr>
          <w:p>
            <w:pPr>
              <w:jc w:val="right"/>
              <w:ind w:right="91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$308,296</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$336,707</w:t>
            </w:r>
          </w:p>
        </w:tc>
        <w:tc>
          <w:tcPr>
            <w:tcW w:w="340" w:type="dxa"/>
            <w:vAlign w:val="bottom"/>
          </w:tcPr>
          <w:p>
            <w:pPr>
              <w:spacing w:after="0"/>
              <w:rPr>
                <w:sz w:val="18"/>
                <w:szCs w:val="18"/>
                <w:color w:val="auto"/>
              </w:rPr>
            </w:pPr>
          </w:p>
        </w:tc>
        <w:tc>
          <w:tcPr>
            <w:tcW w:w="1360" w:type="dxa"/>
            <w:vAlign w:val="bottom"/>
            <w:gridSpan w:val="3"/>
          </w:tcPr>
          <w:p>
            <w:pPr>
              <w:jc w:val="right"/>
              <w:ind w:right="452"/>
              <w:spacing w:after="0"/>
              <w:rPr>
                <w:sz w:val="20"/>
                <w:szCs w:val="20"/>
                <w:color w:val="auto"/>
              </w:rPr>
            </w:pPr>
            <w:r>
              <w:rPr>
                <w:rFonts w:ascii="Arial" w:cs="Arial" w:eastAsia="Arial" w:hAnsi="Arial"/>
                <w:sz w:val="18"/>
                <w:szCs w:val="18"/>
                <w:color w:val="auto"/>
              </w:rPr>
              <w:t>$605,494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$665,197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(1,594)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1360" w:type="dxa"/>
            <w:vAlign w:val="bottom"/>
            <w:gridSpan w:val="3"/>
          </w:tcPr>
          <w:p>
            <w:pPr>
              <w:jc w:val="right"/>
              <w:ind w:right="392"/>
              <w:spacing w:after="0"/>
              <w:rPr>
                <w:sz w:val="20"/>
                <w:szCs w:val="20"/>
                <w:color w:val="auto"/>
              </w:rPr>
            </w:pPr>
            <w:r>
              <w:rPr>
                <w:rFonts w:ascii="Arial" w:cs="Arial" w:eastAsia="Arial" w:hAnsi="Arial"/>
                <w:sz w:val="18"/>
                <w:szCs w:val="18"/>
                <w:color w:val="auto"/>
              </w:rPr>
              <w:t>(3,346)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(b)</w:t>
            </w:r>
          </w:p>
        </w:tc>
        <w:tc>
          <w:tcPr>
            <w:tcW w:w="11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2,202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306,390</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337,417</w:t>
            </w:r>
          </w:p>
        </w:tc>
        <w:tc>
          <w:tcPr>
            <w:tcW w:w="340" w:type="dxa"/>
            <w:vAlign w:val="bottom"/>
          </w:tcPr>
          <w:p>
            <w:pPr>
              <w:spacing w:after="0"/>
              <w:rPr>
                <w:sz w:val="19"/>
                <w:szCs w:val="19"/>
                <w:color w:val="auto"/>
              </w:rPr>
            </w:pPr>
          </w:p>
        </w:tc>
        <w:tc>
          <w:tcPr>
            <w:tcW w:w="1360" w:type="dxa"/>
            <w:vAlign w:val="bottom"/>
            <w:gridSpan w:val="3"/>
          </w:tcPr>
          <w:p>
            <w:pPr>
              <w:jc w:val="right"/>
              <w:ind w:right="4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604,350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660,554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56.5%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3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57.6%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580" w:right="80" w:hanging="572"/>
        <w:spacing w:after="0" w:line="261"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gridSpan w:val="4"/>
          </w:tcPr>
          <w:p>
            <w:pPr>
              <w:jc w:val="right"/>
              <w:ind w:right="89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color w:val="auto"/>
                <w:w w:val="85"/>
              </w:rPr>
              <w:t>$111,751</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$108,251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$213,466</w:t>
            </w:r>
          </w:p>
        </w:tc>
        <w:tc>
          <w:tcPr>
            <w:tcW w:w="5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$274,970</w:t>
            </w: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(637)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(1,035)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(60,219)</w:t>
            </w: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Adjusted non-compensation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$ 111,114</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107,899</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212,431</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214,036</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20.5%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52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60" w:type="dxa"/>
            <w:vAlign w:val="bottom"/>
            <w:gridSpan w:val="9"/>
          </w:tcPr>
          <w:p>
            <w:pPr>
              <w:jc w:val="center"/>
              <w:ind w:right="56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revenue</w:t>
            </w:r>
          </w:p>
        </w:tc>
        <w:tc>
          <w:tcPr>
            <w:tcW w:w="2600" w:type="dxa"/>
            <w:vAlign w:val="bottom"/>
            <w:gridSpan w:val="3"/>
          </w:tcPr>
          <w:p>
            <w:pPr>
              <w:jc w:val="right"/>
              <w:ind w:right="552"/>
              <w:spacing w:after="0"/>
              <w:rPr>
                <w:sz w:val="20"/>
                <w:szCs w:val="20"/>
                <w:color w:val="auto"/>
              </w:rPr>
            </w:pPr>
            <w:r>
              <w:rPr>
                <w:rFonts w:ascii="Arial" w:cs="Arial" w:eastAsia="Arial" w:hAnsi="Arial"/>
                <w:sz w:val="18"/>
                <w:szCs w:val="18"/>
                <w:color w:val="auto"/>
              </w:rPr>
              <w:t>$ 542,200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$ 606,506</w:t>
            </w:r>
          </w:p>
        </w:tc>
        <w:tc>
          <w:tcPr>
            <w:tcW w:w="140" w:type="dxa"/>
            <w:vAlign w:val="bottom"/>
          </w:tcPr>
          <w:p>
            <w:pPr>
              <w:spacing w:after="0"/>
              <w:rPr>
                <w:sz w:val="18"/>
                <w:szCs w:val="18"/>
                <w:color w:val="auto"/>
              </w:rPr>
            </w:pPr>
          </w:p>
        </w:tc>
        <w:tc>
          <w:tcPr>
            <w:tcW w:w="1800" w:type="dxa"/>
            <w:vAlign w:val="bottom"/>
            <w:gridSpan w:val="6"/>
          </w:tcPr>
          <w:p>
            <w:pPr>
              <w:jc w:val="right"/>
              <w:ind w:right="452"/>
              <w:spacing w:after="0"/>
              <w:rPr>
                <w:sz w:val="20"/>
                <w:szCs w:val="20"/>
                <w:color w:val="auto"/>
              </w:rPr>
            </w:pPr>
            <w:r>
              <w:rPr>
                <w:rFonts w:ascii="Arial" w:cs="Arial" w:eastAsia="Arial" w:hAnsi="Arial"/>
                <w:sz w:val="18"/>
                <w:szCs w:val="18"/>
                <w:color w:val="auto"/>
              </w:rPr>
              <w:t>$1,048,454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1,187,570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600" w:type="dxa"/>
            <w:vAlign w:val="bottom"/>
            <w:gridSpan w:val="3"/>
          </w:tcPr>
          <w:p>
            <w:pPr>
              <w:jc w:val="right"/>
              <w:ind w:right="512"/>
              <w:spacing w:after="0"/>
              <w:rPr>
                <w:sz w:val="20"/>
                <w:szCs w:val="20"/>
                <w:color w:val="auto"/>
              </w:rPr>
            </w:pPr>
            <w:r>
              <w:rPr>
                <w:rFonts w:ascii="Arial" w:cs="Arial" w:eastAsia="Arial" w:hAnsi="Arial"/>
                <w:sz w:val="18"/>
                <w:szCs w:val="18"/>
                <w:color w:val="auto"/>
              </w:rPr>
              <w:t>(306,390)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(337,417)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92"/>
              <w:spacing w:after="0"/>
              <w:rPr>
                <w:sz w:val="20"/>
                <w:szCs w:val="20"/>
                <w:color w:val="auto"/>
              </w:rPr>
            </w:pPr>
            <w:r>
              <w:rPr>
                <w:rFonts w:ascii="Arial" w:cs="Arial" w:eastAsia="Arial" w:hAnsi="Arial"/>
                <w:sz w:val="18"/>
                <w:szCs w:val="18"/>
                <w:color w:val="auto"/>
                <w:w w:val="90"/>
              </w:rPr>
              <w:t>(604,350)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(660,554)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98"/>
              </w:rPr>
              <w:t>(111,114)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(107,899)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90"/>
              </w:rPr>
              <w:t>(212,431)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(214,036)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$ 124,696</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$ 161,190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231,673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312,980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6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1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0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1"/>
                <w:szCs w:val="11"/>
                <w:color w:val="auto"/>
              </w:rPr>
            </w:pPr>
          </w:p>
        </w:tc>
        <w:tc>
          <w:tcPr>
            <w:tcW w:w="9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440"/>
              <w:spacing w:after="0"/>
              <w:rPr>
                <w:sz w:val="20"/>
                <w:szCs w:val="20"/>
                <w:color w:val="auto"/>
              </w:rPr>
            </w:pPr>
            <w:r>
              <w:rPr>
                <w:rFonts w:ascii="Arial" w:cs="Arial" w:eastAsia="Arial" w:hAnsi="Arial"/>
                <w:sz w:val="18"/>
                <w:szCs w:val="18"/>
                <w:color w:val="auto"/>
              </w:rPr>
              <w:t>Total Managing Directors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$97 million, as compared to net income of $146 million in the 2015 period. The changes in the Company’s operating results during these periods are described below.</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Net revenue decreased $74 million, or 12%, with operating revenue decreasing $64 million, or 11%, as compared to the 2015 period. Fee revenue from investment banking and other advisory activities decreased $28 million, or 9%, primarily due to decreases in M&amp;A and Other Advisory fees. The decrease in M&amp;A and Other Advisory fee revenue primarily reflected a lower average transaction value with respect to completed transactions as compared to the 2015 period. This decrease was partially offset by an increase in Restructuring revenue, which generally reflected a higher level of activity in the U.S. energy sector in the 2016 period. Asset management fees, including incentive fees, decreased $27 million, or 10%, as compared to the 2015 period, due to a decrease in average AUM, a change in the mix of AUM and a decrease in incentive fees relating to traditional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products. In the aggregate, interest income, other revenue and interest expense decreased $19 million as compared to the 2015 period, primarily due to a $24 million gain in 2015 on the disposal of the Company’s Australian private equity business (which relates primarily to the realization of carried interest at fair value), partially offset by an increase in gains in the 2016 period attributable to investments held in connection with LFI.</w:t>
      </w:r>
    </w:p>
    <w:p>
      <w:pPr>
        <w:spacing w:after="0" w:line="10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Compensation and benefits expense decreased $28 million, or 8%, as compared to the 2015 period, primarily due to a decrease in discretionary compensation associated with decreased operating revenue.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$306 million, a decrease of $31 million, or 9%, as compared to $337 million in the 2015 period. The ratio of adjusted compensation and benefits expense to operating revenue was 56.5% for the 2016 period, as compared to 55.6% for the 2015 period and 55.4% for full-year 2015. Adjusted compensation and benefits expense in the 2016 period generally reflected lower operating revenue in the 2016 period.</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Non-compensation expense increased $4 million, or 3%, as compared to the 2015 period. Adjusted non-compensation expense, which excludes non-compensation costs relating to noncontrolling interests, increased $3 million, or 3%, as compared to the 2015 period. The ratio of adjusted non-compensation expense to operating revenue was 20.5%, as compared to 17.8% in the 2015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2015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income decreased $48 million as compared to the 2015 period.</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Earnings from operations decreased $36 million, or 23%, as compared to the 2015 period, and, as a percentage of operating revenue, was 23.0%, as compared to 26.6% in the 2015 period.</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13.9%, as compared to 9.0% for the 2015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2015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$179 million, as compared to net income of $208 million in the 2015 period. The changes in the Company’s operating results during these periods are described below.</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decreased $153 million, or 13%, with operating revenue decreasing $139 million, or 12%, as compared to the 2015 period. Fee revenue from investment banking and other advisory activities decreased $64 million, or 10%, primarily due to decreases in M&amp;A and Other Advisory fees. The decrease in M&amp;A and Other Advisory fee revenue primarily reflected a lower average transaction value with respect to completed transactions as compared to the 2015 period. This decrease was partially offset by an increase in Restructuring revenue, which generally reflected a higher level of activity in the U.S. energy sector in the 2016 period. Asset management fees, including incentive fees, decreased $56 million, or 10%, as compared to the 2015 period, due to a decrease in average AUM, a change in the mix of AUM and a decrease in incentive fees relating to traditional investment products. In the aggregate, interest income, other revenue and interest expense decreased $34 million as compared to the 2015 period, primarily due to a $24 million gain in the 2015 period on the disposal of the Company’s Australian private equity business (which relates primarily to the realization of carried interest at fair value) and, in the 2016 period, lower gains attributable to investments held in connection with LFI.</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Compensation and benefits expense decreased $60 million, or 9%, as compared to the 2015 period, primarily due to a decrease in discretionary compensation associated with decreased operating revenue.</w:t>
      </w:r>
    </w:p>
    <w:p>
      <w:pPr>
        <w:spacing w:after="0" w:line="13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Adjusted compensation and benefits expense (which excludes certain items and which we believe allows for improved comparability between periods, as described above) was $604 million, a decrease of $56 million, or 9%, as compared to $661 million in the 2015 period. The ratio of adjusted compensation and benefits expense to operating revenue was 57.6% for the 2016 period, as compared to 55.6% for the 2015 period and 55.4% for full-year 2015. Adjusted compensation and benefits expense in the 2016 period generally reflected lower operating revenue in the 2016 period and seasonally high amortization expense.</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Non-compensation expense decreased $62 million, or 22%,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decreased $2 million, or 1%, as compared to the 2015 period. The ratio of adjusted non-compensation expense to operating revenue was 20.3%, as compared to 18.0% in the 2015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$2 million as compared to the 2015 period.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income decreased $30 million as compared to the 2015 period, which included a charge relating to the redemption of a significant portion of the Company’s 2017 Notes.</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Earnings from operations decreased $81 million, or 26%, as compared to the 2015 period, which excluded the charge related to the redemption of a significant portion of the Company’s 2017 Notes and, as a percentage of operating revenue, was 22.1%, as compared to 26.4% in the 2015 period.</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13.0%, as compared to 10.7% for the 2015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$3 million, or 37%, as compared to the 2015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Six Months Ended June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6"/>
              </w:rPr>
              <w:t>203,403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273,150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417,994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17,293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20,170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34,862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214,700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290,443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438,164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25,941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114,815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49,087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286,965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316,384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552,979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233,727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460,805</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496,156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63,163</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121,747</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fee and transaction statistics for the Financial Advisory segment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72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2"/>
                <w:szCs w:val="12"/>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16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c>
          <w:tcPr>
            <w:tcW w:w="2020" w:type="dxa"/>
            <w:vAlign w:val="bottom"/>
            <w:gridSpan w:val="3"/>
          </w:tcPr>
          <w:p>
            <w:pPr>
              <w:ind w:left="102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40%</w:t>
            </w:r>
          </w:p>
        </w:tc>
        <w:tc>
          <w:tcPr>
            <w:tcW w:w="20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20</w:t>
            </w:r>
          </w:p>
        </w:tc>
        <w:tc>
          <w:tcPr>
            <w:tcW w:w="160" w:type="dxa"/>
            <w:vAlign w:val="bottom"/>
          </w:tcPr>
          <w:p>
            <w:pPr>
              <w:spacing w:after="0"/>
              <w:rPr>
                <w:sz w:val="19"/>
                <w:szCs w:val="19"/>
                <w:color w:val="auto"/>
              </w:rPr>
            </w:pPr>
          </w:p>
        </w:tc>
        <w:tc>
          <w:tcPr>
            <w:tcW w:w="2020" w:type="dxa"/>
            <w:vAlign w:val="bottom"/>
            <w:gridSpan w:val="3"/>
          </w:tcPr>
          <w:p>
            <w:pPr>
              <w:ind w:left="1020"/>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6, 2016.</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Advisory net revenue decreased $29 million, or 9%, as compared to the 2015 period. Total Strategic Advisory net revenue, representing fees from our M&amp;A and Other Advisory and Capital Raising businesses, decreased $76 million, or 26%, and Restructuring revenue increased $46 million, or 179%, as compared to the 2015 period.</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M&amp;A and Other Advisory revenue decreased $70 million, or 26%, while Capital Raising revenue decreased $6 million, or 35%, as compared to the 2015 period. The decrease in M&amp;A and Other Advisory revenue primarily reflected a lower average transaction value with respect to completed transactions as compared to the 2015 period. Clients which in the aggregate represented a significant portion of our M&amp;A and Other Advisory revenue in the 2016 period included Airbus, American Fruits &amp; Flavors, Coca-Cola Enterprises, Skyepharma, Whiting Petroleum, WL Ross Holding Corp. and Xchanging.</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Restructuring revenue in the 2016 period primarily reflected a higher level of activity in the U.S. energy sector in the 2016 period. Clients which in the aggregate represented a significant portion of our Restructuring revenue in the 2016 period included Pacific Exploration &amp; Production, Peabody Energy, Seventy Seven Energy and Swift Energy.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Operating expenses decreased $19 million, or 8%, as compared to the 2015 period, primarily due to a decrease in compensation and benefits expense.</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Advisory operating income was $53 million, a decrease of $10 million, or 16%, as compared to operating income of $63 million in the 2015 period and, as a percentage of net revenue, was 18.6%, as compared to 20.0% in the 2015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Financial Advisory net revenue decreased $65 million, or 11%, as compared to the 2015 period. Total Strategic Advisory net revenue, representing fees from our M&amp;A and Other Advisory and Capital Raising businesses, decreased $131 million, or 23%, and Restructuring revenue increased $66 million, or 134%, as compared to the 2015 period.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M&amp;A and Other Advisory revenue decreased $116 million, or 22%, while Capital Raising revenue decreased $15 million, or 42%, as compared to the 2015 period. The decrease in M&amp;A and Other Advisory revenue primarily reflected a lower average transaction value with respect to completed transactions as compared to the 2015 period. Restructuring revenue in the 2016 period primarily reflected a higher level of activity in the U.S. energy sector in the 2016 period.</w:t>
      </w:r>
    </w:p>
    <w:p>
      <w:pPr>
        <w:spacing w:after="0" w:line="107"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Operating expenses decreased $35 million, or 7%, as compared to the 2015 period, primarily due to a decrease in compensation and benefits expense. 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Financial Advisory operating income was $92 million, a decrease of $30 million, or 24%, as compared to operating income of $122 million in the 2015 period and, as a percentage of net revenue, was 16.7%, as compared to 19.7% in the 2015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156,572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151,495</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191,865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186,380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AUM at June 30, 2016 was $192 billion, an increase of $5 billion, or 3%, as compared to total AUM of $186 billion at December 31, 2015, primarily due to foreign exchange and market appreciation. Average AUM for the three month and six month periods ended June 30, 2016 decreased 5% and 6% as compared to the three month and six month periods ended June 30, 2015, respectively.</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June 30, 2016, approximately 12% of our AUM was managed on behalf of individual client relationships, which are principally with family offices and individuals, compared to approximately 11% at December 31, 2015.</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2016, AUM with foreign currency exposure represented approximately 70% of our total AUM, as compared to 72% at December 31, 2015. AUM with foreign currency exposure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5"/>
          </w:tcPr>
          <w:p>
            <w:pPr>
              <w:ind w:left="200"/>
              <w:spacing w:after="0"/>
              <w:rPr>
                <w:sz w:val="20"/>
                <w:szCs w:val="20"/>
                <w:color w:val="auto"/>
              </w:rPr>
            </w:pPr>
            <w:r>
              <w:rPr>
                <w:rFonts w:ascii="Arial" w:cs="Arial" w:eastAsia="Arial" w:hAnsi="Arial"/>
                <w:sz w:val="14"/>
                <w:szCs w:val="14"/>
                <w:b w:val="1"/>
                <w:bCs w:val="1"/>
                <w:color w:val="auto"/>
              </w:rPr>
              <w:t>Three Months Ended June 30, 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rPr>
              <w:t>AUM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2"/>
                <w:szCs w:val="12"/>
                <w:color w:val="auto"/>
              </w:rPr>
            </w:pPr>
          </w:p>
        </w:tc>
        <w:tc>
          <w:tcPr>
            <w:tcW w:w="13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Inflows (a)</w:t>
            </w:r>
          </w:p>
        </w:tc>
        <w:tc>
          <w:tcPr>
            <w:tcW w:w="10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Outflows (a)</w:t>
            </w:r>
          </w:p>
        </w:tc>
        <w:tc>
          <w:tcPr>
            <w:tcW w:w="2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Flows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(Depreciation)</w:t>
            </w:r>
          </w:p>
        </w:tc>
        <w:tc>
          <w:tcPr>
            <w:tcW w:w="13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5"/>
              </w:rPr>
              <w:t>$155,812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8,458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8"/>
              </w:rPr>
              <w:t>(7,735)</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$ 723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30,370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72"/>
              <w:spacing w:after="0"/>
              <w:rPr>
                <w:sz w:val="20"/>
                <w:szCs w:val="20"/>
                <w:color w:val="auto"/>
              </w:rPr>
            </w:pPr>
            <w:r>
              <w:rPr>
                <w:rFonts w:ascii="Arial" w:cs="Arial" w:eastAsia="Arial" w:hAnsi="Arial"/>
                <w:sz w:val="18"/>
                <w:szCs w:val="18"/>
                <w:color w:val="auto"/>
                <w:w w:val="98"/>
              </w:rPr>
              <w:t>(1,085)</w:t>
            </w:r>
          </w:p>
        </w:tc>
        <w:tc>
          <w:tcPr>
            <w:tcW w:w="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(110)</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gridSpan w:val="2"/>
            <w:vMerge w:val="continue"/>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190,554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9,383</w:t>
            </w:r>
          </w:p>
        </w:tc>
        <w:tc>
          <w:tcPr>
            <w:tcW w:w="1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72"/>
              <w:spacing w:after="0"/>
              <w:rPr>
                <w:sz w:val="20"/>
                <w:szCs w:val="20"/>
                <w:color w:val="auto"/>
              </w:rPr>
            </w:pPr>
            <w:r>
              <w:rPr>
                <w:rFonts w:ascii="Arial" w:cs="Arial" w:eastAsia="Arial" w:hAnsi="Arial"/>
                <w:sz w:val="18"/>
                <w:szCs w:val="18"/>
                <w:color w:val="auto"/>
                <w:w w:val="98"/>
              </w:rPr>
              <w:t>(8,930)</w:t>
            </w:r>
          </w:p>
        </w:tc>
        <w:tc>
          <w:tcPr>
            <w:tcW w:w="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$ 453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2,076</w:t>
            </w:r>
          </w:p>
        </w:tc>
        <w:tc>
          <w:tcPr>
            <w:tcW w:w="340" w:type="dxa"/>
            <w:vAlign w:val="bottom"/>
          </w:tcPr>
          <w:p>
            <w:pPr>
              <w:spacing w:after="0"/>
              <w:rPr>
                <w:sz w:val="19"/>
                <w:szCs w:val="19"/>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4"/>
          </w:tcPr>
          <w:p>
            <w:pPr>
              <w:jc w:val="center"/>
              <w:ind w:right="620"/>
              <w:spacing w:after="0"/>
              <w:rPr>
                <w:sz w:val="20"/>
                <w:szCs w:val="20"/>
                <w:color w:val="auto"/>
              </w:rPr>
            </w:pPr>
            <w:r>
              <w:rPr>
                <w:rFonts w:ascii="Arial" w:cs="Arial" w:eastAsia="Arial" w:hAnsi="Arial"/>
                <w:sz w:val="14"/>
                <w:szCs w:val="14"/>
                <w:b w:val="1"/>
                <w:bCs w:val="1"/>
                <w:color w:val="auto"/>
                <w:w w:val="86"/>
              </w:rPr>
              <w:t>Six Months Ended June 30, 2016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3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Inflows (a)</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6"/>
              </w:rPr>
              <w:t>Outflows (a)</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3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$ 16,500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(14,724)</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$ 1,776</w:t>
            </w: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(3,804)</w:t>
            </w:r>
          </w:p>
        </w:tc>
        <w:tc>
          <w:tcPr>
            <w:tcW w:w="1020" w:type="dxa"/>
            <w:vAlign w:val="bottom"/>
            <w:gridSpan w:val="6"/>
          </w:tcPr>
          <w:p>
            <w:pPr>
              <w:jc w:val="right"/>
              <w:ind w:right="260"/>
              <w:spacing w:after="0"/>
              <w:rPr>
                <w:sz w:val="20"/>
                <w:szCs w:val="20"/>
                <w:color w:val="auto"/>
              </w:rPr>
            </w:pPr>
            <w:r>
              <w:rPr>
                <w:rFonts w:ascii="Arial" w:cs="Arial" w:eastAsia="Arial" w:hAnsi="Arial"/>
                <w:sz w:val="18"/>
                <w:szCs w:val="18"/>
                <w:color w:val="auto"/>
              </w:rPr>
              <w:t>(1,707)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$ 19,191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(19,099)</w:t>
            </w:r>
          </w:p>
        </w:tc>
        <w:tc>
          <w:tcPr>
            <w:tcW w:w="440" w:type="dxa"/>
            <w:vAlign w:val="bottom"/>
            <w:gridSpan w:val="3"/>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92</w:t>
            </w:r>
          </w:p>
        </w:tc>
        <w:tc>
          <w:tcPr>
            <w:tcW w:w="320" w:type="dxa"/>
            <w:vAlign w:val="bottom"/>
          </w:tcPr>
          <w:p>
            <w:pPr>
              <w:spacing w:after="0"/>
              <w:rPr>
                <w:sz w:val="19"/>
                <w:szCs w:val="19"/>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2,685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2,708</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191,865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platform.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 June 30, 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AUM</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Beginning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Net</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8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2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Inflows</w:t>
            </w:r>
          </w:p>
        </w:tc>
        <w:tc>
          <w:tcPr>
            <w:tcW w:w="2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Outflows</w:t>
            </w: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Flows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$162,852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$ 7,761</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(6,711)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Fixed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31,722</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2,365</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(1,394)</w:t>
            </w:r>
          </w:p>
        </w:tc>
        <w:tc>
          <w:tcPr>
            <w:tcW w:w="500" w:type="dxa"/>
            <w:vAlign w:val="bottom"/>
          </w:tcPr>
          <w:p>
            <w:pPr>
              <w:jc w:val="right"/>
              <w:spacing w:after="0"/>
              <w:rPr>
                <w:sz w:val="20"/>
                <w:szCs w:val="20"/>
                <w:color w:val="auto"/>
              </w:rPr>
            </w:pPr>
            <w:r>
              <w:rPr>
                <w:rFonts w:ascii="Arial" w:cs="Arial" w:eastAsia="Arial" w:hAnsi="Arial"/>
                <w:sz w:val="18"/>
                <w:szCs w:val="18"/>
                <w:color w:val="auto"/>
              </w:rPr>
              <w:t>971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490</w:t>
            </w: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199,181</w:t>
            </w:r>
          </w:p>
        </w:tc>
        <w:tc>
          <w:tcPr>
            <w:tcW w:w="20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10,366</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(8,818)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1,548</w:t>
            </w:r>
          </w:p>
        </w:tc>
        <w:tc>
          <w:tcPr>
            <w:tcW w:w="4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2,197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Six Months Ended June 30,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Net</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3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Outflows</w:t>
            </w:r>
          </w:p>
        </w:tc>
        <w:tc>
          <w:tcPr>
            <w:tcW w:w="2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Flows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5"/>
              </w:rPr>
              <w:t>($ in millions)</w:t>
            </w: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$160,912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$13,911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(13,641)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31,110</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5,768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(2,625)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(1,587)</w:t>
            </w:r>
          </w:p>
        </w:tc>
        <w:tc>
          <w:tcPr>
            <w:tcW w:w="660" w:type="dxa"/>
            <w:vAlign w:val="bottom"/>
          </w:tcPr>
          <w:p>
            <w:pPr>
              <w:jc w:val="right"/>
              <w:spacing w:after="0"/>
              <w:rPr>
                <w:sz w:val="20"/>
                <w:szCs w:val="20"/>
                <w:color w:val="auto"/>
              </w:rPr>
            </w:pPr>
            <w:r>
              <w:rPr>
                <w:rFonts w:ascii="Arial" w:cs="Arial" w:eastAsia="Arial" w:hAnsi="Arial"/>
                <w:sz w:val="18"/>
                <w:szCs w:val="18"/>
                <w:color w:val="auto"/>
              </w:rPr>
              <w:t>32,513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197,103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(17,413)</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2,589</w:t>
            </w:r>
          </w:p>
        </w:tc>
        <w:tc>
          <w:tcPr>
            <w:tcW w:w="44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9,109</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(5,715)</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203,086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of July 22, 2016, AUM was $196.7 billion, a $4.8 billion increase since June 30, 2016. The increase in AUM was due to market appreciation of $5.8 billion and net inflows of $0.3 billion, partially offset by foreign exchange depreciation of $1.3 billion.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2016 and 2015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18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3"/>
          </w:tcPr>
          <w:p>
            <w:pPr>
              <w:ind w:left="16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Equity</w:t>
            </w:r>
          </w:p>
        </w:tc>
        <w:tc>
          <w:tcPr>
            <w:tcW w:w="3960" w:type="dxa"/>
            <w:vAlign w:val="bottom"/>
            <w:gridSpan w:val="5"/>
          </w:tcPr>
          <w:p>
            <w:pPr>
              <w:jc w:val="right"/>
              <w:spacing w:after="0"/>
              <w:rPr>
                <w:sz w:val="20"/>
                <w:szCs w:val="20"/>
                <w:color w:val="auto"/>
              </w:rPr>
            </w:pPr>
            <w:r>
              <w:rPr>
                <w:rFonts w:ascii="Arial" w:cs="Arial" w:eastAsia="Arial" w:hAnsi="Arial"/>
                <w:sz w:val="18"/>
                <w:szCs w:val="18"/>
                <w:color w:val="auto"/>
              </w:rPr>
              <w:t>$ 157,315</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$ 166,336</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color w:val="auto"/>
              </w:rPr>
              <w:t>$ 153,801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164,039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32,524</w:t>
            </w:r>
          </w:p>
        </w:tc>
        <w:tc>
          <w:tcPr>
            <w:tcW w:w="12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30,311</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3,587</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3,269</w:t>
            </w:r>
          </w:p>
        </w:tc>
        <w:tc>
          <w:tcPr>
            <w:tcW w:w="1240" w:type="dxa"/>
            <w:vAlign w:val="bottom"/>
            <w:gridSpan w:val="4"/>
          </w:tcPr>
          <w:p>
            <w:pPr>
              <w:jc w:val="right"/>
              <w:ind w:right="300"/>
              <w:spacing w:after="0"/>
              <w:rPr>
                <w:sz w:val="20"/>
                <w:szCs w:val="20"/>
                <w:color w:val="auto"/>
              </w:rPr>
            </w:pPr>
            <w:r>
              <w:rPr>
                <w:rFonts w:ascii="Arial" w:cs="Arial" w:eastAsia="Arial" w:hAnsi="Arial"/>
                <w:sz w:val="18"/>
                <w:szCs w:val="18"/>
                <w:color w:val="auto"/>
              </w:rPr>
              <w:t>3,511</w:t>
            </w:r>
          </w:p>
        </w:tc>
        <w:tc>
          <w:tcPr>
            <w:tcW w:w="1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12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Cash Management</w:t>
            </w:r>
          </w:p>
        </w:tc>
        <w:tc>
          <w:tcPr>
            <w:tcW w:w="2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Average AUM</w:t>
            </w:r>
          </w:p>
        </w:tc>
        <w:tc>
          <w:tcPr>
            <w:tcW w:w="3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$ 192,634</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$ 203,168</w:t>
            </w:r>
          </w:p>
        </w:tc>
        <w:tc>
          <w:tcPr>
            <w:tcW w:w="12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$ 188,836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201,040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200" w:type="dxa"/>
            <w:vAlign w:val="bottom"/>
            <w:gridSpan w:val="6"/>
          </w:tcPr>
          <w:p>
            <w:pPr>
              <w:ind w:left="440"/>
              <w:spacing w:after="0"/>
              <w:rPr>
                <w:sz w:val="20"/>
                <w:szCs w:val="20"/>
                <w:color w:val="auto"/>
              </w:rPr>
            </w:pPr>
            <w:r>
              <w:rPr>
                <w:rFonts w:ascii="Arial" w:cs="Arial" w:eastAsia="Arial" w:hAnsi="Arial"/>
                <w:sz w:val="18"/>
                <w:szCs w:val="18"/>
                <w:color w:val="auto"/>
                <w:w w:val="88"/>
              </w:rPr>
              <w:t>The following table summarizes the reported operating results attributable to the Asset Management segment: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60" w:type="dxa"/>
            <w:vAlign w:val="bottom"/>
            <w:gridSpan w:val="8"/>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18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88"/>
              </w:rPr>
              <w:t>Six Months Ended June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360" w:type="dxa"/>
            <w:vAlign w:val="bottom"/>
            <w:gridSpan w:val="3"/>
          </w:tcPr>
          <w:p>
            <w:pPr>
              <w:jc w:val="right"/>
              <w:spacing w:after="0"/>
              <w:rPr>
                <w:sz w:val="20"/>
                <w:szCs w:val="20"/>
                <w:color w:val="auto"/>
              </w:rPr>
            </w:pPr>
            <w:r>
              <w:rPr>
                <w:rFonts w:ascii="Arial" w:cs="Arial" w:eastAsia="Arial" w:hAnsi="Arial"/>
                <w:sz w:val="18"/>
                <w:szCs w:val="18"/>
                <w:color w:val="auto"/>
              </w:rPr>
              <w:t>$238,067</w:t>
            </w:r>
          </w:p>
        </w:tc>
        <w:tc>
          <w:tcPr>
            <w:tcW w:w="1620" w:type="dxa"/>
            <w:vAlign w:val="bottom"/>
            <w:gridSpan w:val="5"/>
          </w:tcPr>
          <w:p>
            <w:pPr>
              <w:jc w:val="right"/>
              <w:ind w:right="372"/>
              <w:spacing w:after="0"/>
              <w:rPr>
                <w:sz w:val="20"/>
                <w:szCs w:val="20"/>
                <w:color w:val="auto"/>
              </w:rPr>
            </w:pPr>
            <w:r>
              <w:rPr>
                <w:rFonts w:ascii="Arial" w:cs="Arial" w:eastAsia="Arial" w:hAnsi="Arial"/>
                <w:sz w:val="18"/>
                <w:szCs w:val="18"/>
                <w:color w:val="auto"/>
              </w:rPr>
              <w:t>$258,401</w:t>
            </w:r>
          </w:p>
        </w:tc>
        <w:tc>
          <w:tcPr>
            <w:tcW w:w="80" w:type="dxa"/>
            <w:vAlign w:val="bottom"/>
          </w:tcPr>
          <w:p>
            <w:pPr>
              <w:spacing w:after="0"/>
              <w:rPr>
                <w:sz w:val="18"/>
                <w:szCs w:val="18"/>
                <w:color w:val="auto"/>
              </w:rPr>
            </w:pPr>
          </w:p>
        </w:tc>
        <w:tc>
          <w:tcPr>
            <w:tcW w:w="940" w:type="dxa"/>
            <w:vAlign w:val="bottom"/>
            <w:gridSpan w:val="3"/>
          </w:tcPr>
          <w:p>
            <w:pPr>
              <w:jc w:val="right"/>
              <w:ind w:right="172"/>
              <w:spacing w:after="0"/>
              <w:rPr>
                <w:sz w:val="20"/>
                <w:szCs w:val="20"/>
                <w:color w:val="auto"/>
              </w:rPr>
            </w:pPr>
            <w:r>
              <w:rPr>
                <w:rFonts w:ascii="Arial" w:cs="Arial" w:eastAsia="Arial" w:hAnsi="Arial"/>
                <w:sz w:val="18"/>
                <w:szCs w:val="18"/>
                <w:color w:val="auto"/>
                <w:w w:val="90"/>
              </w:rPr>
              <w:t>$464,517</w:t>
            </w:r>
          </w:p>
        </w:tc>
        <w:tc>
          <w:tcPr>
            <w:tcW w:w="3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85"/>
              </w:rPr>
              <w:t>$510,488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6,978</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2,990</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40,459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72"/>
              <w:spacing w:after="0"/>
              <w:rPr>
                <w:sz w:val="20"/>
                <w:szCs w:val="20"/>
                <w:color w:val="auto"/>
              </w:rPr>
            </w:pPr>
            <w:r>
              <w:rPr>
                <w:rFonts w:ascii="Arial" w:cs="Arial" w:eastAsia="Arial" w:hAnsi="Arial"/>
                <w:sz w:val="18"/>
                <w:szCs w:val="18"/>
                <w:color w:val="auto"/>
              </w:rPr>
              <w:t>32,378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61,896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305,838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499,885</w:t>
            </w: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585,645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182,702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193,791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72"/>
              <w:spacing w:after="0"/>
              <w:rPr>
                <w:sz w:val="20"/>
                <w:szCs w:val="20"/>
                <w:color w:val="auto"/>
              </w:rPr>
            </w:pPr>
            <w:r>
              <w:rPr>
                <w:rFonts w:ascii="Arial" w:cs="Arial" w:eastAsia="Arial" w:hAnsi="Arial"/>
                <w:sz w:val="18"/>
                <w:szCs w:val="18"/>
                <w:color w:val="auto"/>
              </w:rPr>
              <w:t>357,863</w:t>
            </w:r>
          </w:p>
        </w:tc>
        <w:tc>
          <w:tcPr>
            <w:tcW w:w="3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375,583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71,424</w:t>
            </w:r>
          </w:p>
        </w:tc>
        <w:tc>
          <w:tcPr>
            <w:tcW w:w="1620" w:type="dxa"/>
            <w:vAlign w:val="bottom"/>
            <w:gridSpan w:val="5"/>
            <w:shd w:val="clear" w:color="auto" w:fill="CCEEFF"/>
          </w:tcPr>
          <w:p>
            <w:pPr>
              <w:jc w:val="right"/>
              <w:ind w:right="372"/>
              <w:spacing w:after="0"/>
              <w:rPr>
                <w:sz w:val="20"/>
                <w:szCs w:val="20"/>
                <w:color w:val="auto"/>
              </w:rPr>
            </w:pPr>
            <w:r>
              <w:rPr>
                <w:rFonts w:ascii="Arial" w:cs="Arial" w:eastAsia="Arial" w:hAnsi="Arial"/>
                <w:sz w:val="18"/>
                <w:szCs w:val="18"/>
                <w:color w:val="auto"/>
              </w:rPr>
              <w:t>$ 112,047</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142,022</w:t>
            </w: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vMerge w:val="continue"/>
          </w:tcPr>
          <w:p>
            <w:pPr>
              <w:spacing w:after="0"/>
              <w:rPr>
                <w:sz w:val="18"/>
                <w:szCs w:val="18"/>
                <w:color w:val="auto"/>
              </w:rPr>
            </w:pPr>
          </w:p>
        </w:tc>
        <w:tc>
          <w:tcPr>
            <w:tcW w:w="3860" w:type="dxa"/>
            <w:vAlign w:val="bottom"/>
            <w:gridSpan w:val="4"/>
          </w:tcPr>
          <w:p>
            <w:pPr>
              <w:jc w:val="right"/>
              <w:ind w:right="277"/>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940" w:type="dxa"/>
            <w:vAlign w:val="bottom"/>
            <w:gridSpan w:val="3"/>
          </w:tcPr>
          <w:p>
            <w:pPr>
              <w:jc w:val="right"/>
              <w:ind w:right="12"/>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0" w:type="dxa"/>
            <w:vAlign w:val="bottom"/>
            <w:vMerge w:val="restart"/>
          </w:tcPr>
          <w:p>
            <w:pPr>
              <w:jc w:val="right"/>
              <w:ind w:right="972"/>
              <w:spacing w:after="0"/>
              <w:rPr>
                <w:sz w:val="20"/>
                <w:szCs w:val="20"/>
                <w:color w:val="auto"/>
              </w:rPr>
            </w:pPr>
            <w:r>
              <w:rPr>
                <w:rFonts w:ascii="Arial" w:cs="Arial" w:eastAsia="Arial" w:hAnsi="Arial"/>
                <w:sz w:val="18"/>
                <w:szCs w:val="18"/>
                <w:color w:val="auto"/>
              </w:rPr>
              <w:t>56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w:t>
            </w: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672"/>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26</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Asset Management net revenue decreased $52 million, or 17%, as compared to the 2015 period. Management fees decreased $20 million, or 8%, as compared to the 2015 period, primarily due to a decrease in average AUM and a change in the mix of AUM. Incentive fees decreased $6 million, or 83%, as compared to the 2015 period, primarily due to incentive fees related to traditional investment products. Other revenue decreased $26 million, or 63%, as compared to the 2015 period, principally due to a $24 million gain in 2015 on the disposal of the Company’s Australian private equity business (which relates primarily to the realization of carried interest at fair value).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Operating expenses decreased $11 million, or 6%,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Asset Management operating income was $71 million, a decrease of $41 million, or 36%, as compared to operating income of $112 million in the 2015 period and, as a percentage of net revenue, was 28.1%, as compared to 36.6% in the 2015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Asset Management net revenue decreased $86 million, or 15%, as compared to the 2015 period. Management fees decreased $46 million, or 9%, as compared to the 2015 period, primarily due to a decrease in average AUM and a change in the mix of AUM. Incentive fees decreased $10 million, or 77%, as compared to the 2015 period, primarily due to incentive fees related to traditional investment products. Other revenue decreased $30 million, or 48%, as compared to the 2015 period, principally due to a $24 million gain in 2015 on the disposal of the Company’s Australian private equity business (which relates primarily to the realization of carried interest at fair value).</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Operating expenses decreased $18 million, or 5%,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Asset Management operating income was $142 million, a decrease of $68 million, or 32%, as compared to operating income of $210 million in the 2015 period and, as a percentage of net revenue, was 28.4%, as compared to 35.9% in the 2015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6"/>
          </w:tcPr>
          <w:p>
            <w:pPr>
              <w:jc w:val="right"/>
              <w:ind w:right="580"/>
              <w:spacing w:after="0" w:line="142" w:lineRule="exact"/>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20" w:type="dxa"/>
            <w:vAlign w:val="bottom"/>
            <w:gridSpan w:val="2"/>
          </w:tcPr>
          <w:p>
            <w:pPr>
              <w:jc w:val="right"/>
              <w:ind w:right="432"/>
              <w:spacing w:after="0"/>
              <w:rPr>
                <w:sz w:val="20"/>
                <w:szCs w:val="20"/>
                <w:color w:val="auto"/>
              </w:rPr>
            </w:pPr>
            <w:r>
              <w:rPr>
                <w:rFonts w:ascii="Arial" w:cs="Arial" w:eastAsia="Arial" w:hAnsi="Arial"/>
                <w:sz w:val="18"/>
                <w:szCs w:val="18"/>
                <w:color w:val="auto"/>
                <w:w w:val="89"/>
              </w:rPr>
              <w:t>(12,649)</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(12,512)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(25,320)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(29,637)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(11,957)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(11,849)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(23,621)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(7,380)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(14,271)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(21,549)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71,318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(11,328)</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 (14,074)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(22,815)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(90,062)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in the six months ended June 30, 2015, $60,219 relating to the redemption of a significant portion of the Company’s 2017 Notes.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versus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remained substantially unchanged as compared to the 2015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increased $7 million as compared to the 2015 period, primarily due to gains attributable to investments held in connection with LFI.</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increased $4 million as compared to the 2015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versus June 30, 2015</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Net interest expense decreased $5 million, or 16%, as compared to the 2015 period, primarily due to the redemption of $450 million of the 2017 Notes and the issuance of $400 million aggregate principal amount of 3.75% senior notes due 2025 (the “2025 Notes”) in the 2015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decreased $7 million as compared to the 2015 period, primarily due to lower gains attributable to investments held in connection with LFI.</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Operating expenses decreased $70 million as compared to the 2015 period, including, in the 2015 period, a charge of $60 million related to the redemption of a significant portion of the Company’s 2017 Notes. Excluding the impact of such charge, operating expenses decreased $10 million compared to the 2015 period, primarily due to decreased compensation and benefits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ectPr>
          <w:pgSz w:w="11900" w:h="16838" w:orient="portrait"/>
          <w:cols w:equalWidth="0" w:num="1">
            <w:col w:w="11380"/>
          </w:cols>
          <w:pgMar w:left="240" w:top="459" w:right="27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Adjustments to reconcile net income to net cash provided by operating activities (a)</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operating activities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Financing activities (c)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Beginning of Period</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the following: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0" w:right="4780"/>
        <w:spacing w:after="0" w:line="253" w:lineRule="auto"/>
        <w:rPr>
          <w:rFonts w:ascii="Arial" w:cs="Arial" w:eastAsia="Arial" w:hAnsi="Arial"/>
          <w:sz w:val="18"/>
          <w:szCs w:val="18"/>
          <w:color w:val="auto"/>
        </w:rPr>
      </w:pPr>
      <w:r>
        <w:rPr>
          <w:rFonts w:ascii="Arial" w:cs="Arial" w:eastAsia="Arial" w:hAnsi="Arial"/>
          <w:sz w:val="18"/>
          <w:szCs w:val="18"/>
          <w:color w:val="auto"/>
        </w:rPr>
        <w:t>Depreciation and amortization of property Amortization of deferred expenses and stock units Deferred tax provision (benefit)</w:t>
      </w:r>
    </w:p>
    <w:p>
      <w:pPr>
        <w:ind w:left="440" w:right="4400"/>
        <w:spacing w:after="0" w:line="250" w:lineRule="auto"/>
        <w:rPr>
          <w:rFonts w:ascii="Arial" w:cs="Arial" w:eastAsia="Arial" w:hAnsi="Arial"/>
          <w:sz w:val="18"/>
          <w:szCs w:val="18"/>
          <w:color w:val="auto"/>
        </w:rPr>
      </w:pPr>
      <w:r>
        <w:rPr>
          <w:rFonts w:ascii="Arial" w:cs="Arial" w:eastAsia="Arial" w:hAnsi="Arial"/>
          <w:sz w:val="18"/>
          <w:szCs w:val="18"/>
          <w:color w:val="auto"/>
        </w:rPr>
        <w:t>Amortization of intangible assets related to acquisitions Loss on extinguishment of debt</w:t>
      </w:r>
    </w:p>
    <w:p>
      <w:pPr>
        <w:ind w:left="440" w:right="6080"/>
        <w:spacing w:after="0" w:line="292" w:lineRule="auto"/>
        <w:rPr>
          <w:rFonts w:ascii="Arial" w:cs="Arial" w:eastAsia="Arial" w:hAnsi="Arial"/>
          <w:sz w:val="18"/>
          <w:szCs w:val="18"/>
          <w:color w:val="auto"/>
        </w:rPr>
      </w:pPr>
      <w:r>
        <w:rPr>
          <w:rFonts w:ascii="Arial" w:cs="Arial" w:eastAsia="Arial" w:hAnsi="Arial"/>
          <w:sz w:val="18"/>
          <w:szCs w:val="18"/>
          <w:color w:val="auto"/>
        </w:rPr>
        <w:t>Gain on disposal of subsidiaries Total</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-1188720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166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260"/>
        <w:spacing w:after="0"/>
        <w:tabs>
          <w:tab w:leader="none" w:pos="12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1664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b w:val="1"/>
          <w:bCs w:val="1"/>
          <w:color w:val="auto"/>
        </w:rPr>
        <w:t>($ in millions)</w:t>
      </w: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 w:leader="none" w:pos="1000" w:val="left"/>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183.9</w:t>
        <w:tab/>
        <w:t>$</w:t>
      </w:r>
      <w:r>
        <w:rPr>
          <w:sz w:val="20"/>
          <w:szCs w:val="20"/>
          <w:color w:val="auto"/>
        </w:rPr>
        <w:tab/>
      </w:r>
      <w:r>
        <w:rPr>
          <w:rFonts w:ascii="Arial" w:cs="Arial" w:eastAsia="Arial" w:hAnsi="Arial"/>
          <w:sz w:val="15"/>
          <w:szCs w:val="15"/>
          <w:color w:val="auto"/>
        </w:rPr>
        <w:t>215.8</w:t>
      </w:r>
    </w:p>
    <w:p>
      <w:pPr>
        <w:spacing w:after="0" w:line="15"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color w:val="auto"/>
        </w:rPr>
        <w:t>209.4</w:t>
      </w:r>
      <w:r>
        <w:rPr>
          <w:sz w:val="20"/>
          <w:szCs w:val="20"/>
          <w:color w:val="auto"/>
        </w:rPr>
        <w:tab/>
      </w:r>
      <w:r>
        <w:rPr>
          <w:rFonts w:ascii="Arial" w:cs="Arial" w:eastAsia="Arial" w:hAnsi="Arial"/>
          <w:sz w:val="15"/>
          <w:szCs w:val="15"/>
          <w:color w:val="auto"/>
        </w:rPr>
        <w:t>221.4</w:t>
      </w:r>
    </w:p>
    <w:p>
      <w:pPr>
        <w:spacing w:after="0" w:line="9"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(328.6)</w:t>
      </w:r>
      <w:r>
        <w:rPr>
          <w:sz w:val="20"/>
          <w:szCs w:val="20"/>
          <w:color w:val="auto"/>
        </w:rPr>
        <w:tab/>
      </w:r>
      <w:r>
        <w:rPr>
          <w:rFonts w:ascii="Arial" w:cs="Arial" w:eastAsia="Arial" w:hAnsi="Arial"/>
          <w:sz w:val="16"/>
          <w:szCs w:val="16"/>
          <w:color w:val="auto"/>
        </w:rPr>
        <w:t>(226.4)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166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8"/>
          <w:szCs w:val="18"/>
          <w:color w:val="auto"/>
        </w:rPr>
        <w:t>64.7</w:t>
      </w:r>
      <w:r>
        <w:rPr>
          <w:sz w:val="20"/>
          <w:szCs w:val="20"/>
          <w:color w:val="auto"/>
        </w:rPr>
        <w:tab/>
      </w:r>
      <w:r>
        <w:rPr>
          <w:rFonts w:ascii="Arial" w:cs="Arial" w:eastAsia="Arial" w:hAnsi="Arial"/>
          <w:sz w:val="15"/>
          <w:szCs w:val="15"/>
          <w:color w:val="auto"/>
        </w:rPr>
        <w:t>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1664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(13.1)</w:t>
      </w:r>
    </w:p>
    <w:p>
      <w:pPr>
        <w:spacing w:after="0" w:line="1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(443.5)</w:t>
      </w:r>
      <w:r>
        <w:rPr>
          <w:sz w:val="20"/>
          <w:szCs w:val="20"/>
          <w:color w:val="auto"/>
        </w:rPr>
        <w:tab/>
      </w:r>
      <w:r>
        <w:rPr>
          <w:rFonts w:ascii="Arial" w:cs="Arial" w:eastAsia="Arial" w:hAnsi="Arial"/>
          <w:sz w:val="16"/>
          <w:szCs w:val="16"/>
          <w:color w:val="auto"/>
        </w:rPr>
        <w:t>(402.6)</w:t>
      </w:r>
    </w:p>
    <w:p>
      <w:pPr>
        <w:spacing w:after="0" w:line="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166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(388.2)</w:t>
      </w:r>
      <w:r>
        <w:rPr>
          <w:sz w:val="20"/>
          <w:szCs w:val="20"/>
          <w:color w:val="auto"/>
        </w:rPr>
        <w:tab/>
      </w:r>
      <w:r>
        <w:rPr>
          <w:rFonts w:ascii="Arial" w:cs="Arial" w:eastAsia="Arial" w:hAnsi="Arial"/>
          <w:sz w:val="16"/>
          <w:szCs w:val="16"/>
          <w:color w:val="auto"/>
        </w:rPr>
        <w:t>(227.7)</w:t>
      </w:r>
    </w:p>
    <w:p>
      <w:pPr>
        <w:spacing w:after="0" w:line="225"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8"/>
          <w:szCs w:val="18"/>
          <w:color w:val="auto"/>
        </w:rPr>
        <w:t>1,025.8</w:t>
      </w:r>
      <w:r>
        <w:rPr>
          <w:sz w:val="20"/>
          <w:szCs w:val="20"/>
          <w:color w:val="auto"/>
        </w:rPr>
        <w:tab/>
      </w:r>
      <w:r>
        <w:rPr>
          <w:rFonts w:ascii="Arial" w:cs="Arial" w:eastAsia="Arial" w:hAnsi="Arial"/>
          <w:sz w:val="15"/>
          <w:szCs w:val="15"/>
          <w:color w:val="auto"/>
        </w:rPr>
        <w:t>917.2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1664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6" w:lineRule="exact"/>
        <w:rPr>
          <w:sz w:val="20"/>
          <w:szCs w:val="20"/>
          <w:color w:val="auto"/>
        </w:rPr>
      </w:pPr>
    </w:p>
    <w:p>
      <w:pPr>
        <w:spacing w:after="0"/>
        <w:tabs>
          <w:tab w:leader="none" w:pos="400" w:val="left"/>
          <w:tab w:leader="none" w:pos="1000" w:val="left"/>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637.6</w:t>
        <w:tab/>
        <w:t>$</w:t>
      </w:r>
      <w:r>
        <w:rPr>
          <w:sz w:val="20"/>
          <w:szCs w:val="20"/>
          <w:color w:val="auto"/>
        </w:rPr>
        <w:tab/>
      </w:r>
      <w:r>
        <w:rPr>
          <w:rFonts w:ascii="Arial" w:cs="Arial" w:eastAsia="Arial" w:hAnsi="Arial"/>
          <w:sz w:val="15"/>
          <w:szCs w:val="15"/>
          <w:color w:val="auto"/>
        </w:rPr>
        <w:t>689.5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16649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649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Six Months Ended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168"/>
        </w:trPr>
        <w:tc>
          <w:tcPr>
            <w:tcW w:w="180" w:type="dxa"/>
            <w:vAlign w:val="bottom"/>
          </w:tcPr>
          <w:p>
            <w:pPr>
              <w:spacing w:after="0"/>
              <w:rPr>
                <w:sz w:val="14"/>
                <w:szCs w:val="14"/>
                <w:color w:val="auto"/>
              </w:rPr>
            </w:pPr>
          </w:p>
        </w:tc>
        <w:tc>
          <w:tcPr>
            <w:tcW w:w="1660" w:type="dxa"/>
            <w:vAlign w:val="bottom"/>
            <w:gridSpan w:val="5"/>
          </w:tcPr>
          <w:p>
            <w:pPr>
              <w:jc w:val="right"/>
              <w:ind w:right="435"/>
              <w:spacing w:after="0"/>
              <w:rPr>
                <w:sz w:val="20"/>
                <w:szCs w:val="20"/>
                <w:color w:val="auto"/>
              </w:rPr>
            </w:pPr>
            <w:r>
              <w:rPr>
                <w:rFonts w:ascii="Arial" w:cs="Arial" w:eastAsia="Arial" w:hAnsi="Arial"/>
                <w:sz w:val="14"/>
                <w:szCs w:val="14"/>
                <w:b w:val="1"/>
                <w:bCs w:val="1"/>
                <w:color w:val="auto"/>
              </w:rPr>
              <w:t>($ in millions)</w:t>
            </w:r>
          </w:p>
        </w:tc>
        <w:tc>
          <w:tcPr>
            <w:tcW w:w="60" w:type="dxa"/>
            <w:vAlign w:val="bottom"/>
          </w:tcPr>
          <w:p>
            <w:pPr>
              <w:spacing w:after="0"/>
              <w:rPr>
                <w:sz w:val="14"/>
                <w:szCs w:val="14"/>
                <w:color w:val="auto"/>
              </w:rPr>
            </w:pPr>
          </w:p>
        </w:tc>
      </w:tr>
      <w:tr>
        <w:trPr>
          <w:trHeight w:val="290"/>
        </w:trPr>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24"/>
                <w:szCs w:val="24"/>
                <w:color w:val="auto"/>
              </w:rPr>
            </w:pPr>
          </w:p>
        </w:tc>
        <w:tc>
          <w:tcPr>
            <w:tcW w:w="2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16"/>
        </w:trPr>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170.7</w:t>
            </w:r>
          </w:p>
        </w:tc>
      </w:tr>
      <w:tr>
        <w:trPr>
          <w:trHeight w:val="216"/>
        </w:trPr>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r>
      <w:tr>
        <w:trPr>
          <w:trHeight w:val="223"/>
        </w:trPr>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60" w:type="dxa"/>
            <w:vAlign w:val="bottom"/>
          </w:tcPr>
          <w:p>
            <w:pPr>
              <w:spacing w:after="0"/>
              <w:rPr>
                <w:sz w:val="19"/>
                <w:szCs w:val="19"/>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760" w:space="720"/>
            <w:col w:w="1900"/>
          </w:cols>
          <w:pgMar w:left="240" w:top="459" w:right="27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Consists primarily of purchases of shares of Lazard Ltd Class A common stock, tax withholdings related to the settlement of vested restricted stock units (“RSUs”), vested restricted stock awards and vested PRSUs, distributions to members and noncontrolling interest holders, and activity relating to borrowings, including, in 2015, the redemption of a majority of the Company’s 2017 Notes and issuance of the 2025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such amounts being recorded in “deposits with banks and short-term investments”. In the first half of 2016, as reflected on the condensed consolidated statements of financial condition, “deposits with banks and short-term investments” increased with a corresponding increase in “deposits and other customer payables,” this being due to a higher level of LFB customer-related demand deposits, primarily from clients and funds managed by LFG.</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June 30, 2016, Lazard had approximately $638 million of cash, with such amount including approximately $344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maintain lines of credit in excess of anticipated liquidity requirements. As of June 30, 2016, Lazard had approximately $215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approximately $11 million (at June 30, 2016 exchange rates) and Edgewater of $52 million. The unused lines of credit available to Edgewater are guaranteed by certain Edgewater private equity funds and can be drawn upon only by the applicable general partner, fund, or individual portfolio companies for the benefit of the applicable funds and individual portfolio companies of such funds. In addition, LFB has access to the Eurosystem Covered Bond Purchase Program of the Banque de France.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table below sets forth our corporate indebtedness as of June 30,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Outstanding as of</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Maturity</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85"/>
              </w:rPr>
              <w:t>June 30, 2016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Senior Debt</w:t>
            </w: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1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gridSpan w:val="2"/>
            <w:vMerge w:val="continue"/>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Principal</w:t>
            </w:r>
          </w:p>
        </w:tc>
        <w:tc>
          <w:tcPr>
            <w:tcW w:w="4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Debt Costs</w:t>
            </w:r>
          </w:p>
        </w:tc>
        <w:tc>
          <w:tcPr>
            <w:tcW w:w="220" w:type="dxa"/>
            <w:vAlign w:val="bottom"/>
          </w:tcPr>
          <w:p>
            <w:pPr>
              <w:spacing w:after="0"/>
              <w:rPr>
                <w:sz w:val="14"/>
                <w:szCs w:val="1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w:t>
            </w:r>
          </w:p>
        </w:tc>
        <w:tc>
          <w:tcPr>
            <w:tcW w:w="46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Debt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 in millions)</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2017 Senior Notes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2025 Senior Notes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$ 990.2</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2016, Lazard Group was in compliance with such ratios, with its Consolidated Leverage Ratio being 1.13 to 1.00 and its Consolidated Interest Coverage Ratio being 20.50 to 1.00. In any event, no amounts were outstanding under the Amended and Restated Credit Agreement as of June 30, 2016.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June 30, 2016, total members’ equity was $593 million, as compared to $703 million at December 31, 2015, including $536 million and $650 million attributable to Lazard Group on the respective dates. The net activity in members’ equity during the six month period ended June 30, 2016 is reflected in the table below (in millions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Equity—January 1, 2016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$703</w:t>
            </w:r>
          </w:p>
        </w:tc>
        <w:tc>
          <w:tcPr>
            <w:tcW w:w="120" w:type="dxa"/>
            <w:vAlign w:val="bottom"/>
            <w:shd w:val="clear" w:color="auto" w:fill="CCEEFF"/>
          </w:tcPr>
          <w:p>
            <w:pPr>
              <w:spacing w:after="0"/>
              <w:rPr>
                <w:sz w:val="18"/>
                <w:szCs w:val="18"/>
                <w:color w:val="auto"/>
              </w:rPr>
            </w:pPr>
          </w:p>
        </w:tc>
      </w:tr>
      <w:tr>
        <w:trPr>
          <w:trHeight w:val="283"/>
        </w:trPr>
        <w:tc>
          <w:tcPr>
            <w:tcW w:w="10420" w:type="dxa"/>
            <w:vAlign w:val="bottom"/>
            <w:gridSpan w:val="3"/>
          </w:tcPr>
          <w:p>
            <w:pPr>
              <w:ind w:left="460"/>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9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18"/>
                <w:szCs w:val="18"/>
                <w:color w:val="auto"/>
              </w:rPr>
            </w:pPr>
          </w:p>
        </w:tc>
        <w:tc>
          <w:tcPr>
            <w:tcW w:w="9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rPr>
              <w:t>Purchase of Lazard Ltd Class A common stock</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460" w:type="dxa"/>
            <w:vAlign w:val="bottom"/>
          </w:tcPr>
          <w:p>
            <w:pPr>
              <w:spacing w:after="0"/>
              <w:rPr>
                <w:sz w:val="18"/>
                <w:szCs w:val="18"/>
                <w:color w:val="auto"/>
              </w:rPr>
            </w:pPr>
          </w:p>
        </w:tc>
        <w:tc>
          <w:tcPr>
            <w:tcW w:w="9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(a)</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29"/>
        </w:trPr>
        <w:tc>
          <w:tcPr>
            <w:tcW w:w="460" w:type="dxa"/>
            <w:vAlign w:val="bottom"/>
          </w:tcPr>
          <w:p>
            <w:pPr>
              <w:spacing w:after="0"/>
              <w:rPr>
                <w:sz w:val="19"/>
                <w:szCs w:val="19"/>
                <w:color w:val="auto"/>
              </w:rPr>
            </w:pPr>
          </w:p>
        </w:tc>
        <w:tc>
          <w:tcPr>
            <w:tcW w:w="9960" w:type="dxa"/>
            <w:vAlign w:val="bottom"/>
            <w:gridSpan w:val="2"/>
          </w:tcPr>
          <w:p>
            <w:pPr>
              <w:ind w:left="440"/>
              <w:spacing w:after="0"/>
              <w:rPr>
                <w:sz w:val="20"/>
                <w:szCs w:val="20"/>
                <w:color w:val="auto"/>
              </w:rPr>
            </w:pPr>
            <w:r>
              <w:rPr>
                <w:rFonts w:ascii="Arial" w:cs="Arial" w:eastAsia="Arial" w:hAnsi="Arial"/>
                <w:sz w:val="18"/>
                <w:szCs w:val="18"/>
                <w:color w:val="auto"/>
              </w:rPr>
              <w:t>Distribution to members and noncontrolling interests, net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17"/>
        </w:trPr>
        <w:tc>
          <w:tcPr>
            <w:tcW w:w="460" w:type="dxa"/>
            <w:vAlign w:val="bottom"/>
          </w:tcPr>
          <w:p>
            <w:pPr>
              <w:spacing w:after="0"/>
              <w:rPr>
                <w:sz w:val="18"/>
                <w:szCs w:val="18"/>
                <w:color w:val="auto"/>
              </w:rPr>
            </w:pPr>
          </w:p>
        </w:tc>
        <w:tc>
          <w:tcPr>
            <w:tcW w:w="9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2"/>
        </w:trPr>
        <w:tc>
          <w:tcPr>
            <w:tcW w:w="10420" w:type="dxa"/>
            <w:vAlign w:val="bottom"/>
            <w:gridSpan w:val="3"/>
          </w:tcPr>
          <w:p>
            <w:pPr>
              <w:ind w:left="460"/>
              <w:spacing w:after="0"/>
              <w:rPr>
                <w:sz w:val="20"/>
                <w:szCs w:val="20"/>
                <w:color w:val="auto"/>
              </w:rPr>
            </w:pPr>
            <w:r>
              <w:rPr>
                <w:rFonts w:ascii="Arial" w:cs="Arial" w:eastAsia="Arial" w:hAnsi="Arial"/>
                <w:sz w:val="18"/>
                <w:szCs w:val="18"/>
                <w:color w:val="auto"/>
              </w:rPr>
              <w:t>Members’ Equity—June 30, 2016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$593</w:t>
            </w:r>
          </w:p>
        </w:tc>
        <w:tc>
          <w:tcPr>
            <w:tcW w:w="1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Price Per</w:t>
            </w: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16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Six Months Ended June 30:</w:t>
            </w:r>
          </w:p>
        </w:tc>
        <w:tc>
          <w:tcPr>
            <w:tcW w:w="79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8660" w:type="dxa"/>
            <w:vAlign w:val="bottom"/>
            <w:gridSpan w:val="2"/>
          </w:tcPr>
          <w:p>
            <w:pPr>
              <w:ind w:left="7960"/>
              <w:spacing w:after="0"/>
              <w:rPr>
                <w:sz w:val="20"/>
                <w:szCs w:val="20"/>
                <w:color w:val="auto"/>
              </w:rPr>
            </w:pPr>
            <w:r>
              <w:rPr>
                <w:rFonts w:ascii="Arial" w:cs="Arial" w:eastAsia="Arial" w:hAnsi="Arial"/>
                <w:sz w:val="18"/>
                <w:szCs w:val="18"/>
                <w:color w:val="auto"/>
                <w:w w:val="84"/>
              </w:rPr>
              <w:t>2,306,694</w:t>
            </w:r>
          </w:p>
        </w:tc>
        <w:tc>
          <w:tcPr>
            <w:tcW w:w="96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$ 51.04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660" w:type="dxa"/>
            <w:vAlign w:val="bottom"/>
            <w:gridSpan w:val="2"/>
            <w:shd w:val="clear" w:color="auto" w:fill="CCEEFF"/>
          </w:tcPr>
          <w:p>
            <w:pPr>
              <w:ind w:left="7960"/>
              <w:spacing w:after="0"/>
              <w:rPr>
                <w:sz w:val="20"/>
                <w:szCs w:val="20"/>
                <w:color w:val="auto"/>
              </w:rPr>
            </w:pPr>
            <w:r>
              <w:rPr>
                <w:rFonts w:ascii="Arial" w:cs="Arial" w:eastAsia="Arial" w:hAnsi="Arial"/>
                <w:sz w:val="18"/>
                <w:szCs w:val="18"/>
                <w:color w:val="auto"/>
                <w:w w:val="84"/>
              </w:rPr>
              <w:t>5,646,092</w:t>
            </w:r>
          </w:p>
        </w:tc>
        <w:tc>
          <w:tcPr>
            <w:tcW w:w="9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$ 34.49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2016, a total of $225 million of share repurchase authorization remained available under Lazard Ltd’s share repurchase program, which will expire on December 31, 2017.</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six month period ended June 30, 2016,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$ 1,235,004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$ 141,337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72,500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$ 561,875</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$ 459,292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Operating leases (exclusive of $53,902 of committed sublease income)</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838,961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76,761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136,565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119,683</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8,768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9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9,183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9,183</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$ 2,091,916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$ 235,963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$ 209,139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$ 681,570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$ 965,244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$6,890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$170 million, with such amount partially offset by a valuation allowance of approximately $89 million (as described below).</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not yet attained a sustained level of profitability.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$89 million of deferred tax assets held by these entities as of December 31, 2015.</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June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80,687</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119,451</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 (d)</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59,369</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2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148,084</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267,535</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Add:</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(f)</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(g)</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185,388</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479,007</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530,712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vMerge w:val="restart"/>
          </w:tcPr>
          <w:p>
            <w:pPr>
              <w:jc w:val="right"/>
              <w:ind w:right="1912"/>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June 30, 2016 and December 31, 2015, seed investments in directly owned equity securities were invested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0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196"/>
        </w:trPr>
        <w:tc>
          <w:tcPr>
            <w:tcW w:w="90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902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9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r>
      <w:tr>
        <w:trPr>
          <w:trHeight w:val="216"/>
        </w:trPr>
        <w:tc>
          <w:tcPr>
            <w:tcW w:w="90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r>
      <w:tr>
        <w:trPr>
          <w:trHeight w:val="216"/>
        </w:trPr>
        <w:tc>
          <w:tcPr>
            <w:tcW w:w="9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r>
      <w:tr>
        <w:trPr>
          <w:trHeight w:val="223"/>
        </w:trPr>
        <w:tc>
          <w:tcPr>
            <w:tcW w:w="9020" w:type="dxa"/>
            <w:vAlign w:val="bottom"/>
          </w:tcPr>
          <w:p>
            <w:pPr>
              <w:ind w:left="14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r>
      <w:tr>
        <w:trPr>
          <w:trHeight w:val="216"/>
        </w:trPr>
        <w:tc>
          <w:tcPr>
            <w:tcW w:w="90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$30 million as of June 30, 2016 and December 31, 2015, respectively.</w:t>
      </w:r>
    </w:p>
    <w:p>
      <w:pPr>
        <w:spacing w:after="0" w:line="4" w:lineRule="exact"/>
        <w:rPr>
          <w:rFonts w:ascii="Arial" w:cs="Arial" w:eastAsia="Arial" w:hAnsi="Arial"/>
          <w:sz w:val="16"/>
          <w:szCs w:val="16"/>
          <w:color w:val="auto"/>
        </w:rPr>
      </w:pPr>
    </w:p>
    <w:p>
      <w:pPr>
        <w:ind w:left="460" w:right="160" w:hanging="452"/>
        <w:spacing w:after="0" w:line="25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62"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convertible debt securities of $31 million at June 30, 2016. The market risk associated with such investments is offset by the market risk associated with an equal amount of securities sold, not yet purchased. See Notes 4 and 5 of Notes to Condensed Consolidated Financial Statements for additional information.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At June 30, 2016 and December 31, 2015, total investments with a fair value of $470 million and $467 million, respectively, included $1 million at each such date, or less than 1%, respectively, of investments that were classified as Level 3 investments and $128 million and $123 million, respectively, or 27% and 26%,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June 30, 2016 and December 31, 2015, the Company held seed investments of approximately $119 million and $146 million, respectively. Seed investments held in entities in which the Company maintained a controlling interest were $21 million in eight entities as of June 30, 2016, as compared to $49 million in eleven entities as of December 31, 2015.</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2016 and December 31, 2015, the Company did not consolidate or deconsolidate any seed investment entities. As such, 100% of the recorded balance of seed investments as of June 30, 2016 and December 31, 2015 represented the Company’s economic interest in the seed investments. See “— Consolidation of Variable Interest Entities” below for more information on the Company’s policy regarding the consolidation of seed investment entities.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34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25" w:lineRule="exact"/>
        <w:rPr>
          <w:rFonts w:ascii="Arial" w:cs="Arial" w:eastAsia="Arial" w:hAnsi="Arial"/>
          <w:sz w:val="16"/>
          <w:szCs w:val="16"/>
          <w:color w:val="auto"/>
        </w:rPr>
      </w:pPr>
    </w:p>
    <w:p>
      <w:pPr>
        <w:ind w:left="900" w:hanging="325"/>
        <w:spacing w:after="0" w:line="28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(ii) the obligation to absorb losses of, or receive benefits from, the VIE that could be potentially significant to the VIE.</w:t>
      </w:r>
    </w:p>
    <w:p>
      <w:pPr>
        <w:spacing w:after="0" w:line="16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85"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Equity Market Price Risk—At June 30, 2016 and December 31, 2015, the Company’s exposure to equity market price risk in its investment portfolio, which primarily relates to investments in equity securities, equity funds and hedge funds, was approximately $112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$1.8 million and $1.8 million in the carrying value of such investments as of June 30, 2016 and December 31, 2015,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Risk—At June 30, 2016 and December 31, 2015, the Company’s exposure to interest rate and credit spread risk in its investment portfolio related to investments in debt securities or funds which invest primarily in debt securities was $38 million and $38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$0.1 million in the carrying value of such investments as of both June 30, 2016 and December 31, 2015, including the effect of the hedging transactions.</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Foreign Exchange Rate Risk—At June 30, 2016 and December 31, 2015, the Company’s exposure to foreign exchange rate risk in its investment portfolio, which primarily relates to investments in foreign currency denominated equity and debt securities, was $56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$1.3 million and $1.0 million in the carrying value of such investments as of June 30, 2016 and December 31, 2015, respectively, including the effect of the hedging transactions.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June 30, 2016 and December 31, 2015, the Company’s exposure to changes in fair value of such investments was approximately $88 million and $84 million, respectively. The Company estimates that a hypothetical 10% adverse change in fair value would result in a decrease of approximately $8.8 million and $8.4 million in the carrying value of such investments as of June 30, 2016 and December 31, 2015,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2016, total receivables amounted to $519 million, net of an allowance for doubtful accounts of $14 million. As of that date, Financial Advisory and Asset Management fees, receivables from Lazard Ltd subsidiaries, and customers and other receivables comprised 78%, 4% and 18% of total receivables, respectively. At December 31, 2015, total receivables amounted to $606 million, net of an allowance for doubtful accounts of $13 million. As of that date, Financial Advisory and Asset Management fees, receivables from Lazard Ltd subsidiaries, and customers and other receivables comprised 70%, 18% and 12% of total receivables, respectively. At both June 30, 2016 and December 31, 2015, the Company had receivables past due or deemed uncollectible of approximately $20 million.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2016 and December 31, 2015, customer receivables included $44 million and $38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at both June 30, 2016 and December 31, 2015 and derivative liabilities, excluding the derivative liability arising from the Company’s obligation pertaining to LFI and other similar deferred compensation arrangements, amounted to $9 million and $2 million at such respective dates.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$177 million and $194 million at June 30, 2016 and December 31,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significant portion of the Company’s indebtedness has fixed interest rates, while its cash and cash equivalents generally have market interest rates. Based on account balances as of June 30, 2016, Lazard estimates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that its annual operating income relating to cash and cash equivalents would increase by approximately $6 million in the event interest rates were to increase by 1% and decrease by approximately $6 million if rates were to decrease by 1%.</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June 30, 2016, the Company’s cash and cash equivalents totaled approximately $638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for the updated risk factors set forth below, there were no material changes from the risk factors previously disclosed in the Company’s Annual Report on Form 10-K for the year ended December 31, 2015 (our “Form 10-K”) and the Company’s Quarterly Report on Form 10-Q for the quarter ended March 31,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Uncertainty regarding the outcome of future arrangements between the European Union and the United Kingdom may adversely affect our business.</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significant presence in many European Union countries, including the United Kingdom. On June 23, 2016, the U.K. voted in favor of a referendum to leave the European Union. At the time that the U.K. ultimately leaves the European Union, the commercial, regulatory and legal environment that would exist, and to which the Company’s U.K. operations would be subject, would be impacted by the nature of arrangements that are yet to be determined between the U.K and the European Union. These arrangements are hard to predict, and uncertainty regarding their outcome may continue for a significant period of time. The Company currently does not believe that any of the potential arrangements that are likely to be agreed would have a material adverse impact on the Company’s business. These potential arrangements may, however, result in certain changes in the way that we conduct our businesses, which could result in increased costs. In addition, the result of the referendum and the uncertainty it produced has impacted geopolitical perspectives and macroeconomic factors including interest rates, foreign currency exchange rates and equity markets, and it has increased volatility in many of the markets in which we operate. If these conditions continue or if current conditions worsen, our businesses may be adversely affected, which may materially impact our financial position and results of operations. See “Item 1A. Risk Factors—Difficult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in our Form 10-K.</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4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4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40" w:type="dxa"/>
            <w:vAlign w:val="bottom"/>
          </w:tcPr>
          <w:p>
            <w:pPr>
              <w:ind w:left="520"/>
              <w:spacing w:after="0"/>
              <w:rPr>
                <w:sz w:val="20"/>
                <w:szCs w:val="20"/>
                <w:color w:val="auto"/>
              </w:rPr>
            </w:pPr>
            <w:r>
              <w:rPr>
                <w:rFonts w:ascii="Arial" w:cs="Arial" w:eastAsia="Arial" w:hAnsi="Arial"/>
                <w:sz w:val="18"/>
                <w:szCs w:val="18"/>
                <w:color w:val="auto"/>
                <w:w w:val="91"/>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126751) on Form S-4 filed on July 21, 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40" w:type="dxa"/>
            <w:vAlign w:val="bottom"/>
          </w:tcPr>
          <w:p>
            <w:pPr>
              <w:ind w:left="520"/>
              <w:spacing w:after="0"/>
              <w:rPr>
                <w:sz w:val="20"/>
                <w:szCs w:val="20"/>
                <w:color w:val="auto"/>
              </w:rPr>
            </w:pPr>
            <w:r>
              <w:rPr>
                <w:rFonts w:ascii="Arial" w:cs="Arial" w:eastAsia="Arial" w:hAnsi="Arial"/>
                <w:sz w:val="18"/>
                <w:szCs w:val="18"/>
                <w:color w:val="auto"/>
                <w:w w:val="89"/>
              </w:rPr>
              <w:t>Amended and Restated Operating Agreement of Lazard Group LLC, dated as of October 26, 2015 (incorporated by reference to Exhibit 3.3 to</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the Registrant’s Quarterly Report (File No. 333-126751) on Form l0-Q filed on October 28, 2015).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40" w:type="dxa"/>
            <w:vAlign w:val="bottom"/>
          </w:tcPr>
          <w:p>
            <w:pPr>
              <w:ind w:left="520"/>
              <w:spacing w:after="0"/>
              <w:rPr>
                <w:sz w:val="20"/>
                <w:szCs w:val="20"/>
                <w:color w:val="auto"/>
              </w:rPr>
            </w:pPr>
            <w:r>
              <w:rPr>
                <w:rFonts w:ascii="Arial" w:cs="Arial" w:eastAsia="Arial" w:hAnsi="Arial"/>
                <w:sz w:val="18"/>
                <w:szCs w:val="18"/>
                <w:color w:val="auto"/>
                <w:w w:val="91"/>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333-126751) filed on November 14, 2013).</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40" w:type="dxa"/>
            <w:vAlign w:val="bottom"/>
          </w:tcPr>
          <w:p>
            <w:pPr>
              <w:ind w:left="520"/>
              <w:spacing w:after="0"/>
              <w:rPr>
                <w:sz w:val="20"/>
                <w:szCs w:val="20"/>
                <w:color w:val="auto"/>
              </w:rPr>
            </w:pPr>
            <w:r>
              <w:rPr>
                <w:rFonts w:ascii="Arial" w:cs="Arial" w:eastAsia="Arial" w:hAnsi="Arial"/>
                <w:sz w:val="18"/>
                <w:szCs w:val="18"/>
                <w:color w:val="auto"/>
                <w:w w:val="93"/>
              </w:rPr>
              <w:t>Sixth Supplemental Indenture, dated as of February 13, 2015,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91"/>
              </w:rPr>
              <w:t>(incorporated by reference to Exhibit 4.1 of the Registrant’s Current Report on Form 8-K (File No. 333-126751) filed on February 13, 2015).</w:t>
            </w:r>
          </w:p>
        </w:tc>
      </w:tr>
      <w:tr>
        <w:trPr>
          <w:trHeight w:val="33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40" w:type="dxa"/>
            <w:vAlign w:val="bottom"/>
          </w:tcPr>
          <w:p>
            <w:pPr>
              <w:ind w:left="520"/>
              <w:spacing w:after="0"/>
              <w:rPr>
                <w:sz w:val="20"/>
                <w:szCs w:val="20"/>
                <w:color w:val="auto"/>
              </w:rPr>
            </w:pPr>
            <w:r>
              <w:rPr>
                <w:rFonts w:ascii="Arial" w:cs="Arial" w:eastAsia="Arial" w:hAnsi="Arial"/>
                <w:sz w:val="18"/>
                <w:szCs w:val="18"/>
                <w:color w:val="auto"/>
              </w:rPr>
              <w:t>Form of Senior Note (included in Exhibits 4.2, 4.3 and 4.4).</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40" w:type="dxa"/>
            <w:vAlign w:val="bottom"/>
          </w:tcPr>
          <w:p>
            <w:pPr>
              <w:ind w:left="5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40" w:type="dxa"/>
            <w:vAlign w:val="bottom"/>
          </w:tcPr>
          <w:p>
            <w:pPr>
              <w:ind w:left="52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780" w:type="dxa"/>
            <w:vAlign w:val="bottom"/>
          </w:tcPr>
          <w:p>
            <w:pPr>
              <w:spacing w:after="0"/>
              <w:rPr>
                <w:sz w:val="18"/>
                <w:szCs w:val="18"/>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780" w:type="dxa"/>
            <w:vAlign w:val="bottom"/>
          </w:tcPr>
          <w:p>
            <w:pPr>
              <w:spacing w:after="0"/>
              <w:rPr>
                <w:sz w:val="18"/>
                <w:szCs w:val="18"/>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40" w:type="dxa"/>
            <w:vAlign w:val="bottom"/>
          </w:tcPr>
          <w:p>
            <w:pPr>
              <w:ind w:left="52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780" w:type="dxa"/>
            <w:vAlign w:val="bottom"/>
          </w:tcPr>
          <w:p>
            <w:pPr>
              <w:spacing w:after="0"/>
              <w:rPr>
                <w:sz w:val="18"/>
                <w:szCs w:val="18"/>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10.4*</w:t>
            </w: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121407) on Form S-1/A filed on May 2, 2005).</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10.5*</w:t>
            </w:r>
          </w:p>
        </w:tc>
        <w:tc>
          <w:tcPr>
            <w:tcW w:w="10640" w:type="dxa"/>
            <w:vAlign w:val="bottom"/>
          </w:tcPr>
          <w:p>
            <w:pPr>
              <w:ind w:left="52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Schedule 14A (File No. 001-32492) filed on March 24,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10.6*</w:t>
            </w:r>
          </w:p>
        </w:tc>
        <w:tc>
          <w:tcPr>
            <w:tcW w:w="10640" w:type="dxa"/>
            <w:vAlign w:val="bottom"/>
          </w:tcPr>
          <w:p>
            <w:pPr>
              <w:ind w:left="520"/>
              <w:spacing w:after="0"/>
              <w:rPr>
                <w:sz w:val="20"/>
                <w:szCs w:val="20"/>
                <w:color w:val="auto"/>
              </w:rPr>
            </w:pPr>
            <w:r>
              <w:rPr>
                <w:rFonts w:ascii="Arial" w:cs="Arial" w:eastAsia="Arial" w:hAnsi="Arial"/>
                <w:sz w:val="18"/>
                <w:szCs w:val="18"/>
                <w:color w:val="auto"/>
                <w:w w:val="90"/>
              </w:rPr>
              <w:t>Lazard Ltd’s 2016 French Sub-plan (incorporated by reference to Annex B to Lazard Ltd’s Definitive Proxy Statement on Schedule 14A (File</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No. 001-32492) filed on March 10, 2016).</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10.7*</w:t>
            </w:r>
          </w:p>
        </w:tc>
        <w:tc>
          <w:tcPr>
            <w:tcW w:w="10640" w:type="dxa"/>
            <w:vAlign w:val="bottom"/>
          </w:tcPr>
          <w:p>
            <w:pPr>
              <w:ind w:left="52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March 9, 2016, by and among</w:t>
            </w:r>
          </w:p>
        </w:tc>
      </w:tr>
      <w:tr>
        <w:trPr>
          <w:trHeight w:val="216"/>
        </w:trPr>
        <w:tc>
          <w:tcPr>
            <w:tcW w:w="780" w:type="dxa"/>
            <w:vAlign w:val="bottom"/>
          </w:tcPr>
          <w:p>
            <w:pPr>
              <w:spacing w:after="0"/>
              <w:rPr>
                <w:sz w:val="18"/>
                <w:szCs w:val="18"/>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w w:val="92"/>
              </w:rPr>
              <w:t>the Registrant, Lazard Ltd and Kenneth M. Jacobs (incorporated by reference to Exhibit 10.7 to the Registrant’s Quarterly Report (File No.</w:t>
            </w:r>
          </w:p>
        </w:tc>
      </w:tr>
      <w:tr>
        <w:trPr>
          <w:trHeight w:val="222"/>
        </w:trPr>
        <w:tc>
          <w:tcPr>
            <w:tcW w:w="780" w:type="dxa"/>
            <w:vAlign w:val="bottom"/>
          </w:tcPr>
          <w:p>
            <w:pPr>
              <w:spacing w:after="0"/>
              <w:rPr>
                <w:sz w:val="19"/>
                <w:szCs w:val="19"/>
                <w:color w:val="auto"/>
              </w:rPr>
            </w:pPr>
          </w:p>
        </w:tc>
        <w:tc>
          <w:tcPr>
            <w:tcW w:w="10640" w:type="dxa"/>
            <w:vAlign w:val="bottom"/>
          </w:tcPr>
          <w:p>
            <w:pPr>
              <w:ind w:left="520"/>
              <w:spacing w:after="0"/>
              <w:rPr>
                <w:sz w:val="20"/>
                <w:szCs w:val="20"/>
                <w:color w:val="auto"/>
              </w:rPr>
            </w:pPr>
            <w:r>
              <w:rPr>
                <w:rFonts w:ascii="Arial" w:cs="Arial" w:eastAsia="Arial" w:hAnsi="Arial"/>
                <w:sz w:val="18"/>
                <w:szCs w:val="18"/>
                <w:color w:val="auto"/>
              </w:rPr>
              <w:t>333-126751) on Form 10-Q filed on April 27, 2016).</w:t>
            </w:r>
          </w:p>
        </w:tc>
      </w:tr>
      <w:tr>
        <w:trPr>
          <w:trHeight w:val="378"/>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the Registrant, Lazard Ltd and Ashish Bhutani (incorporated by reference to Exhibit 10.8 to the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April 27, 2016).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0"/>
              </w:rPr>
              <w:t>the Registrant, Lazard Ltd and Matthieu Bucaille (incorporated by reference to Exhibit 10.9 to the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April 27, 2016).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the Registrant, Lazard Ltd and Scott D. Hoffman (incorporated by reference to Exhibit 10.10 to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April 27, 2016).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March 9, 2016, by and among</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the Registrant. Lazard Ltd and Alexander F. Stern (incorporated by reference to Exhibit 10.11 to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April 27, 2016).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0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0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5"/>
              </w:rPr>
              <w:t>(incorporated by reference to Exhibit 10.41 to Lazard 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Form of Agreement evidencing a grant of Deferred Cash Award to Executive Officers (incorporated by reference to Exhibit 10.42 to Lazard</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Ltd’s Annual Report (File No. 001-32492) on Form 10-K filed on March 2, 2009).</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Directors Fee Deferral Unit Plan (incorporated by reference to Exhibit 10.39 to Lazard Ltd’s Quarterly Report (File No. 001-32492) on Form</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10-Q filed on May 11, 2006).</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00"/>
              <w:spacing w:after="0"/>
              <w:rPr>
                <w:sz w:val="20"/>
                <w:szCs w:val="20"/>
                <w:color w:val="auto"/>
              </w:rPr>
            </w:pPr>
            <w:r>
              <w:rPr>
                <w:rFonts w:ascii="Arial" w:cs="Arial" w:eastAsia="Arial" w:hAnsi="Arial"/>
                <w:sz w:val="18"/>
                <w:szCs w:val="18"/>
                <w:color w:val="auto"/>
                <w:w w:val="88"/>
              </w:rPr>
              <w:t>Amended and Restated Credit Agreement, dated as of September 25, 2015, among the Registrant, the Banks from time to time parties thereto,</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2"/>
              </w:rPr>
              <w:t>and Citibank, N.A., as Administrative Agent (incorporated by reference to Exhibit 10.25 to the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October 28, 2015).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400"/>
              <w:spacing w:after="0"/>
              <w:rPr>
                <w:sz w:val="20"/>
                <w:szCs w:val="20"/>
                <w:color w:val="auto"/>
              </w:rPr>
            </w:pPr>
            <w:r>
              <w:rPr>
                <w:rFonts w:ascii="Arial" w:cs="Arial" w:eastAsia="Arial" w:hAnsi="Arial"/>
                <w:sz w:val="18"/>
                <w:szCs w:val="18"/>
                <w:color w:val="auto"/>
                <w:w w:val="88"/>
              </w:rPr>
              <w:t>Form of Agreement evidencing a grant of Lazard Fund Interests to Named Executive Officers (incorporated by reference to Exhibit 10.54 to the</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Registrant’s Quarterly Report (File No. 333-126751) on Form 10-Q filed on May 1, 2013).</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(incorporated by reference to Exhibit 10.54 to the Registrant’s Quarterly Report (File No. 333-126751) on Form 10-Q filed on May 6, 2014).</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400"/>
              <w:spacing w:after="0"/>
              <w:rPr>
                <w:sz w:val="20"/>
                <w:szCs w:val="20"/>
                <w:color w:val="auto"/>
              </w:rPr>
            </w:pPr>
            <w:r>
              <w:rPr>
                <w:rFonts w:ascii="Arial" w:cs="Arial" w:eastAsia="Arial" w:hAnsi="Arial"/>
                <w:sz w:val="18"/>
                <w:szCs w:val="18"/>
                <w:color w:val="auto"/>
                <w:w w:val="89"/>
              </w:rPr>
              <w:t>Agreement between Lazard Ltd and Kenneth M. Jacobs, dated as of February 20, 2014, evidencing a grant of Performance-Based Stock Units</w:t>
            </w:r>
          </w:p>
        </w:tc>
      </w:tr>
      <w:tr>
        <w:trPr>
          <w:trHeight w:val="216"/>
        </w:trPr>
        <w:tc>
          <w:tcPr>
            <w:tcW w:w="88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1"/>
              </w:rPr>
              <w:t>under the 2008 Incentive Compensation Plan (incorporated by reference to Exhibit 10.55 to the Registrant’s Quarterly Report (File No. 333-</w:t>
            </w:r>
          </w:p>
        </w:tc>
      </w:tr>
      <w:tr>
        <w:trPr>
          <w:trHeight w:val="222"/>
        </w:trPr>
        <w:tc>
          <w:tcPr>
            <w:tcW w:w="880" w:type="dxa"/>
            <w:vAlign w:val="bottom"/>
          </w:tcPr>
          <w:p>
            <w:pPr>
              <w:spacing w:after="0"/>
              <w:rPr>
                <w:sz w:val="19"/>
                <w:szCs w:val="19"/>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126751) on Form 10-Q filed on May 6, 2014).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520" w:type="dxa"/>
            <w:vAlign w:val="bottom"/>
          </w:tcPr>
          <w:p>
            <w:pPr>
              <w:ind w:left="40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40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40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40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400"/>
              <w:spacing w:after="0"/>
              <w:rPr>
                <w:sz w:val="20"/>
                <w:szCs w:val="20"/>
                <w:color w:val="auto"/>
              </w:rPr>
            </w:pPr>
            <w:r>
              <w:rPr>
                <w:rFonts w:ascii="Arial" w:cs="Arial" w:eastAsia="Arial" w:hAnsi="Arial"/>
                <w:sz w:val="18"/>
                <w:szCs w:val="18"/>
                <w:color w:val="auto"/>
              </w:rPr>
              <w:t>Section 1350 Certification for Matthieu Bucaille.</w:t>
            </w:r>
          </w:p>
        </w:tc>
      </w:tr>
      <w:tr>
        <w:trPr>
          <w:trHeight w:val="378"/>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8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86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860" w:type="dxa"/>
            <w:vAlign w:val="bottom"/>
          </w:tcPr>
          <w:p>
            <w:pPr>
              <w:ind w:left="300"/>
              <w:spacing w:after="0"/>
              <w:rPr>
                <w:sz w:val="20"/>
                <w:szCs w:val="20"/>
                <w:color w:val="auto"/>
              </w:rPr>
            </w:pPr>
            <w:r>
              <w:rPr>
                <w:rFonts w:ascii="Arial" w:cs="Arial" w:eastAsia="Arial" w:hAnsi="Arial"/>
                <w:sz w:val="18"/>
                <w:szCs w:val="18"/>
                <w:color w:val="auto"/>
                <w:w w:val="90"/>
              </w:rPr>
              <w:t>XBRL Taxonomy Extension Calculation Linkbase</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860" w:type="dxa"/>
            <w:vAlign w:val="bottom"/>
          </w:tcPr>
          <w:p>
            <w:pPr>
              <w:ind w:left="300"/>
              <w:spacing w:after="0"/>
              <w:rPr>
                <w:sz w:val="20"/>
                <w:szCs w:val="20"/>
                <w:color w:val="auto"/>
              </w:rPr>
            </w:pPr>
            <w:r>
              <w:rPr>
                <w:rFonts w:ascii="Arial" w:cs="Arial" w:eastAsia="Arial" w:hAnsi="Arial"/>
                <w:sz w:val="18"/>
                <w:szCs w:val="18"/>
                <w:color w:val="auto"/>
                <w:w w:val="93"/>
              </w:rPr>
              <w:t>XBRL Taxonomy Extension Definition Linkbase</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8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860" w:type="dxa"/>
            <w:vAlign w:val="bottom"/>
          </w:tcPr>
          <w:p>
            <w:pPr>
              <w:ind w:left="30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gridSpan w:val="6"/>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2016</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530,845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540,975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219,009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121,593</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78,826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91,691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111,317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116,255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114,998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609,671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632,666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330,326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237,848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356,789</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87,039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23,941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111,317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116,255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114,998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2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7.73(d)</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2.97(e)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2.05(f)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2015 is presented after giving effect to a charge of (i) $60,219 associated with the redemption of $450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62"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2"/>
    </w:lvl>
  </w:abstractNum>
  <w:abstractNum w:abstractNumId="8">
    <w:nsid w:val="440BADFC"/>
    <w:multiLevelType w:val="hybridMultilevel"/>
    <w:lvl w:ilvl="0">
      <w:lvlJc w:val="left"/>
      <w:lvlText w:val="%1."/>
      <w:numFmt w:val="decimal"/>
      <w:start w:val="3"/>
    </w:lvl>
  </w:abstractNum>
  <w:abstractNum w:abstractNumId="9">
    <w:nsid w:val="5072367"/>
    <w:multiLevelType w:val="hybridMultilevel"/>
    <w:lvl w:ilvl="0">
      <w:lvlJc w:val="left"/>
      <w:lvlText w:val="%1."/>
      <w:numFmt w:val="decimal"/>
      <w:start w:val="4"/>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decimal"/>
      <w:start w:val="5"/>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6"/>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decimal"/>
      <w:start w:val="7"/>
    </w:lvl>
  </w:abstractNum>
  <w:abstractNum w:abstractNumId="19">
    <w:nsid w:val="153EA438"/>
    <w:multiLevelType w:val="hybridMultilevel"/>
    <w:lvl w:ilvl="0">
      <w:lvlJc w:val="left"/>
      <w:lvlText w:val="%1."/>
      <w:numFmt w:val="decimal"/>
      <w:start w:val="8"/>
    </w:lvl>
  </w:abstractNum>
  <w:abstractNum w:abstractNumId="20">
    <w:nsid w:val="3855585C"/>
    <w:multiLevelType w:val="hybridMultilevel"/>
    <w:lvl w:ilvl="0">
      <w:lvlJc w:val="left"/>
      <w:lvlText w:val="%1"/>
      <w:numFmt w:val="decimal"/>
      <w:start w:val="1"/>
    </w:lvl>
    <w:lvl w:ilvl="1">
      <w:lvlJc w:val="left"/>
      <w:lvlText w:val="(%2)"/>
      <w:numFmt w:val="lowerLetter"/>
      <w:start w:val="1"/>
    </w:lvl>
  </w:abstractNum>
  <w:abstractNum w:abstractNumId="21">
    <w:nsid w:val="70A64E2A"/>
    <w:multiLevelType w:val="hybridMultilevel"/>
    <w:lvl w:ilvl="0">
      <w:lvlJc w:val="left"/>
      <w:lvlText w:val="%1."/>
      <w:numFmt w:val="decimal"/>
      <w:start w:val="9"/>
    </w:lvl>
    <w:lvl w:ilvl="1">
      <w:lvlJc w:val="left"/>
      <w:lvlText w:val="%2"/>
      <w:numFmt w:val="lowerLetter"/>
      <w:start w:val="1"/>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2"/>
    </w:lvl>
  </w:abstractNum>
  <w:abstractNum w:abstractNumId="24">
    <w:nsid w:val="1D4ED43B"/>
    <w:multiLevelType w:val="hybridMultilevel"/>
    <w:lvl w:ilvl="0">
      <w:lvlJc w:val="left"/>
      <w:lvlText w:val="%1."/>
      <w:numFmt w:val="decimal"/>
      <w:start w:val="10"/>
    </w:lvl>
  </w:abstractNum>
  <w:abstractNum w:abstractNumId="25">
    <w:nsid w:val="725A06FB"/>
    <w:multiLevelType w:val="hybridMultilevel"/>
    <w:lvl w:ilvl="0">
      <w:lvlJc w:val="left"/>
      <w:lvlText w:val="%1."/>
      <w:numFmt w:val="decimal"/>
      <w:start w:val="1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2"/>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decimal"/>
      <w:start w:val="13"/>
    </w:lvl>
  </w:abstractNum>
  <w:abstractNum w:abstractNumId="30">
    <w:nsid w:val="542289EC"/>
    <w:multiLevelType w:val="hybridMultilevel"/>
    <w:lvl w:ilvl="0">
      <w:lvlJc w:val="left"/>
      <w:lvlText w:val="%1."/>
      <w:numFmt w:val="decimal"/>
      <w:start w:val="14"/>
    </w:lvl>
  </w:abstractNum>
  <w:abstractNum w:abstractNumId="31">
    <w:nsid w:val="6DE91B18"/>
    <w:multiLevelType w:val="hybridMultilevel"/>
    <w:lvl w:ilvl="0">
      <w:lvlJc w:val="left"/>
      <w:lvlText w:val="%1."/>
      <w:numFmt w:val="decimal"/>
      <w:start w:val="15"/>
    </w:lvl>
  </w:abstractNum>
  <w:abstractNum w:abstractNumId="32">
    <w:nsid w:val="38437FDB"/>
    <w:multiLevelType w:val="hybridMultilevel"/>
    <w:lvl w:ilvl="0">
      <w:lvlJc w:val="left"/>
      <w:lvlText w:val="%1."/>
      <w:numFmt w:val="decimal"/>
      <w:start w:val="16"/>
    </w:lvl>
  </w:abstractNum>
  <w:abstractNum w:abstractNumId="33">
    <w:nsid w:val="7644A45C"/>
    <w:multiLevelType w:val="hybridMultilevel"/>
    <w:lvl w:ilvl="0">
      <w:lvlJc w:val="left"/>
      <w:lvlText w:val="%1."/>
      <w:numFmt w:val="decimal"/>
      <w:start w:val="17"/>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
      <w:numFmt w:val="bullet"/>
      <w:start w:val="1"/>
    </w:lvl>
    <w:lvl w:ilvl="1">
      <w:lvlJc w:val="left"/>
      <w:lvlText w:val="(%2)"/>
      <w:numFmt w:val="lowerRoman"/>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4"/>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3"/>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2"/>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lowerLetter"/>
      <w:start w:val="1"/>
    </w:lvl>
    <w:lvl w:ilvl="1">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2019-12-29T10:02:53Z</dcterms:created>
  <dcterms:modified xsi:type="dcterms:W3CDTF">2019-12-29T10:02:53Z</dcterms:modified>
</cp:coreProperties>
</file>