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As of July 25, 2011, in addition to profit participation interests, there were 127,331,529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operating assets other than indirect ownership as of June 30, 2011 of approximately 94.6% of the common membership interests in Lazard Group and its controlling interest in Lazard Group. Lazard Ltd controls Lazard Group through two of its indirect wholly-owned subsidiaries who are co-managing members of Lazard Group.</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0" w:type="dxa"/>
            <w:vAlign w:val="bottom"/>
            <w:gridSpan w:val="6"/>
          </w:tcPr>
          <w:p>
            <w:pPr>
              <w:jc w:val="center"/>
              <w:ind w:right="166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380" w:type="dxa"/>
            <w:vAlign w:val="bottom"/>
            <w:gridSpan w:val="8"/>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5900" w:type="dxa"/>
            <w:vAlign w:val="bottom"/>
            <w:gridSpan w:val="5"/>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2011 and</w:t>
              </w:r>
            </w:hyperlink>
          </w:p>
        </w:tc>
        <w:tc>
          <w:tcPr>
            <w:tcW w:w="4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5900" w:type="dxa"/>
            <w:vAlign w:val="bottom"/>
            <w:tcBorders>
              <w:bottom w:val="single" w:sz="8" w:color="0000EE"/>
            </w:tcBorders>
            <w:gridSpan w:val="5"/>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December 31, 2010</w:t>
              </w:r>
            </w:hyperlink>
          </w:p>
        </w:tc>
        <w:tc>
          <w:tcPr>
            <w:tcW w:w="90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and six month periods ended June 30, 2011 and 2010</w:t>
              </w:r>
            </w:hyperlink>
          </w:p>
        </w:tc>
        <w:tc>
          <w:tcPr>
            <w:tcW w:w="18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9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 for the six month periods ended June 30, 2011</w:t>
              </w:r>
            </w:hyperlink>
          </w:p>
        </w:tc>
        <w:tc>
          <w:tcPr>
            <w:tcW w:w="36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Members’ Equity for the six month periods ended June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4940" w:type="dxa"/>
            <w:vAlign w:val="bottom"/>
            <w:tcBorders>
              <w:top w:val="single" w:sz="8" w:color="0000EE"/>
            </w:tcBorders>
            <w:gridSpan w:val="4"/>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4"/>
          </w:tcPr>
          <w:p>
            <w:pPr>
              <w:jc w:val="right"/>
              <w:ind w:right="58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spacing w:after="0"/>
              <w:rPr>
                <w:sz w:val="20"/>
                <w:szCs w:val="20"/>
                <w:color w:val="auto"/>
              </w:rPr>
            </w:pPr>
            <w:r>
              <w:rPr>
                <w:rFonts w:ascii="Arial" w:cs="Arial" w:eastAsia="Arial" w:hAnsi="Arial"/>
                <w:sz w:val="18"/>
                <w:szCs w:val="18"/>
                <w:color w:val="auto"/>
              </w:rPr>
              <w:t>$822,941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$1,024,792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jc w:val="right"/>
              <w:spacing w:after="0"/>
              <w:rPr>
                <w:sz w:val="20"/>
                <w:szCs w:val="20"/>
                <w:color w:val="auto"/>
              </w:rPr>
            </w:pPr>
            <w:r>
              <w:rPr>
                <w:rFonts w:ascii="Arial" w:cs="Arial" w:eastAsia="Arial" w:hAnsi="Arial"/>
                <w:sz w:val="18"/>
                <w:szCs w:val="18"/>
                <w:color w:val="auto"/>
              </w:rPr>
              <w:t>100,162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800" w:type="dxa"/>
            <w:vAlign w:val="bottom"/>
          </w:tcPr>
          <w:p>
            <w:pPr>
              <w:jc w:val="right"/>
              <w:spacing w:after="0"/>
              <w:rPr>
                <w:sz w:val="20"/>
                <w:szCs w:val="20"/>
                <w:color w:val="auto"/>
              </w:rPr>
            </w:pPr>
            <w:r>
              <w:rPr>
                <w:rFonts w:ascii="Arial" w:cs="Arial" w:eastAsia="Arial" w:hAnsi="Arial"/>
                <w:sz w:val="18"/>
                <w:szCs w:val="18"/>
                <w:color w:val="auto"/>
              </w:rPr>
              <w:t>418,126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168,684</w:t>
            </w:r>
          </w:p>
        </w:tc>
        <w:tc>
          <w:tcPr>
            <w:tcW w:w="4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404,325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388,138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(net of accumulated amortization and depreciation of $272,369 and $250,898 at June 30, 2011 and December 31,</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200" w:type="dxa"/>
            <w:vAlign w:val="bottom"/>
            <w:gridSpan w:val="2"/>
          </w:tcPr>
          <w:p>
            <w:pPr>
              <w:spacing w:after="0"/>
              <w:rPr>
                <w:sz w:val="20"/>
                <w:szCs w:val="20"/>
                <w:color w:val="auto"/>
              </w:rPr>
            </w:pPr>
            <w:r>
              <w:rPr>
                <w:rFonts w:ascii="Arial" w:cs="Arial" w:eastAsia="Arial" w:hAnsi="Arial"/>
                <w:sz w:val="18"/>
                <w:szCs w:val="18"/>
                <w:color w:val="auto"/>
                <w:w w:val="99"/>
              </w:rPr>
              <w:t>Goodwill and other intangible assets (net of accumulated amortization of $18,187 and $15,007 at June 30, 2011 and</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December 31, 2010,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365,441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217,884</w:t>
            </w:r>
          </w:p>
        </w:tc>
        <w:tc>
          <w:tcPr>
            <w:tcW w:w="4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3,000,026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$ 3,336,284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273,465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183,660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483,634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2,437,632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2,845,837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Members’ equity (net of 4,339,875 and 6,847,508 shares of Lazard Ltd Class A common stock, at cost of $159,763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$227,950 at June 30, 2011 and December 31, 2010, respectively)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444,441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562,394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3,000,026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243,096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245,282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$463,423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230,906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180,899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445,598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11,484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43,973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502,041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444,006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964,578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25,198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48,653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477,712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418,808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915,925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286,475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263,018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556,471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21,312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45,677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20,879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20,582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16,996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40,149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10,996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26,757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387,260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351,118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751,577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90,452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67,690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164,348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13,040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24,106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54,650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140,242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2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6,792</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71,185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54,169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$133,450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$ 11,723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140,242</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w w:val="97"/>
              </w:rPr>
              <w:t>Amortization of deferred expenses, share-based incentive compensation and interest rate hedge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164,151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132,672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75,337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(110,310)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(372,333)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38,699</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Distributions relating to equity method investments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(5,477)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060"/>
              <w:spacing w:after="0"/>
              <w:rPr>
                <w:sz w:val="20"/>
                <w:szCs w:val="20"/>
                <w:color w:val="auto"/>
              </w:rPr>
            </w:pPr>
            <w:r>
              <w:rPr>
                <w:rFonts w:ascii="Arial" w:cs="Arial" w:eastAsia="Arial" w:hAnsi="Arial"/>
                <w:sz w:val="18"/>
                <w:szCs w:val="18"/>
                <w:color w:val="auto"/>
              </w:rPr>
              <w:t>LAZ-MD Holdings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(126,237)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Distributions to members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(35,029)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(90,635)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(254,482)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(102,986)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(201,851)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1,024,792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899,733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822,941</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792,965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 of Tax</w:t>
            </w: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Equity</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$404,588</w:t>
            </w:r>
          </w:p>
        </w:tc>
        <w:tc>
          <w:tcPr>
            <w:tcW w:w="4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140,242</w:t>
            </w: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net of tax:</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32,173</w:t>
            </w: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527</w:t>
            </w: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(3,630)</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(3,630)</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(3,630)</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163,623</w:t>
            </w:r>
          </w:p>
        </w:tc>
        <w:tc>
          <w:tcPr>
            <w:tcW w:w="4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4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152,533</w:t>
            </w: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(35,029)</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(35,029)</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(4,882)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(39,911)</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(126,237)</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(126,237)</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(126,237)</w:t>
            </w: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w w:val="99"/>
              </w:rPr>
              <w:t>with share-based incentive compensation and related tax</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benefit of $2,178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(88,457)</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(88,457)</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(88,457)</w:t>
            </w: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Repurchase of common membership interests from LAZ-MD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Lazard Ltd Class A common stock issued / issuable in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connection with business acquisitions and LAM Merger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and 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4,420</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4,420</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23"/>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Balance – June 30, 2011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444,441</w:t>
            </w:r>
          </w:p>
        </w:tc>
        <w:tc>
          <w:tcPr>
            <w:tcW w:w="4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(4,850)</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$439,591</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$122,803</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$562,394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127,350,561 and 127,331,529 common membership interests at January 1, 2011 and June 30, 2011,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 of Tax</w:t>
            </w: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2010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$214,163</w:t>
            </w:r>
          </w:p>
        </w:tc>
        <w:tc>
          <w:tcPr>
            <w:tcW w:w="4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$127,560</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14,562</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(58,320)</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(58,320)</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(58,330)</w:t>
            </w: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660"/>
              <w:spacing w:after="0"/>
              <w:rPr>
                <w:sz w:val="20"/>
                <w:szCs w:val="20"/>
                <w:color w:val="auto"/>
              </w:rPr>
            </w:pPr>
            <w:r>
              <w:rPr>
                <w:rFonts w:ascii="Arial" w:cs="Arial" w:eastAsia="Arial" w:hAnsi="Arial"/>
                <w:sz w:val="18"/>
                <w:szCs w:val="18"/>
                <w:color w:val="auto"/>
              </w:rPr>
              <w:t>Net unrealized loss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(848)</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(848)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r>
      <w:tr>
        <w:trPr>
          <w:trHeight w:val="216"/>
        </w:trPr>
        <w:tc>
          <w:tcPr>
            <w:tcW w:w="4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w:t>
            </w: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loss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(2,871)</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(2,871)</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(2,871)</w:t>
            </w:r>
          </w:p>
        </w:tc>
      </w:tr>
      <w:tr>
        <w:trPr>
          <w:trHeight w:val="223"/>
        </w:trPr>
        <w:tc>
          <w:tcPr>
            <w:tcW w:w="474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(46,899)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2,829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(44,070)</w:t>
            </w: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201,383</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201,383</w:t>
            </w: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201,383</w:t>
            </w:r>
          </w:p>
        </w:tc>
        <w:tc>
          <w:tcPr>
            <w:tcW w:w="100" w:type="dxa"/>
            <w:vAlign w:val="bottom"/>
          </w:tcPr>
          <w:p>
            <w:pPr>
              <w:spacing w:after="0"/>
              <w:rPr>
                <w:sz w:val="19"/>
                <w:szCs w:val="19"/>
                <w:color w:val="auto"/>
              </w:rPr>
            </w:pPr>
          </w:p>
        </w:tc>
      </w:tr>
      <w:tr>
        <w:trPr>
          <w:trHeight w:val="21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(30,125)</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(30,125)</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(30,452)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(22,733)</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(22,733)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(22,733)</w:t>
            </w:r>
          </w:p>
        </w:tc>
      </w:tr>
      <w:tr>
        <w:trPr>
          <w:trHeight w:val="20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with share-based incentive compensation</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(43,812)</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(43,812)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(43,812)</w:t>
            </w:r>
          </w:p>
        </w:tc>
      </w:tr>
      <w:tr>
        <w:trPr>
          <w:trHeight w:val="208"/>
        </w:trPr>
        <w:tc>
          <w:tcPr>
            <w:tcW w:w="4740" w:type="dxa"/>
            <w:vAlign w:val="bottom"/>
            <w:gridSpan w:val="2"/>
          </w:tcPr>
          <w:p>
            <w:pPr>
              <w:spacing w:after="0"/>
              <w:rPr>
                <w:sz w:val="20"/>
                <w:szCs w:val="20"/>
                <w:color w:val="auto"/>
              </w:rPr>
            </w:pPr>
            <w:r>
              <w:rPr>
                <w:rFonts w:ascii="Arial" w:cs="Arial" w:eastAsia="Arial" w:hAnsi="Arial"/>
                <w:sz w:val="18"/>
                <w:szCs w:val="18"/>
                <w:color w:val="auto"/>
              </w:rPr>
              <w:t>Lazard Ltd Class A common stock issued / issuable in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connection with business acquisitions and LAM Merger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and 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r>
      <w:tr>
        <w:trPr>
          <w:trHeight w:val="21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 – June 30, 2010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333,683</w:t>
            </w:r>
          </w:p>
        </w:tc>
        <w:tc>
          <w:tcPr>
            <w:tcW w:w="4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$(117,414)</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$216,269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$130,062</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$346,331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123,686,338 and 126,686,338 common membership interests at January 1, 2010 and June 30,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ORGANIZATION AND BASIS OF PRESENTATION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94.6% and 94.0% of all outstanding Lazard Group common membership interests as of June 30, 2011 and December 31, 2010, respectively. Lazard Ltd, through its control of the managing members of Lazard Group, controls Lazard Group.</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5.4% and 6.0% of the outstanding Lazard Group common membership interests as of June 30, 2011 and December 31, 2010, respectively. Additionally, LAZ-MD Holdings was the sole owner of the one issued and outstanding share of Lazard Ltd’s Class B common stock (the “Class B common stock”) which provided LAZ-MD Holdings with approximately 5.4% and 6.0% of the voting power but no economic rights in the Company as of such respective dates. Subject to certain limitations, LAZ-MD Holdings’ interests in Lazard Group are exchangeable for Lazard Ltd Class A common stock, par value $0.01 per share (“Class A common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2011 are not necessarily indicative of the results to be expected for any future interim or annual period.</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During May 2011, the FASB amended its fair value measurement guidance, which it states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w:t>
      </w:r>
    </w:p>
    <w:p>
      <w:pPr>
        <w:spacing w:after="0" w:line="1"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quantitative disclosure of the unobservable inputs and assumptions used in the measurement, (ii) the valuation processes used and the sensitivity of fair value</w:t>
      </w:r>
    </w:p>
    <w:p>
      <w:pPr>
        <w:spacing w:after="0" w:line="185"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June 2011, the FASB amended its guidance regarding the presentation of comprehensive income, which it states 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w:t>
      </w:r>
    </w:p>
    <w:p>
      <w:pPr>
        <w:spacing w:after="0" w:line="1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Receivables are stated net of an allowance for doubtful accounts of $16,525 and $15,017 at June 30, 2011 and December 31, 2010, respectively, for accounts deemed past due and for specific accounts deemed uncollectible, which may include situations where a fee is in dispute. The Company recorded bad debt expense of $2,463 and $3,430 for the three month and six month periods ended June 30, 2011, respectively, and $2,322 and $9,190 for the three month and six month periods ended June 30, 2010, respectively. In addition, the Company recorded charge-offs, foreign currency translation and other adjustments, resulting in a net decrease to the allowance for doubtful accounts of $1,435 and $1,922 for the three month and six month periods ended June 30, 2011, respectively, and $937 and $1,894 for the three month and six month periods ended June 30, 2010, respectively. At June 30, 2011 and December 31, 2010, the Company had receivables deemed past due or uncollectible of $18,023 and $17,101, respectively.</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Customers and other receivables at June 30, 2011 and December 31, 2010 include $1,534 and $2,121, respectively, of loans to managing directors and employees of the Company that are made in the ordinary course of business at market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investments and securities sold, not yet purchased, consist of the following at June 30, 2011 and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6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31,889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26,868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68,346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Equities (a)</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20" w:type="dxa"/>
            <w:vAlign w:val="bottom"/>
            <w:gridSpan w:val="3"/>
            <w:vMerge w:val="continue"/>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110,634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Interests in LAM alternative asset management funds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39,360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174,704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11,281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225,345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Total investments</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20" w:type="dxa"/>
            <w:vAlign w:val="bottom"/>
            <w:gridSpan w:val="3"/>
            <w:vMerge w:val="continue"/>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404,325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388,138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7,660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11,281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Investments, at fair value</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3"/>
            <w:vMerge w:val="continue"/>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385,384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369,093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June 30, 2011 fixed income funds and equities include investments with fair values of $2,051 and $23,051, respectively, held in connection with previously granted Lazard Fund Interest awards (“Lazard Fund Interests”), which will serve to satisfy the Company’s liability upon vesting. Lazard Fund Interests represent grants by the Company to eligible employees of actual or notional interests in several Lazard managed fixed income and equity investment funds (see Note 13 of Notes to Condensed Consolidated Financial Statements).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debt securities included in the table above are categorized as trading securities. Fixed income funds primarily consist of amounts seeding products of our Asset Management segment, as well as amounts held in connection with Lazard Fund Interests. Corporate and other debt primarily consist of United Kingdom (the “U.K.”) government and U.S. state and municipal debt securities.</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 as well as amounts held in connection with Lazard Fund Interests.</w:t>
      </w:r>
    </w:p>
    <w:p>
      <w:pPr>
        <w:spacing w:after="0" w:line="9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the latter of which aggregated $5,735 and $8,219 at June 30, 2011 and December 31, 2010, respectively. Such noncontrolling interests in LAM alternative asset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consolidated statements of financial condition (see Note 12 of Notes to Condensed Consolidated Financial Statements).</w:t>
      </w:r>
    </w:p>
    <w:p>
      <w:pPr>
        <w:spacing w:after="0" w:line="9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Private equity investments consolidated but not owned by Lazard relate solely to Lazard’s establishment of a private equity business with the Edgewater Funds (“Edgewater”), a Chicago-based private equity firm, through the acquisition of Edgewater’s management vehicles on July 15, 2009, and aggregated $74,505 and $67,206 at June 30, 2011 and December 31, 2010, respectively. The economic interests that the Company does not own are owned by the leadership team and other investors in the Edgewater management vehicles (see Note 8 of Notes to Condensed Consolidated Financial Statements).</w:t>
      </w:r>
    </w:p>
    <w:p>
      <w:pPr>
        <w:spacing w:after="0" w:line="10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and six month periods ended June 30,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 Period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3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87"/>
              </w:rPr>
              <w:t>Ended June 30,</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left="54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3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$ 8,013</w:t>
            </w:r>
          </w:p>
        </w:tc>
        <w:tc>
          <w:tcPr>
            <w:tcW w:w="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$3,724</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13,769</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740" w:type="dxa"/>
            <w:vAlign w:val="bottom"/>
            <w:gridSpan w:val="3"/>
          </w:tcPr>
          <w:p>
            <w:pPr>
              <w:jc w:val="center"/>
              <w:ind w:left="2392"/>
              <w:spacing w:after="0"/>
              <w:rPr>
                <w:sz w:val="20"/>
                <w:szCs w:val="20"/>
                <w:color w:val="auto"/>
              </w:rPr>
            </w:pPr>
            <w:r>
              <w:rPr>
                <w:rFonts w:ascii="Arial" w:cs="Arial" w:eastAsia="Arial" w:hAnsi="Arial"/>
                <w:sz w:val="18"/>
                <w:szCs w:val="18"/>
                <w:color w:val="auto"/>
                <w:w w:val="89"/>
              </w:rPr>
              <w:t>$ 2,235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$6,368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3,251</w:t>
            </w:r>
          </w:p>
        </w:tc>
        <w:tc>
          <w:tcPr>
            <w:tcW w:w="1180" w:type="dxa"/>
            <w:vAlign w:val="bottom"/>
            <w:gridSpan w:val="2"/>
          </w:tcPr>
          <w:p>
            <w:pPr>
              <w:jc w:val="center"/>
              <w:ind w:left="526"/>
              <w:spacing w:after="0"/>
              <w:rPr>
                <w:sz w:val="20"/>
                <w:szCs w:val="20"/>
                <w:color w:val="auto"/>
              </w:rPr>
            </w:pPr>
            <w:r>
              <w:rPr>
                <w:rFonts w:ascii="Arial" w:cs="Arial" w:eastAsia="Arial" w:hAnsi="Arial"/>
                <w:sz w:val="18"/>
                <w:szCs w:val="18"/>
                <w:color w:val="auto"/>
                <w:w w:val="89"/>
              </w:rPr>
              <w:t>$11,129</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3340" w:type="dxa"/>
            <w:vAlign w:val="bottom"/>
          </w:tcPr>
          <w:p>
            <w:pPr>
              <w:jc w:val="right"/>
              <w:ind w:right="111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89"/>
              </w:rPr>
              <w:t>Three Month Period</w:t>
            </w: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6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87"/>
              </w:rPr>
              <w:t>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3"/>
              </w:rPr>
              <w:t>2011</w:t>
            </w:r>
          </w:p>
        </w:tc>
        <w:tc>
          <w:tcPr>
            <w:tcW w:w="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10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80"/>
              <w:spacing w:after="0"/>
              <w:rPr>
                <w:sz w:val="20"/>
                <w:szCs w:val="20"/>
                <w:color w:val="auto"/>
              </w:rPr>
            </w:pPr>
            <w:r>
              <w:rPr>
                <w:rFonts w:ascii="Arial" w:cs="Arial" w:eastAsia="Arial" w:hAnsi="Arial"/>
                <w:sz w:val="18"/>
                <w:szCs w:val="18"/>
                <w:color w:val="auto"/>
              </w:rPr>
              <w:t>193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spacing w:after="0"/>
              <w:rPr>
                <w:sz w:val="20"/>
                <w:szCs w:val="20"/>
                <w:color w:val="auto"/>
              </w:rPr>
            </w:pPr>
            <w:r>
              <w:rPr>
                <w:rFonts w:ascii="Arial" w:cs="Arial" w:eastAsia="Arial" w:hAnsi="Arial"/>
                <w:sz w:val="18"/>
                <w:szCs w:val="18"/>
                <w:color w:val="auto"/>
              </w:rPr>
              <w:t>1,497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1,325</w:t>
            </w: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six month period ended June 30, 2010, the Company recorded within “accumulated other comprehensive loss, net of tax” (“AOCI”) gross pre-tax unrealized investment gains of $5,456 and gross pre-tax unrealized investment losses of $6,013 pertaining to debt securities held at LFB that were designated as “available-for-sale.” With respect to adjustments for items reclassified to earnings, the average cost basis was utilized for purposes of calculating realized investment gains and losses. There were no other-than-temporary impairment charges recognized during the six month period ended June 30, 2010.</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six month period ended June 30,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June 30, 2011 and December 31, 2010 into the three-level fair value hierarchy in accordance with fair value measurement disclosure requirements: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June 30, 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31,889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31,889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19,208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88,896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110,634</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39,360</w:t>
            </w: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174,704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174,704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143,150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69,723</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387,712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300" w:type="dxa"/>
            <w:vAlign w:val="bottom"/>
            <w:vMerge w:val="restart"/>
          </w:tcPr>
          <w:p>
            <w:pPr>
              <w:jc w:val="right"/>
              <w:ind w:right="151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21,939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163,482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120,108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87,061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370,967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2011 and 2010.</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2011 and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 2011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Included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Sales/</w:t>
            </w: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2400" w:type="dxa"/>
            <w:vAlign w:val="bottom"/>
            <w:gridSpan w:val="6"/>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171,616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(2,052)</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805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5"/>
              </w:rPr>
              <w:t>Six Months Ended June 30, 2011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Included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20" w:type="dxa"/>
            <w:vAlign w:val="bottom"/>
          </w:tcPr>
          <w:p>
            <w:pPr>
              <w:spacing w:after="0"/>
              <w:rPr>
                <w:sz w:val="12"/>
                <w:szCs w:val="12"/>
                <w:color w:val="auto"/>
              </w:rPr>
            </w:pPr>
          </w:p>
        </w:tc>
        <w:tc>
          <w:tcPr>
            <w:tcW w:w="80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Sales/</w:t>
            </w:r>
          </w:p>
        </w:tc>
        <w:tc>
          <w:tcPr>
            <w:tcW w:w="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2"/>
              </w:rPr>
              <w:t>Acquisitions</w:t>
            </w:r>
          </w:p>
        </w:tc>
        <w:tc>
          <w:tcPr>
            <w:tcW w:w="3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(195)</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4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13,075</w:t>
            </w:r>
          </w:p>
        </w:tc>
        <w:tc>
          <w:tcPr>
            <w:tcW w:w="80" w:type="dxa"/>
            <w:vAlign w:val="bottom"/>
          </w:tcPr>
          <w:p>
            <w:pPr>
              <w:spacing w:after="0"/>
              <w:rPr>
                <w:sz w:val="19"/>
                <w:szCs w:val="19"/>
                <w:color w:val="auto"/>
              </w:rPr>
            </w:pP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(9,355)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$3,494</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86"/>
              </w:rPr>
              <w:t>Three Months Ended June 30, 2010</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Net 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Purchases/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Sales/</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Revenue-Other</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136,264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136,562</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$5,559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$(3,754)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 2010</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Purchases/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Sales/</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Revenue-Other</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4,741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$5,560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(1,193)</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$(6,619)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With respect to Level 3 assets held at June 30, 2011 and 2010, net gains (losses) included in earnings for the three month and six month periods ended June 30, 2011 and the three month and six month periods ended June 30, 2010 in connection with the change in unrealized gains and losses relating to such assets were $3,538, $3,817, $1,531 and $4,741, respectively.</w:t>
      </w:r>
    </w:p>
    <w:p>
      <w:pPr>
        <w:spacing w:after="0" w:line="12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interest rates, currency exchange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a result of the sale of the Company’s “available-for-sale” debt securities during the fourth quarter of 2010 as discussed above, there were not any derivatives designated as hedging instruments for the three month and six month periods ended June 30, 2011. During the three month and six month periods ended June 30,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recognized pre-tax losses pertaining to interest rate swaps designated as hedging instruments of $1,765 and $3,756, respectively. These losses were substantially offset by gains recognized on the hedged risk portion of such “available-for-sale” securities.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June 30, 2011 and December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2,035</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2,328</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1,507</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2,200</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and six month periods ended June 30, 2011 and 2010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6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$(3,139)</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(9,397)</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rate swaps</w:t>
            </w:r>
          </w:p>
        </w:tc>
        <w:tc>
          <w:tcPr>
            <w:tcW w:w="1080" w:type="dxa"/>
            <w:vAlign w:val="bottom"/>
            <w:gridSpan w:val="4"/>
          </w:tcPr>
          <w:p>
            <w:pPr>
              <w:jc w:val="right"/>
              <w:ind w:right="4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1080" w:type="dxa"/>
            <w:vAlign w:val="bottom"/>
            <w:gridSpan w:val="4"/>
          </w:tcPr>
          <w:p>
            <w:pPr>
              <w:jc w:val="right"/>
              <w:ind w:right="4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12,505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(11,716)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16,435</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payment on October 31, 2011 of approximately $90,300 and (iii) an issuance on October 31, 2011 of 2,201,457 shares of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$15,473 and $73,752, respectively, as of June 30, 2011, and $15,152 and $71,394, respectively, as of December 31, 2010.</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June 30, 2011 and December 31, 2010 (see Note 17 of Notes to Condensed Consolidated Financial Statements). Such amount will become members’ equity as the related shares of Class A common stock are issued.</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current leadership team retained a substantial economic interest in such entities.</w:t>
      </w:r>
    </w:p>
    <w:p>
      <w:pPr>
        <w:spacing w:after="0" w:line="9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June 30, 2011 and December 31, 2010, 1,295,029 shares of Class A common stock were issuable on a non-contingent basis. Additionally, at June 30, 2011 and December 31, 2010, 4,862 shares of Series A preferred stock were convertible into Class A common shares on a non-contingent basis, with the number of Class A common shares dependent, in part, upon future prices of the Class A common stock. Depending upon the future performance of such businesses acquired, at June 30, 2011 and December 31, 2010, 17,159 shares of Series A preferred stock were contingently convertible into shares of Class A common stock. The Class A common stock described above related to such acquisitions is primarily issuable during the remainder of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Lazard Group’s business acquisitions, as well as Lazard Ltd’s acquisition of a business and subsequent contribution of such business to Lazard Group, Lazard Group recorded related party payables of $60,190 at June 30, 2011 and December 31, 2010 to subsidiaries of Lazard Ltd (see Note 17 of Notes to the Condensed Consolidated Financial Statements.) Such amount will become members’ equity as the related shares of Class A common stock are issued.</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June 30,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$ 320,411</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365,441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2011 and December 31, 2010, goodwill of $258,781 and $251,599,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$313,229</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7,182</w:t>
            </w:r>
          </w:p>
        </w:tc>
        <w:tc>
          <w:tcPr>
            <w:tcW w:w="3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$ 320,411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June 30, 2011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$29,619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32,477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15,411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45,030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2011 was $1,706 and $3,180, respectively, and for the three month and six month periods ended June 30, 2010 was $1,769 and $3,539, respectively. Estimated future amortization expense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6"/>
          </w:tcPr>
          <w:p>
            <w:pPr>
              <w:ind w:left="3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4"/>
            <w:vMerge w:val="continue"/>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5"/>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2011 (July 1 through December 31)</w:t>
            </w: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12,742</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45,030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4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92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920" w:type="dxa"/>
            <w:vAlign w:val="bottom"/>
            <w:gridSpan w:val="10"/>
          </w:tcPr>
          <w:p>
            <w:pPr>
              <w:ind w:left="320"/>
              <w:spacing w:after="0"/>
              <w:rPr>
                <w:sz w:val="20"/>
                <w:szCs w:val="20"/>
                <w:color w:val="auto"/>
              </w:rPr>
            </w:pPr>
            <w:r>
              <w:rPr>
                <w:rFonts w:ascii="Arial" w:cs="Arial" w:eastAsia="Arial" w:hAnsi="Arial"/>
                <w:sz w:val="18"/>
                <w:szCs w:val="18"/>
                <w:color w:val="auto"/>
              </w:rPr>
              <w:t>Approximately 48% of intangible asset amortization is attributable to a noncontrolling interest.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10.  SENIOR AND SUBORDINATED DEBT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60" w:type="dxa"/>
            <w:vAlign w:val="bottom"/>
            <w:gridSpan w:val="11"/>
          </w:tcPr>
          <w:p>
            <w:pPr>
              <w:ind w:left="460"/>
              <w:spacing w:after="0"/>
              <w:rPr>
                <w:sz w:val="20"/>
                <w:szCs w:val="20"/>
                <w:color w:val="auto"/>
              </w:rPr>
            </w:pPr>
            <w:r>
              <w:rPr>
                <w:rFonts w:ascii="Arial" w:cs="Arial" w:eastAsia="Arial" w:hAnsi="Arial"/>
                <w:sz w:val="18"/>
                <w:szCs w:val="18"/>
                <w:b w:val="1"/>
                <w:bCs w:val="1"/>
                <w:i w:val="1"/>
                <w:iCs w:val="1"/>
                <w:color w:val="auto"/>
                <w:w w:val="91"/>
              </w:rPr>
              <w:t>Senior Debt</w:t>
            </w:r>
            <w:r>
              <w:rPr>
                <w:rFonts w:ascii="Arial" w:cs="Arial" w:eastAsia="Arial" w:hAnsi="Arial"/>
                <w:sz w:val="18"/>
                <w:szCs w:val="18"/>
                <w:b w:val="1"/>
                <w:bCs w:val="1"/>
                <w:color w:val="auto"/>
                <w:w w:val="91"/>
              </w:rPr>
              <w:t>—</w:t>
            </w:r>
            <w:r>
              <w:rPr>
                <w:rFonts w:ascii="Arial" w:cs="Arial" w:eastAsia="Arial" w:hAnsi="Arial"/>
                <w:sz w:val="18"/>
                <w:szCs w:val="18"/>
                <w:color w:val="auto"/>
                <w:w w:val="91"/>
              </w:rPr>
              <w:t>Senior debt is comprised of the following as of June 30, 2011 and December 31, 2010: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Initial</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Annual</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7"/>
              </w:rPr>
              <w:t>Outstanding As Of</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Principal</w:t>
            </w:r>
          </w:p>
        </w:tc>
        <w:tc>
          <w:tcPr>
            <w:tcW w:w="124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9"/>
              </w:rPr>
              <w:t>Maturity</w:t>
            </w:r>
          </w:p>
        </w:tc>
        <w:tc>
          <w:tcPr>
            <w:tcW w:w="122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Interest</w:t>
            </w:r>
          </w:p>
        </w:tc>
        <w:tc>
          <w:tcPr>
            <w:tcW w:w="1200" w:type="dxa"/>
            <w:vAlign w:val="bottom"/>
            <w:tcBorders>
              <w:top w:val="single" w:sz="8" w:color="auto"/>
            </w:tcBorders>
            <w:gridSpan w:val="6"/>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7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7.125%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528,500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6"/>
          </w:tcPr>
          <w:p>
            <w:pPr>
              <w:spacing w:after="0"/>
              <w:rPr>
                <w:sz w:val="20"/>
                <w:szCs w:val="20"/>
                <w:color w:val="auto"/>
              </w:rPr>
            </w:pPr>
            <w:r>
              <w:rPr>
                <w:rFonts w:ascii="Arial" w:cs="Arial" w:eastAsia="Arial" w:hAnsi="Arial"/>
                <w:sz w:val="18"/>
                <w:szCs w:val="18"/>
                <w:color w:val="auto"/>
              </w:rPr>
              <w:t>Lazard Group 6.85% Senior Notes</w:t>
            </w:r>
          </w:p>
        </w:tc>
        <w:tc>
          <w:tcPr>
            <w:tcW w:w="2140" w:type="dxa"/>
            <w:vAlign w:val="bottom"/>
            <w:gridSpan w:val="3"/>
          </w:tcPr>
          <w:p>
            <w:pPr>
              <w:jc w:val="right"/>
              <w:ind w:right="640"/>
              <w:spacing w:after="0"/>
              <w:rPr>
                <w:sz w:val="20"/>
                <w:szCs w:val="20"/>
                <w:color w:val="auto"/>
              </w:rPr>
            </w:pPr>
            <w:r>
              <w:rPr>
                <w:rFonts w:ascii="Arial" w:cs="Arial" w:eastAsia="Arial" w:hAnsi="Arial"/>
                <w:sz w:val="18"/>
                <w:szCs w:val="18"/>
                <w:color w:val="auto"/>
              </w:rPr>
              <w:t>600,000</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6/15/17</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6.85%</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548,350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Credit Facility (a)</w:t>
            </w: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6"/>
              </w:rPr>
              <w:t>4/29/13</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1,076,850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8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June 30, 2011, the annual interest rate for a loan accruing interest (based on the Federal Funds overnight rate), including the applicable margin, was 1.88%. As of June 30, 2011 and December 31, 2010, no amounts were outstanding under the Credit Facility.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b w:val="1"/>
          <w:bCs w:val="1"/>
          <w:color w:val="auto"/>
        </w:rPr>
        <w:t>—</w:t>
      </w:r>
      <w:r>
        <w:rPr>
          <w:rFonts w:ascii="Arial" w:cs="Arial" w:eastAsia="Arial" w:hAnsi="Arial"/>
          <w:sz w:val="18"/>
          <w:szCs w:val="18"/>
          <w:color w:val="auto"/>
        </w:rPr>
        <w:t>Subordinated debt at June 30, 2011 and December 31, 2010 represents a note amounting to $150,000 at each date. The note had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date of 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3.25% subordinated note, at a cost, excluding accrued interest, of $131,829. Such repurchase resulted in a pre-tax gain of $18,171, which is being recognized by the Company in the third quarter of 2011.</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supplemental indentures relating to Lazard Group’s senior notes, contain certain covenants (none of which relate to financial condition), events of default and other customary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provisions, including a customary make-whole provision in the event of early redemption where applicable. As of June 30, 2011, the Company was in compliance with all of these provisions. All of the Company’s senior and subordinated debt obligations are unsecured.</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June 30, 2011, the Company had approximately $285,000 in unused lines of credit available to it, including the Credit Facility, and unused lines of credit available to LFB of approximately $107,000 (at June 30, 2011 exchange rates) and Edgewater of $20,000. In addition, LFB has access to the Eurosystem Covered Bond Purchase Program of the Banque de France.</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June 30, 2011 and December 31, 2010, the fair value of the Company’s senior and subordinated debt was approximately $1,338,000 and $1,271,000, respectively, and exceeded the aggregate carrying value by approximately $111,000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Lazard has various leases and other contractual commitments arising in the ordinary course of business. At June 30,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(July 1 through December 31)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1,085,916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8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2011, LFB had $4,671 of such indemnifications and held $3,144 of collateral/counter-guarantees to secure these commitments. The Company believes the likelihood of loss with respect to these indemnities is remote. Accordingly, no liability is recorded in the consolidated statement of financial condition.</w:t>
      </w:r>
    </w:p>
    <w:p>
      <w:pPr>
        <w:spacing w:after="0" w:line="12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b w:val="1"/>
          <w:bCs w:val="1"/>
          <w:color w:val="auto"/>
        </w:rPr>
        <w:t>—</w:t>
      </w:r>
      <w:r>
        <w:rPr>
          <w:rFonts w:ascii="Arial" w:cs="Arial" w:eastAsia="Arial" w:hAnsi="Arial"/>
          <w:sz w:val="18"/>
          <w:szCs w:val="18"/>
          <w:color w:val="auto"/>
        </w:rPr>
        <w:t>At June 30, 2011, the principal unfunded commitment by the Company for capital contributions to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CP II, and is an amount not to exceed $3,022 for potential “follow-on investments” and/or for CP II expenses through the earlier of February 25, 2017 or the liquidation of the fund.</w:t>
      </w:r>
    </w:p>
    <w:p>
      <w:pPr>
        <w:spacing w:after="0" w:line="119"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June 30, 2011 aggregated $27,103.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b w:val="1"/>
          <w:bCs w:val="1"/>
          <w:color w:val="auto"/>
        </w:rPr>
        <w:t>—</w:t>
      </w:r>
      <w:r>
        <w:rPr>
          <w:rFonts w:ascii="Arial" w:cs="Arial" w:eastAsia="Arial" w:hAnsi="Arial"/>
          <w:sz w:val="16"/>
          <w:szCs w:val="16"/>
          <w:color w:val="auto"/>
        </w:rPr>
        <w:t>The Company is involved from time to time in a number of judicial, regulatory and arbitration proceedings and inquiries concerning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MEMBERS’ EQUITY</w:t>
      </w:r>
    </w:p>
    <w:p>
      <w:pPr>
        <w:spacing w:after="0" w:line="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b w:val="1"/>
          <w:bCs w:val="1"/>
          <w:color w:val="auto"/>
        </w:rPr>
        <w:t>—</w:t>
      </w:r>
      <w:r>
        <w:rPr>
          <w:rFonts w:ascii="Arial" w:cs="Arial" w:eastAsia="Arial" w:hAnsi="Arial"/>
          <w:sz w:val="18"/>
          <w:szCs w:val="18"/>
          <w:color w:val="auto"/>
        </w:rPr>
        <w:t>During the three month period ended March 31, 2010, 3,000,000 shares of Class A common stock were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Secondary Offerings</w:t>
      </w:r>
      <w:r>
        <w:rPr>
          <w:rFonts w:ascii="Arial" w:cs="Arial" w:eastAsia="Arial" w:hAnsi="Arial"/>
          <w:sz w:val="18"/>
          <w:szCs w:val="18"/>
          <w:b w:val="1"/>
          <w:bCs w:val="1"/>
          <w:color w:val="auto"/>
        </w:rPr>
        <w:t>—</w:t>
      </w:r>
      <w:r>
        <w:rPr>
          <w:rFonts w:ascii="Arial" w:cs="Arial" w:eastAsia="Arial" w:hAnsi="Arial"/>
          <w:sz w:val="18"/>
          <w:szCs w:val="18"/>
          <w:color w:val="auto"/>
        </w:rPr>
        <w:t>Pursuant to the applicable Prospectus Supplements, certain selling shareholders of Lazard Ltd (which include current and former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directors of Lazard (and, from time to time, certain of our directors, executive officers or former executive officers) and their permitted transferees (collectively, the “Selling Shareholders”) who hold LAZ-MD Holdings exchangeable interests and/or Class A common stock), may offer to sell shares of Class A common stock pursuant to applicable underwriting and pricing agreements. During the three month period ended March 31, 2010 one such secondary offering occurred, which is described below (no secondary offerings occurred during the three month period ended June 30, 2010 or during the six month period ended June 30, 2011).</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March 2010 Secondary Offering.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b w:val="1"/>
          <w:bCs w:val="1"/>
          <w:color w:val="auto"/>
        </w:rPr>
        <w:t>—</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2011 and 2010,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32,855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23,022</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30,125</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66"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b w:val="1"/>
          <w:bCs w:val="1"/>
          <w:color w:val="auto"/>
        </w:rPr>
        <w:t>—</w:t>
      </w:r>
      <w:r>
        <w:rPr>
          <w:rFonts w:ascii="Arial" w:cs="Arial" w:eastAsia="Arial" w:hAnsi="Arial"/>
          <w:sz w:val="16"/>
          <w:szCs w:val="16"/>
          <w:color w:val="auto"/>
        </w:rPr>
        <w:t>In addition to the simultaneous exchanges that occurred in connection with the March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 during the six month periods ended June 30, 2011 and 2010, Lazard Ltd issued 728,385 and 11,465,108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b w:val="1"/>
          <w:bCs w:val="1"/>
          <w:color w:val="auto"/>
        </w:rPr>
        <w:t>—</w:t>
      </w:r>
      <w:r>
        <w:rPr>
          <w:rFonts w:ascii="Arial" w:cs="Arial" w:eastAsia="Arial" w:hAnsi="Arial"/>
          <w:sz w:val="16"/>
          <w:szCs w:val="16"/>
          <w:color w:val="auto"/>
        </w:rPr>
        <w:t>In January 2010, the Board of Directors of Lazard Ltd authorized, on a cumulative basis, the repurchase of up to $200,000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Lazard Ltd Class A common stock and Lazard Group common membership interests through December 31,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expects that the share repurchase program, with respect to the Class A common stock, will continue to be used primarily to offset a portion of the shares that have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or will be issued under the 2005 Plan and the Lazard Ltd 2008 Incentive Compensation Plan (the “2008 Plan”). Pursuant to such authorizations, purchases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have been made in the open market or through privately negotiated transactions, and since the inception of the program in February 2006 through June 30,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purchases by Lazard Group with respect to such program are set forth in the table below (including, in the six month period ended June 30, 2011, 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3,156,416 Class A common shares, at an aggregate cost of $126,237, and the purchase of 19,032 Lazard Group common membership interests, at an aggregate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cost of $794):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 Price Per</w:t>
            </w:r>
          </w:p>
        </w:tc>
      </w:tr>
      <w:tr>
        <w:trPr>
          <w:trHeight w:val="149"/>
        </w:trPr>
        <w:tc>
          <w:tcPr>
            <w:tcW w:w="4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4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Membership</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4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5"/>
              </w:rPr>
              <w:t>Interests Purchased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Interest</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3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19,930,075</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5880" w:type="dxa"/>
            <w:vAlign w:val="bottom"/>
            <w:gridSpan w:val="3"/>
          </w:tcPr>
          <w:p>
            <w:pPr>
              <w:jc w:val="right"/>
              <w:ind w:right="1040"/>
              <w:spacing w:after="0"/>
              <w:rPr>
                <w:sz w:val="20"/>
                <w:szCs w:val="20"/>
                <w:color w:val="auto"/>
              </w:rPr>
            </w:pPr>
            <w:r>
              <w:rPr>
                <w:rFonts w:ascii="Arial" w:cs="Arial" w:eastAsia="Arial" w:hAnsi="Arial"/>
                <w:sz w:val="18"/>
                <w:szCs w:val="18"/>
                <w:color w:val="auto"/>
              </w:rPr>
              <w:t>1,400,089</w:t>
            </w:r>
          </w:p>
        </w:tc>
        <w:tc>
          <w:tcPr>
            <w:tcW w:w="10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r>
        <w:trPr>
          <w:trHeight w:val="356"/>
        </w:trPr>
        <w:tc>
          <w:tcPr>
            <w:tcW w:w="4400" w:type="dxa"/>
            <w:vAlign w:val="bottom"/>
          </w:tcPr>
          <w:p>
            <w:pPr>
              <w:spacing w:after="0"/>
              <w:rPr>
                <w:sz w:val="24"/>
                <w:szCs w:val="24"/>
                <w:color w:val="auto"/>
              </w:rPr>
            </w:pPr>
          </w:p>
        </w:tc>
        <w:tc>
          <w:tcPr>
            <w:tcW w:w="3680" w:type="dxa"/>
            <w:vAlign w:val="bottom"/>
          </w:tcPr>
          <w:p>
            <w:pPr>
              <w:jc w:val="right"/>
              <w:ind w:right="2192"/>
              <w:spacing w:after="0"/>
              <w:rPr>
                <w:sz w:val="20"/>
                <w:szCs w:val="20"/>
                <w:color w:val="auto"/>
              </w:rPr>
            </w:pPr>
            <w:r>
              <w:rPr>
                <w:rFonts w:ascii="Arial" w:cs="Arial" w:eastAsia="Arial" w:hAnsi="Arial"/>
                <w:sz w:val="18"/>
                <w:szCs w:val="18"/>
                <w:color w:val="auto"/>
              </w:rPr>
              <w:t>23</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Lazard Group’s delivery of shares of Class A common stock during the four year and six month period ended June 30, 2011 relating to (i) the settlement of vested RSUs and deferred stock unit grants (“DSUs”), (ii) the incentive plan share awards of shares of restricted Class A common stock and (iii) the issuance of shares of restricted Class A common stock in exchange for RSUs, there were 4,339,875 and 6,847,508 shares of Class A common stock held by Lazard Group at June 30, 2011 and December 31, 2010, respectively. Such Class A common shares are reported, at cost, as a reduction of members’ equity within the accompanying condensed consolidated statements of financial condition.</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2011, $165,740 of the current $450,000 share repurchase authorization remained available under the share repurchase program.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b w:val="1"/>
          <w:bCs w:val="1"/>
          <w:color w:val="auto"/>
        </w:rPr>
        <w:t>—</w:t>
      </w:r>
      <w:r>
        <w:rPr>
          <w:rFonts w:ascii="Arial" w:cs="Arial" w:eastAsia="Arial" w:hAnsi="Arial"/>
          <w:sz w:val="16"/>
          <w:szCs w:val="16"/>
          <w:color w:val="auto"/>
        </w:rPr>
        <w:t>The components of AOCI at June 30, 2011 and December 31, 2010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20" w:type="dxa"/>
            <w:vAlign w:val="bottom"/>
          </w:tcPr>
          <w:p>
            <w:pPr>
              <w:spacing w:after="0"/>
              <w:rPr>
                <w:sz w:val="15"/>
                <w:szCs w:val="15"/>
                <w:color w:val="auto"/>
              </w:rPr>
            </w:pPr>
          </w:p>
        </w:tc>
        <w:tc>
          <w:tcPr>
            <w:tcW w:w="140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91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58,607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Interest rate hedge</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(4,084)</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(59,111)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(4,588)</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(34,772)</w:t>
            </w: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Lazard Group AOCI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i w:val="1"/>
          <w:iCs w:val="1"/>
          <w:color w:val="auto"/>
        </w:rPr>
        <w:t>Noncontrolling Interests</w:t>
      </w:r>
      <w:r>
        <w:rPr>
          <w:rFonts w:ascii="Arial" w:cs="Arial" w:eastAsia="Arial" w:hAnsi="Arial"/>
          <w:sz w:val="16"/>
          <w:szCs w:val="16"/>
          <w:b w:val="1"/>
          <w:bCs w:val="1"/>
          <w:color w:val="auto"/>
        </w:rPr>
        <w:t>—</w:t>
      </w:r>
      <w:r>
        <w:rPr>
          <w:rFonts w:ascii="Arial" w:cs="Arial" w:eastAsia="Arial" w:hAnsi="Arial"/>
          <w:sz w:val="16"/>
          <w:szCs w:val="16"/>
          <w:color w:val="auto"/>
        </w:rPr>
        <w:t>Noncontrolling interests principally represent interests held in (i) Edgewater’s management vehicles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to control, but does not own, and (ii) various LAM-related GP interests which are deemed to be controlled by the Company.</w:t>
      </w:r>
    </w:p>
    <w:p>
      <w:pPr>
        <w:spacing w:after="0" w:line="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and six month periods ended June 30, 2011 and 2010 and noncontrolling interests as of June 30, 2011 and December 31, 2010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w w:val="92"/>
              </w:rPr>
              <w:t>Net Income (Loss) Attributable To</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w w:val="88"/>
              </w:rPr>
              <w:t>Noncontrolling Interests</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900" w:type="dxa"/>
            <w:vAlign w:val="bottom"/>
            <w:gridSpan w:val="6"/>
          </w:tcPr>
          <w:p>
            <w:pPr>
              <w:jc w:val="right"/>
              <w:ind w:right="500"/>
              <w:spacing w:after="0" w:line="129" w:lineRule="exact"/>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1"/>
                <w:szCs w:val="11"/>
                <w:color w:val="auto"/>
              </w:rPr>
            </w:pPr>
          </w:p>
        </w:tc>
        <w:tc>
          <w:tcPr>
            <w:tcW w:w="1540" w:type="dxa"/>
            <w:vAlign w:val="bottom"/>
            <w:gridSpan w:val="4"/>
          </w:tcPr>
          <w:p>
            <w:pPr>
              <w:jc w:val="right"/>
              <w:ind w:right="152"/>
              <w:spacing w:after="0" w:line="129"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$ 5,882</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$6,905</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LAM GPs</w:t>
            </w:r>
          </w:p>
        </w:tc>
        <w:tc>
          <w:tcPr>
            <w:tcW w:w="5180" w:type="dxa"/>
            <w:vAlign w:val="bottom"/>
            <w:gridSpan w:val="3"/>
          </w:tcPr>
          <w:p>
            <w:pPr>
              <w:jc w:val="right"/>
              <w:ind w:right="52"/>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(598)</w:t>
            </w: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13</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2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(126)</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$ 5,550</w:t>
            </w:r>
          </w:p>
        </w:tc>
        <w:tc>
          <w:tcPr>
            <w:tcW w:w="1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1240" w:type="dxa"/>
            <w:vAlign w:val="bottom"/>
            <w:gridSpan w:val="3"/>
          </w:tcPr>
          <w:p>
            <w:pPr>
              <w:jc w:val="right"/>
              <w:ind w:right="4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6,792</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460" w:type="dxa"/>
            <w:vAlign w:val="bottom"/>
            <w:vMerge w:val="restart"/>
          </w:tcPr>
          <w:p>
            <w:pPr>
              <w:jc w:val="right"/>
              <w:ind w:right="1772"/>
              <w:spacing w:after="0"/>
              <w:rPr>
                <w:sz w:val="20"/>
                <w:szCs w:val="20"/>
                <w:color w:val="auto"/>
              </w:rPr>
            </w:pPr>
            <w:r>
              <w:rPr>
                <w:rFonts w:ascii="Arial" w:cs="Arial" w:eastAsia="Arial" w:hAnsi="Arial"/>
                <w:sz w:val="18"/>
                <w:szCs w:val="18"/>
                <w:color w:val="auto"/>
              </w:rPr>
              <w:t>24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100" w:type="dxa"/>
            <w:vAlign w:val="bottom"/>
            <w:gridSpan w:val="4"/>
          </w:tcPr>
          <w:p>
            <w:pPr>
              <w:jc w:val="center"/>
              <w:ind w:left="541"/>
              <w:spacing w:after="0"/>
              <w:rPr>
                <w:sz w:val="20"/>
                <w:szCs w:val="20"/>
                <w:color w:val="auto"/>
              </w:rPr>
            </w:pPr>
            <w:r>
              <w:rPr>
                <w:rFonts w:ascii="Arial" w:cs="Arial" w:eastAsia="Arial" w:hAnsi="Arial"/>
                <w:sz w:val="14"/>
                <w:szCs w:val="14"/>
                <w:b w:val="1"/>
                <w:bCs w:val="1"/>
                <w:color w:val="auto"/>
                <w:w w:val="86"/>
              </w:rPr>
              <w:t>Noncontrolling Interests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90"/>
              </w:rPr>
              <w:t>As Of</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620" w:type="dxa"/>
            <w:vAlign w:val="bottom"/>
          </w:tcPr>
          <w:p>
            <w:pPr>
              <w:spacing w:after="0"/>
              <w:rPr>
                <w:sz w:val="11"/>
                <w:szCs w:val="11"/>
                <w:color w:val="auto"/>
              </w:rPr>
            </w:pPr>
          </w:p>
        </w:tc>
        <w:tc>
          <w:tcPr>
            <w:tcW w:w="68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99"/>
              </w:rPr>
              <w:t>June 30,</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8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2011</w:t>
            </w: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$ 115,808</w:t>
            </w: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111,289</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LAM GPs</w:t>
            </w:r>
          </w:p>
        </w:tc>
        <w:tc>
          <w:tcPr>
            <w:tcW w:w="680" w:type="dxa"/>
            <w:vAlign w:val="bottom"/>
          </w:tcPr>
          <w:p>
            <w:pPr>
              <w:jc w:val="right"/>
              <w:spacing w:after="0"/>
              <w:rPr>
                <w:sz w:val="20"/>
                <w:szCs w:val="20"/>
                <w:color w:val="auto"/>
              </w:rPr>
            </w:pPr>
            <w:r>
              <w:rPr>
                <w:rFonts w:ascii="Arial" w:cs="Arial" w:eastAsia="Arial" w:hAnsi="Arial"/>
                <w:sz w:val="18"/>
                <w:szCs w:val="18"/>
                <w:color w:val="auto"/>
              </w:rPr>
              <w:t>5,735</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122,803</w:t>
            </w:r>
          </w:p>
        </w:tc>
        <w:tc>
          <w:tcPr>
            <w:tcW w:w="142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120,882</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was as follows within the Company’s condensed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r>
      <w:tr>
        <w:trPr>
          <w:trHeight w:val="210"/>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 (*)</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$57,552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$50,530</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$142,410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$154,343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57,552</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50,530</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201,223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during the six month period ended June 30, 2010, $24,860 relating to the January 2010 amendment of the Company’s retirement policy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2011 and 2010, dividend participation rights required the issuance of 140,613 and 163,146 RSUs, respectively.</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three month period ended March 31, 2010 relating to prior years’ awards.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26,859 and 31,588 DSUs granted during the six month periods ended June 30, 2011 and 2010,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six month periods ended June 30, 2011 and 2010.</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2011 and 2010, 2,942 and 4,120 DSUs, respectively, had been granted pursuant to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DSU awards are expensed at their fair value on their date of grant, which, inclusive of amounts related to the Directors’ Fee Deferral Unit Plan, totaled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$534 and $562 during the three month and six month periods ended June 30, 2011, respectively, and $520 and $558 during the three month and six month periods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2010,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Fair Value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22,108,635</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121,737</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 (including 140,613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6,309,310</w:t>
            </w:r>
          </w:p>
        </w:tc>
        <w:tc>
          <w:tcPr>
            <w:tcW w:w="4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29,801</w:t>
            </w: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(223,365)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(7,616,386)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(16,120)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20,578,194</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135,418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23,367,813</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103,146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 (including 163,146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6,853,747</w:t>
            </w:r>
          </w:p>
        </w:tc>
        <w:tc>
          <w:tcPr>
            <w:tcW w:w="4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35,708</w:t>
            </w: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(315,002)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(6,952,061)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39.88</w:t>
            </w:r>
          </w:p>
        </w:tc>
        <w:tc>
          <w:tcPr>
            <w:tcW w:w="4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(20,435)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22,954,497</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118,419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six month periods ended June 30, 2011 and 2010, 7,616,386 RSUs and 6,952,061 RSUs vested, respectively. In connection with such vested RSUs, the Company satisfied certain employees’ tax obligations in lieu of issuing 2,226,829 and 1,288,331 shares of Class A common stock in the respective periods. Accordingly, 5,389,557 and 5,663,730 shares of Class A common stock held by Lazard Group were delivered during the six month periods ended June 30, 2011 and 2010, respectively.</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2011, unrecognized RSU compensation expense, adjusted for estimated forfeitures, was approximately $348,000, with such unrecognized compensation expense expected to be recognized over a weighted average period of approximately 1.8 years subsequent to June 30,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six month periods ended June 30,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 (a)</w:t>
            </w:r>
          </w:p>
        </w:tc>
        <w:tc>
          <w:tcPr>
            <w:tcW w:w="700" w:type="dxa"/>
            <w:vAlign w:val="bottom"/>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 (a)</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ind w:left="1140"/>
              <w:spacing w:after="0"/>
              <w:rPr>
                <w:sz w:val="20"/>
                <w:szCs w:val="20"/>
                <w:color w:val="auto"/>
              </w:rPr>
            </w:pPr>
            <w:r>
              <w:rPr>
                <w:rFonts w:ascii="Arial" w:cs="Arial" w:eastAsia="Arial" w:hAnsi="Arial"/>
                <w:sz w:val="18"/>
                <w:szCs w:val="18"/>
                <w:color w:val="auto"/>
              </w:rPr>
              <w:t>Balance, June 30, 2011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54,437</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gridSpan w:val="2"/>
          </w:tcPr>
          <w:p>
            <w:pPr>
              <w:ind w:left="1140"/>
              <w:spacing w:after="0"/>
              <w:rPr>
                <w:sz w:val="20"/>
                <w:szCs w:val="20"/>
                <w:color w:val="auto"/>
              </w:rPr>
            </w:pPr>
            <w:r>
              <w:rPr>
                <w:rFonts w:ascii="Arial" w:cs="Arial" w:eastAsia="Arial" w:hAnsi="Arial"/>
                <w:sz w:val="18"/>
                <w:szCs w:val="18"/>
                <w:color w:val="auto"/>
              </w:rPr>
              <w:t>Balance, June 30, 2010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54,437</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143,816 restricted shares pertaining to an award that was accounted for as a liability award through its vesting date.</w:t>
      </w:r>
    </w:p>
    <w:p>
      <w:pPr>
        <w:spacing w:after="0" w:line="158"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During the six month period ended June 30, 2011, 327,238 shares of restricted Class A common stock vested. In connection with such vested shares of restricted Class A common stock, the Company satisfied certain employees’ tax obligations in lieu of delivering 68,866 shares of Class A common stock by Lazard Group. Accordingly, 258,372 shares of Class A common stock held by Lazard Group were delivered during the six month period ended June 30, 2011.</w:t>
      </w:r>
    </w:p>
    <w:p>
      <w:pPr>
        <w:spacing w:after="0" w:line="7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condensed consolidated statements of operations, and amounted to $356 and $8,999 for the three month and six month periods ended June 30, 2011, respectively, and $160 for the three month and six month periods ended June 30, 2010. The awards include a cash dividend participation right equivalent to any ordinary quarterly dividends paid on Class A common stock during the period, which will vest concurrently with the underlying restricted stock award. At June 30, 2011, unrecognized restricted stock expense was approximately $1,600, with such expense to be recognized over a weighted average period of approximately 1.2 years subsequent to June 30, 2011.</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described above, in February 2011, the Company granted to eligible employees Lazard Fund Interests, which had an aggregate fair value on the date of grant of approximately $26,000, with such aggregate fair values excluding potential forfeitures. At June 30, 2011, the aggregate fair value of such liability amounted to $25,102.</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Lazard Fund Interests granted provide for one-third vesting on March 1, 2013 and two-thirds vesting on March 3, 2014. Compensation expense with respect to the Lazard Fund Interests amounted to $2,413 and $5,054 for the three month and six month periods ended June 30, 2011, respectively, and is being recognized over the applicable vesting periods or requisite service periods, the ultimate amount of which will vary based on the then vested value of the underlying Lazard Fund Interests, with such compensation expense to be recognized over a weighted average period of approximately 2.3 years subsequent to June 30, 2011.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b w:val="1"/>
          <w:bCs w:val="1"/>
          <w:color w:val="auto"/>
        </w:rPr>
        <w:t>—</w:t>
      </w:r>
      <w:r>
        <w:rPr>
          <w:rFonts w:ascii="Arial" w:cs="Arial" w:eastAsia="Arial" w:hAnsi="Arial"/>
          <w:sz w:val="18"/>
          <w:szCs w:val="18"/>
          <w:color w:val="auto"/>
        </w:rPr>
        <w:t>In accordance with agreements reached with the Trustees of certain U.K. pension plans in 2005,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obligated to make further contributions to such pension plans based upon the cumulative performance of the plans’ assets against specific benchmarks as measured on June 1, 2009 (the “measurement 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 pursuant to which: (i) the Company agreed to contribute, in addition to amounts to cover administrative expenses under the plans, 2.3 million British pounds ($3,683 at June 30, 2011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condensed consolidated statements of financial condition. Income on the escrow balance accretes to the Company and is recorded in interest income.</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six month period ended June 30, 2011, no contribution to these U.K. pension plans was required, and no contributions were required to be made to other pension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components of total benefit cost (credit) for the three month and six month periods ended June 30,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Pension Plans</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Medical Plans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7,092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(7,644)</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(7,056)</w:t>
            </w: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20" w:type="dxa"/>
            <w:vAlign w:val="bottom"/>
            <w:vMerge w:val="restart"/>
          </w:tcPr>
          <w:p>
            <w:pPr>
              <w:jc w:val="right"/>
              <w:ind w:right="1232"/>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8"/>
              </w:rPr>
              <w:t>Six Months Ended June 30,</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14,159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(15,266)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1,493</w:t>
            </w:r>
          </w:p>
        </w:tc>
        <w:tc>
          <w:tcPr>
            <w:tcW w:w="3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three month period ended March 31,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June 30, 2011 and December 31, 2010, the remaining liability associated with the 2010 Restructuring Plan was $13,145 and $21,381, respectively. In the first quarter of 2009 the Company also announced a restructuring plan (the “2009 Restructuring Plan”). As of June 30, 2011 and December 31, 2010, the remaining liability associated with the 2009 Restructuring Plan was $5,128 and $5,427, respectively. During the six month period ended June 30, 2011, other than cash payments of $8,236 and $299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10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Company recorded income tax provisions of $13,717 and $24,106 for the three month and six month periods ended June 30, 2011, respectively, and $13,040 and $18,580 for the three month and six month periods ended June 30, 2010, respectively, representing effective tax rates of 15.2%, 14.7%, 19.3% and 56.1%, respectively. The difference between the U.S. federal statutory rate of 35.0% and the effective tax rates described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above principally relates to (i) Lazard Group primarily operating as a limited liability company in the U.S. and (ii) U.S. state and local taxes (primarily UBT), which are incremental to the U.S. federal statutory tax rate.</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June 30,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12,764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155,182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168,684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245,819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246,922</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LFCM Holdings</w:t>
      </w:r>
    </w:p>
    <w:p>
      <w:pPr>
        <w:spacing w:after="0" w:line="7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0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2011, amounts recorded by Lazard Group relating to the administrative services agreement amounted to $578 and $1,192, respectively, and net referral fees for underwriting, private placement, M&amp;A and restructuring transactions under the business alliance agreement amounted to $6,200 and $13,147, respectively. For the three month and six month periods ended June 30, 2010, amounts recorded by Lazard Group relating to the administrative services agreement amounted to $513 and $1,059, respectively, and net referral fees for underwriting, private placement, M&amp;A and restructuring transactions under the business alliance agreement amounted to $3,384 and $6,729,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Receivables from LFCM Holdings and its subsidiaries as of June 30, 2011 and December 31, 2010 primarily include $1,616 and $12,775, respectively, related to administrative and support services and reimbursement of expenses incurred on behalf of LFCM Holdings, and $10,397 and $11,413, respectively, related to referral fees for underwriting and private placement transactions. Payables to LFCM Holdings and its subsidiaries at June 30, 2011 and December 31, 2010 relate principally to referral fees for Financial Advisory transactions.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Lazard Ltd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2011 and December 31, 2010 include interest-bearing loans of $152,203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$148,488, respectively, including accrued interest thereon. Interest income relating to interest-bearing loans with subsidiaries of Lazard Ltd amounted to $1,891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$3,730 for the three month and six month periods ended June 30, 2011, respectively, and $843 and $1,652 for the three month and six 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2010, respectively. In addition, at December 31, 2010, Lazard Group had a receivable of $29,271 from Lazard Ltd subsidiaries relating to Lazard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Group’s sale of certain investments to a Lazard Ltd subsidiary, which was settled in cash in the first quarter of 2011.</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June 30, 2011 and December 31, 2010, Lazard Group’s payables to subsidiaries of Lazard Ltd included $64,305 related to the LAM Merger (see Note 7 of Notes to Condensed Consolidated Financial Statements), as well as payables at June 30, 2011 and December 31, 2010 aggregating $60,190, in connection with Lazard Group’s business acquisitions, and with respect to Lazard Ltd’s acquisition of a business and subsequent contribution of such business to Lazard Group (see Note 8 of Notes to Condensed Consolidated Financial Statements). In addition, as of June 30, 2011 and December 31, 2010, Lazard Group’s payables to subsidiaries of Lazard Ltd include interest-bearing loans, plus accrued interest thereon, of $121,262 and $119,240, respectively. Interest expense relating to interest-bearing loans with subsidiaries of Lazard Ltd amounted to $1,016 and $2,022 for the three month and six month periods ended June 30, 2011, respectively, and $1,080 and $2,205 for the three month and six month periods ended June 30, 2010,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LAZ-MD Holdings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2011, such charges amounted to $187 and $375, respectively. For the three month and six month periods ended June 30, 2010, such charges amounted to $187 and $375, respectively.</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2011, LFNY’s regulatory net capital was $142,556, which exceeded the minimum requirement by $135,750.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2011, the aggregate regulatory net capital of the U.K. Subsidiaries was $128,624, which exceeded the minimum requirement by $83,099.</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2011, the consolidated regulatory net capital of CFLF was $196,350, which exceeded the minimum requirement set for regulatory capital levels by $90,589.</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2011, for those subsidiaries with regulatory capital requirements, their aggregate net capital was $80,680, which exceeded the minimum required capital by $55,686.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2011, each of these subsidiaries individually was in compliance with its regulatory capital requirements.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Ltd has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Europe, Lazard Ltd is required to be supervised by another regulatory body, either in the U.S. or Europe.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their consolidated supervision. Once we understand the final scope of such regulations, Lazard Ltd will determine whether it will elect to comply with such regulations and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1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2011 and 2010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780" w:right="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Advisory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249,191</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245,973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478,036</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213,900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427,783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Income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34,974</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32,073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50,253</w:t>
            </w:r>
          </w:p>
        </w:tc>
        <w:tc>
          <w:tcPr>
            <w:tcW w:w="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244,855</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189,414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471,708</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160,914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136,886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310,118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266,326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Income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83,941</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52,528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161,590</w:t>
            </w:r>
          </w:p>
        </w:tc>
        <w:tc>
          <w:tcPr>
            <w:tcW w:w="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(16,334)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(33,819)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13,676</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Loss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(28,463)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(16,911)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(47,495)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(140,468)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477,712</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418,808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915,925</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387,260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351,118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751,577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Income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90,452</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67,690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164,348</w:t>
            </w:r>
          </w:p>
        </w:tc>
        <w:tc>
          <w:tcPr>
            <w:tcW w:w="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60" w:type="dxa"/>
            <w:vAlign w:val="bottom"/>
            <w:vMerge w:val="restart"/>
          </w:tcPr>
          <w:p>
            <w:pPr>
              <w:jc w:val="right"/>
              <w:ind w:right="105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r>
      <w:tr>
        <w:trPr>
          <w:trHeight w:val="161"/>
        </w:trPr>
        <w:tc>
          <w:tcPr>
            <w:tcW w:w="9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731,184</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799,090</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689,118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687,323</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1,579,724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1,849,871</w:t>
            </w:r>
          </w:p>
        </w:tc>
      </w:tr>
      <w:tr>
        <w:trPr>
          <w:trHeight w:val="27"/>
        </w:trPr>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3,000,026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3,336,284</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2" w:lineRule="exact"/>
        <w:rPr>
          <w:sz w:val="20"/>
          <w:szCs w:val="20"/>
          <w:color w:val="auto"/>
        </w:rPr>
      </w:pPr>
    </w:p>
    <w:p>
      <w:pPr>
        <w:jc w:val="both"/>
        <w:ind w:left="460" w:right="46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Operating income (loss) for the six month period ended June 30, 2010 was significantly impacted by certain charges related to the three month period ended March 31, 2010. Such impact, including the amounts attributable to each of the Company’s business segments, is described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82,340</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Special item:</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145,110</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“second quarter”, “first half”, or “the period” refer to, as the context requires, the three month and six month periods ended June 30, 2011 and June 30,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may expand its scope to include placements elsewhere in Europe.</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Lazard invests or may invest its own capital usually alongside capital of qualified institutional and individual investors in alternative investments or private equity investments and, since 2005, we have engaged in a number of alternative investments and private equity activities, including private equity investments 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Corporate Partners II Limited (“CP II”) and Lazard Senior Housing Partners LP (“Senior Housing”), consistent with our obligations to LFCM Holdings LLC (“LFCM Holdings”) and through The Edgewater Funds (“Edgewater”), our Chicago-based private equity firm (see Note 8 of Notes to Condensed Consolidated Financial Statements).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AUM, weak economic and global financial market conditions can result in a challenging business environment for M&amp;A and fundraising activity as well as our Asset Management business, but may provide opportunities for our restructuring business, which tends to be counter-cyclical.</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Global market performance, capital-raising and M&amp;A activity were mixed during the first half of 2011. Overall, global equity markets at June 30, 2011 were up modestly since December 31, 2010, despite volatility during both the first and second quarters of 2011. While the announced value of M&amp;A activity increased in the second quarter of 2011 as compared to the corresponding period in 2010, M&amp;A activity slowed as compared to the first quarter of 2011 due to economic uncertainty caused by concerns over the public-finance situation in Europe and continuing high U.S. unemployment. Restructuring activity continued at low levels due to the decline in the number of corporate defaults.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For the first half of 2011, the value of global completed and announced M&amp;A transactions increased significantly, while the number of such transactions reflected no significant change as compared to the 2010 period, reflecting transactions with higher average values. During the second quarter of 2011 the value of completed and announced transactions increased as compared to the corresponding period in 2010, while the number of such transactions generally declined.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3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29"/>
        </w:trPr>
        <w:tc>
          <w:tcPr>
            <w:tcW w:w="3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478"/>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4"/>
                <w:szCs w:val="14"/>
                <w:color w:val="auto"/>
              </w:rPr>
            </w:pPr>
          </w:p>
        </w:tc>
        <w:tc>
          <w:tcPr>
            <w:tcW w:w="9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2010</w:t>
            </w: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 / (Decr)</w:t>
            </w:r>
          </w:p>
        </w:tc>
        <w:tc>
          <w:tcPr>
            <w:tcW w:w="18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4"/>
                <w:szCs w:val="14"/>
                <w:color w:val="auto"/>
              </w:rPr>
            </w:pPr>
          </w:p>
        </w:tc>
        <w:tc>
          <w:tcPr>
            <w:tcW w:w="9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3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3"/>
          </w:tcPr>
          <w:p>
            <w:pPr>
              <w:ind w:left="1000"/>
              <w:spacing w:after="0" w:line="155" w:lineRule="exact"/>
              <w:rPr>
                <w:sz w:val="20"/>
                <w:szCs w:val="20"/>
                <w:color w:val="auto"/>
              </w:rPr>
            </w:pPr>
            <w:r>
              <w:rPr>
                <w:rFonts w:ascii="Arial" w:cs="Arial" w:eastAsia="Arial" w:hAnsi="Arial"/>
                <w:sz w:val="14"/>
                <w:szCs w:val="14"/>
                <w:b w:val="1"/>
                <w:bCs w:val="1"/>
                <w:color w:val="auto"/>
                <w:w w:val="97"/>
              </w:rPr>
              <w:t>($ in billions)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$609</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1,483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7"/>
              </w:rPr>
              <w:t>$1,128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83"/>
              </w:rPr>
              <w:t>10,084</w:t>
            </w:r>
          </w:p>
        </w:tc>
        <w:tc>
          <w:tcPr>
            <w:tcW w:w="460" w:type="dxa"/>
            <w:vAlign w:val="bottom"/>
          </w:tcPr>
          <w:p>
            <w:pPr>
              <w:spacing w:after="0"/>
              <w:rPr>
                <w:sz w:val="18"/>
                <w:szCs w:val="18"/>
                <w:color w:val="auto"/>
              </w:rPr>
            </w:pPr>
          </w:p>
        </w:tc>
        <w:tc>
          <w:tcPr>
            <w:tcW w:w="940" w:type="dxa"/>
            <w:vAlign w:val="bottom"/>
          </w:tcPr>
          <w:p>
            <w:pPr>
              <w:jc w:val="right"/>
              <w:ind w:right="376"/>
              <w:spacing w:after="0"/>
              <w:rPr>
                <w:sz w:val="20"/>
                <w:szCs w:val="20"/>
                <w:color w:val="auto"/>
              </w:rPr>
            </w:pPr>
            <w:r>
              <w:rPr>
                <w:rFonts w:ascii="Arial" w:cs="Arial" w:eastAsia="Arial" w:hAnsi="Arial"/>
                <w:sz w:val="18"/>
                <w:szCs w:val="18"/>
                <w:color w:val="auto"/>
                <w:w w:val="83"/>
              </w:rPr>
              <w:t>10,944</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w w:val="83"/>
              </w:rPr>
              <w:t>20,860</w:t>
            </w:r>
          </w:p>
        </w:tc>
        <w:tc>
          <w:tcPr>
            <w:tcW w:w="42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w w:val="87"/>
              </w:rPr>
              <w:t>21,311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99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768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774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608</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1,560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1,240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3"/>
              </w:rPr>
              <w:t>10,649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83"/>
              </w:rPr>
              <w:t>11,024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3"/>
              </w:rPr>
              <w:t>21,723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7"/>
              </w:rPr>
              <w:t>21,552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52</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106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22"/>
        </w:trPr>
        <w:tc>
          <w:tcPr>
            <w:tcW w:w="3760" w:type="dxa"/>
            <w:vAlign w:val="bottom"/>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400</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833</w:t>
            </w:r>
          </w:p>
        </w:tc>
        <w:tc>
          <w:tcPr>
            <w:tcW w:w="420" w:type="dxa"/>
            <w:vAlign w:val="bottom"/>
          </w:tcPr>
          <w:p>
            <w:pPr>
              <w:spacing w:after="0"/>
              <w:rPr>
                <w:sz w:val="19"/>
                <w:szCs w:val="19"/>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765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8,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Global restructuring activity during the 2011 six month period decreased from the corresponding prior year period due to the decelerating pace of corporate debt defaults. According to Moody’s Investors Service, Inc., in the twelve month period ended June 30, 2011 a total of 43 issuers defaulted, as compared to 121 in the twelve months ended June 30, 2010, which includes a total of 12 issuers in the six month period ended June 30, 2011, as compared to 27 in the corresponding 2010 period. We believe that the number and value of corporate defaults for the full year of 2011 will be significantly lower as compared to 2010, but due to our Restructuring assignments currently in progress, we expect that our Restructuring business will remain active, albeit at a lower level as compared to the prior year.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0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Private Fund Advisory Group, which is part of our Financial Advisory segment and is conducted in the U.S. through Lazard Freres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 shown in the table below, major global market indices at June 30, 2011 were generally unchanged in most markets as compared to such indices at March 31, 2011 and increased modestly as compared to December 31, 2010, with more significant increases as compared to June 30, 2010.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Percentage 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rPr>
              <w:t>June 30, 2011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1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1"/>
                <w:szCs w:val="11"/>
                <w:color w:val="auto"/>
              </w:rPr>
            </w:pPr>
          </w:p>
        </w:tc>
        <w:tc>
          <w:tcPr>
            <w:tcW w:w="196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70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CAC 40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FTSE 100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5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MSCI Emerging Market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NASDAQ</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June 30, 2011 increased 4% versus AUM at December 31, 2010, with our average AUM during the first half of 2011 increasing 23%, as compared to our average AUM for the corresponding period of 2010, the latter primarily reflecting significant market appreciation as well as net inflows in the six month period ended December 31, 2010. The higher level of AUM contributed to significantly higher management fee revenues in the 2011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from public and private securities offerings for referring opportunities to LFCM Holdings for underwriting and distribution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 securities.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Lazard Frères Gestion SAS (“LFG”), Edgewater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Corporate segment net revenue consists primarily of interest income and interest expense, including amounts earned at LFB, investment gains and losses on the Company’s “seed investments” in LAM equity funds and principal investments in equities and alternative investment funds, investments at LFB, and “equity method” investments. Corporate net revenue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December 31, 2010, the Company no longer held “available-for-sale” or “held-to-maturity”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Corporate segment net revenue during the first half of 2011 represented (4)% of Lazard’s net revenue, total assets in Corporate represented 53% of Lazard’s consolidated total assets as of June 30, 2011, which is attributable to assets associated with LFB, investments in government bonds, fixed income funds, LAM-managed funds and other securities, private equity investments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(i) salaries and benefits, (ii) amortization of the relevant portion of (a) share-based incentive compensation under the Lazard Ltd 2005 Equity Incentive Plan (“2005 Plan”) and the Lazard Ltd 2008 Incentive Compensation Plan (the “2008 Plan”) and (b) Lazard Fund Interests, with such aggregate amortization generally determined on a straight-line basis over the applicable vesting periods, and not on the basis of revenue recognition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As reflected in the tables below, our compensation expense-to-operating revenue ratios for the second quarters of 2011 and 2010 were 57.9% and 59.7%, respectively, and for the six month periods of 2011 and 2010 were 58.3% and 59.9%, respectively (with such ratio for the six month period of 2010 excluding the compensation charge of approximately $25 million in connection with the accelerated vesting of share-based incentive awards related to the Company’s change in retirement policy).</w:t>
      </w:r>
    </w:p>
    <w:p>
      <w:pPr>
        <w:spacing w:after="0" w:line="109"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Noncontrolling interests primarily relate to the charge attributable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Lazard’s consolidated financial statements are presented in U.S. dollars. Many of our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 that is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8"/>
          <w:szCs w:val="18"/>
          <w:i w:val="1"/>
          <w:iCs w:val="1"/>
          <w:color w:val="auto"/>
        </w:rPr>
        <w:t>.</w:t>
      </w:r>
      <w:r>
        <w:rPr>
          <w:rFonts w:ascii="Arial" w:cs="Arial" w:eastAsia="Arial" w:hAnsi="Arial"/>
          <w:sz w:val="18"/>
          <w:szCs w:val="18"/>
          <w:color w:val="auto"/>
        </w:rPr>
        <w:t xml:space="preserve"> Foreign currency remeasurement gains and losses on transactions in non-functional currencies are included in the consolidated statements of operations.</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first quarter of 2010, the Company reported certain charges (the “2010 special items”) that adversely impacted operating results for that period. The impact of such special items on the Company’s condensed consolidated statements of operations for the first half of 2010 is described in more detail in the table below. There were no special items recorded in the 2011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June 30, 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RSU</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34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Amendment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24,860</w:t>
            </w:r>
          </w:p>
        </w:tc>
      </w:tr>
      <w:tr>
        <w:trPr>
          <w:trHeight w:val="223"/>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(24,860)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(111,968)</w:t>
            </w:r>
          </w:p>
        </w:tc>
      </w:tr>
      <w:tr>
        <w:trPr>
          <w:trHeight w:val="223"/>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Lazard Group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(81,428)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(104,925)</w:t>
            </w: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Accelerated amortization expense recognized in connection with the vesting of share-based incentive awards related to the amendment of the Company’s retirement policy.</w:t>
      </w:r>
    </w:p>
    <w:p>
      <w:pPr>
        <w:spacing w:after="0" w:line="12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A discussion of the Company’s consolidated results of operations for the 2011 and 2010 periods is set forth below, followed by a more detailed discussion of business segment results. For comparability purposes in the discussion that follows, the results for the six month period of 2010 are shown in the table below, on both an “as reported” U.S. GAAP and “excluding special items” non-U.S. GAAP basis that management believes provides the most meaningful comparison between historical, present and future periods. There were no special items in the 2011 periods.</w:t>
      </w:r>
    </w:p>
    <w:p>
      <w:pPr>
        <w:spacing w:after="0" w:line="95"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252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477,712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418,808</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286,475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387,260</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351,118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4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71,185</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60" w:type="dxa"/>
            <w:vAlign w:val="bottom"/>
            <w:vMerge w:val="restart"/>
          </w:tcPr>
          <w:p>
            <w:pPr>
              <w:jc w:val="right"/>
              <w:ind w:right="3352"/>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gridSpan w:val="3"/>
          </w:tcPr>
          <w:p>
            <w:pPr>
              <w:jc w:val="center"/>
              <w:ind w:right="204"/>
              <w:spacing w:after="0"/>
              <w:rPr>
                <w:sz w:val="20"/>
                <w:szCs w:val="20"/>
                <w:color w:val="auto"/>
              </w:rPr>
            </w:pPr>
            <w:r>
              <w:rPr>
                <w:rFonts w:ascii="Arial" w:cs="Arial" w:eastAsia="Arial" w:hAnsi="Arial"/>
                <w:sz w:val="14"/>
                <w:szCs w:val="14"/>
                <w:b w:val="1"/>
                <w:bCs w:val="1"/>
                <w:color w:val="auto"/>
                <w:w w:val="88"/>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6"/>
              <w:spacing w:after="0" w:line="136"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U.S. GAAP</w:t>
            </w:r>
          </w:p>
        </w:tc>
        <w:tc>
          <w:tcPr>
            <w:tcW w:w="1220" w:type="dxa"/>
            <w:vAlign w:val="bottom"/>
            <w:gridSpan w:val="2"/>
          </w:tcPr>
          <w:p>
            <w:pPr>
              <w:jc w:val="center"/>
              <w:ind w:right="492"/>
              <w:spacing w:after="0" w:line="149" w:lineRule="exact"/>
              <w:rPr>
                <w:sz w:val="20"/>
                <w:szCs w:val="20"/>
                <w:color w:val="auto"/>
              </w:rPr>
            </w:pPr>
            <w:r>
              <w:rPr>
                <w:rFonts w:ascii="Arial" w:cs="Arial" w:eastAsia="Arial" w:hAnsi="Arial"/>
                <w:sz w:val="14"/>
                <w:szCs w:val="14"/>
                <w:b w:val="1"/>
                <w:bCs w:val="1"/>
                <w:color w:val="auto"/>
                <w:w w:val="92"/>
              </w:rPr>
              <w:t>U.S. GAAP</w:t>
            </w: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Impact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77"/>
              </w:rPr>
              <w:t>As</w:t>
            </w:r>
          </w:p>
        </w:tc>
        <w:tc>
          <w:tcPr>
            <w:tcW w:w="122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9"/>
              </w:rPr>
              <w:t>As</w:t>
            </w: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1"/>
              </w:rPr>
              <w:t>Special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Reported</w:t>
            </w:r>
          </w:p>
        </w:tc>
        <w:tc>
          <w:tcPr>
            <w:tcW w:w="1220" w:type="dxa"/>
            <w:vAlign w:val="bottom"/>
            <w:gridSpan w:val="2"/>
          </w:tcPr>
          <w:p>
            <w:pPr>
              <w:jc w:val="center"/>
              <w:ind w:right="492"/>
              <w:spacing w:after="0"/>
              <w:rPr>
                <w:sz w:val="20"/>
                <w:szCs w:val="20"/>
                <w:color w:val="auto"/>
              </w:rPr>
            </w:pPr>
            <w:r>
              <w:rPr>
                <w:rFonts w:ascii="Arial" w:cs="Arial" w:eastAsia="Arial" w:hAnsi="Arial"/>
                <w:sz w:val="14"/>
                <w:szCs w:val="14"/>
                <w:b w:val="1"/>
                <w:bCs w:val="1"/>
                <w:color w:val="auto"/>
                <w:w w:val="87"/>
              </w:rPr>
              <w:t>Reported</w:t>
            </w:r>
          </w:p>
        </w:tc>
        <w:tc>
          <w:tcPr>
            <w:tcW w:w="90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Items (a)</w:t>
            </w:r>
          </w:p>
        </w:tc>
        <w:tc>
          <w:tcPr>
            <w:tcW w:w="2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Special Items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3"/>
          </w:tcPr>
          <w:p>
            <w:pPr>
              <w:jc w:val="center"/>
              <w:ind w:right="204"/>
              <w:spacing w:after="0"/>
              <w:rPr>
                <w:sz w:val="20"/>
                <w:szCs w:val="20"/>
                <w:color w:val="auto"/>
              </w:rPr>
            </w:pPr>
            <w:r>
              <w:rPr>
                <w:rFonts w:ascii="Arial" w:cs="Arial" w:eastAsia="Arial" w:hAnsi="Arial"/>
                <w:sz w:val="14"/>
                <w:szCs w:val="14"/>
                <w:b w:val="1"/>
                <w:bCs w:val="1"/>
                <w:color w:val="auto"/>
                <w:w w:val="85"/>
              </w:rPr>
              <w:t>($ in thousands)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5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915,925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856,755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856,755</w:t>
            </w:r>
          </w:p>
        </w:tc>
        <w:tc>
          <w:tcPr>
            <w:tcW w:w="0" w:type="dxa"/>
            <w:vAlign w:val="bottom"/>
          </w:tcPr>
          <w:p>
            <w:pPr>
              <w:spacing w:after="0"/>
              <w:rPr>
                <w:sz w:val="1"/>
                <w:szCs w:val="1"/>
                <w:color w:val="auto"/>
              </w:rPr>
            </w:pPr>
          </w:p>
        </w:tc>
      </w:tr>
      <w:tr>
        <w:trPr>
          <w:trHeight w:val="290"/>
        </w:trPr>
        <w:tc>
          <w:tcPr>
            <w:tcW w:w="6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556,471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w w:val="92"/>
              </w:rPr>
              <w:t>$24,860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Non-compensation</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191,926</w:t>
            </w:r>
          </w:p>
        </w:tc>
        <w:tc>
          <w:tcPr>
            <w:tcW w:w="680" w:type="dxa"/>
            <w:vAlign w:val="bottom"/>
          </w:tcPr>
          <w:p>
            <w:pPr>
              <w:jc w:val="right"/>
              <w:spacing w:after="0"/>
              <w:rPr>
                <w:sz w:val="20"/>
                <w:szCs w:val="20"/>
                <w:color w:val="auto"/>
              </w:rPr>
            </w:pPr>
            <w:r>
              <w:rPr>
                <w:rFonts w:ascii="Arial" w:cs="Arial" w:eastAsia="Arial" w:hAnsi="Arial"/>
                <w:sz w:val="18"/>
                <w:szCs w:val="18"/>
                <w:color w:val="auto"/>
              </w:rPr>
              <w:t>169,573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87,108</w:t>
            </w:r>
          </w:p>
        </w:tc>
        <w:tc>
          <w:tcPr>
            <w:tcW w:w="540" w:type="dxa"/>
            <w:vAlign w:val="bottom"/>
          </w:tcPr>
          <w:p>
            <w:pPr>
              <w:spacing w:after="0"/>
              <w:rPr>
                <w:sz w:val="18"/>
                <w:szCs w:val="18"/>
                <w:color w:val="auto"/>
              </w:rPr>
            </w:pPr>
          </w:p>
        </w:tc>
        <w:tc>
          <w:tcPr>
            <w:tcW w:w="900" w:type="dxa"/>
            <w:vAlign w:val="bottom"/>
          </w:tcPr>
          <w:p>
            <w:pPr>
              <w:jc w:val="right"/>
              <w:ind w:right="204"/>
              <w:spacing w:after="0"/>
              <w:rPr>
                <w:sz w:val="20"/>
                <w:szCs w:val="20"/>
                <w:color w:val="auto"/>
              </w:rPr>
            </w:pPr>
            <w:r>
              <w:rPr>
                <w:rFonts w:ascii="Arial" w:cs="Arial" w:eastAsia="Arial" w:hAnsi="Arial"/>
                <w:sz w:val="18"/>
                <w:szCs w:val="18"/>
                <w:color w:val="auto"/>
              </w:rPr>
              <w:t>87,108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751,577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823,613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711,645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164,348</w:t>
            </w:r>
          </w:p>
        </w:tc>
        <w:tc>
          <w:tcPr>
            <w:tcW w:w="680" w:type="dxa"/>
            <w:vAlign w:val="bottom"/>
          </w:tcPr>
          <w:p>
            <w:pPr>
              <w:jc w:val="right"/>
              <w:spacing w:after="0"/>
              <w:rPr>
                <w:sz w:val="20"/>
                <w:szCs w:val="20"/>
                <w:color w:val="auto"/>
              </w:rPr>
            </w:pPr>
            <w:r>
              <w:rPr>
                <w:rFonts w:ascii="Arial" w:cs="Arial" w:eastAsia="Arial" w:hAnsi="Arial"/>
                <w:sz w:val="18"/>
                <w:szCs w:val="18"/>
                <w:color w:val="auto"/>
              </w:rPr>
              <w:t>33,142</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145,110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(7,043)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25,623</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140,242</w:t>
            </w:r>
          </w:p>
        </w:tc>
        <w:tc>
          <w:tcPr>
            <w:tcW w:w="680" w:type="dxa"/>
            <w:vAlign w:val="bottom"/>
          </w:tcPr>
          <w:p>
            <w:pPr>
              <w:jc w:val="right"/>
              <w:spacing w:after="0"/>
              <w:rPr>
                <w:sz w:val="20"/>
                <w:szCs w:val="20"/>
                <w:color w:val="auto"/>
              </w:rPr>
            </w:pPr>
            <w:r>
              <w:rPr>
                <w:rFonts w:ascii="Arial" w:cs="Arial" w:eastAsia="Arial" w:hAnsi="Arial"/>
                <w:sz w:val="18"/>
                <w:szCs w:val="18"/>
                <w:color w:val="auto"/>
              </w:rPr>
              <w:t>14,562</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119,487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133,450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11,723</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19 of Notes to Condensed Consolidated Financial Statements.</w:t>
      </w:r>
    </w:p>
    <w:p>
      <w:pPr>
        <w:spacing w:after="0" w:line="19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compensation and benefits expense and non-compensation expense, and related key ratios, non-U.S. GAAP measures used by the Company to manage total compensation and benefits expense and non-compensation expense. Management believes such non-GAAP measures provide the most meaningful basis for comparison between present, historical and future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$502,041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$444,006</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$964,578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$908,622</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(970)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(1,987)</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(2,034)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(4,546)</w:t>
            </w: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(2,798)</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(11,288)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(7,137)</w:t>
            </w:r>
          </w:p>
        </w:tc>
      </w:tr>
      <w:tr>
        <w:trPr>
          <w:trHeight w:val="222"/>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493,209</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439,221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951,256</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896,939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June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31,</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7"/>
          </w:tcPr>
          <w:p>
            <w:pPr>
              <w:jc w:val="right"/>
              <w:ind w:right="9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$286,475</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$263,018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$556,471</w:t>
            </w:r>
          </w:p>
        </w:tc>
        <w:tc>
          <w:tcPr>
            <w:tcW w:w="4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2010 special item</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 related to noncontrolling interests (a)</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12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(1,913)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color w:val="auto"/>
              </w:rPr>
              <w:t>Adjusted compensation and benefits expense</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285,640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262,186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554,558</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536,833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26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4"/>
                <w:szCs w:val="24"/>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2"/>
              </w:rPr>
              <w:t>June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5"/>
              </w:rPr>
              <w:t>June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7"/>
          </w:tcPr>
          <w:p>
            <w:pPr>
              <w:jc w:val="right"/>
              <w:ind w:right="96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Non-compensation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$99,079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$86,331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26"/>
              <w:spacing w:after="0"/>
              <w:rPr>
                <w:sz w:val="20"/>
                <w:szCs w:val="20"/>
                <w:color w:val="auto"/>
              </w:rPr>
            </w:pPr>
            <w:r>
              <w:rPr>
                <w:rFonts w:ascii="Arial" w:cs="Arial" w:eastAsia="Arial" w:hAnsi="Arial"/>
                <w:sz w:val="18"/>
                <w:szCs w:val="18"/>
                <w:color w:val="auto"/>
                <w:w w:val="93"/>
              </w:rPr>
              <w:t>$191,926</w:t>
            </w:r>
          </w:p>
        </w:tc>
        <w:tc>
          <w:tcPr>
            <w:tcW w:w="4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Amount related to noncontrolling interests (a)</w:t>
            </w:r>
          </w:p>
        </w:tc>
        <w:tc>
          <w:tcPr>
            <w:tcW w:w="840" w:type="dxa"/>
            <w:vAlign w:val="bottom"/>
            <w:gridSpan w:val="3"/>
          </w:tcPr>
          <w:p>
            <w:pPr>
              <w:jc w:val="right"/>
              <w:ind w:right="66"/>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(658)</w:t>
            </w:r>
          </w:p>
        </w:tc>
        <w:tc>
          <w:tcPr>
            <w:tcW w:w="4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98,755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86,136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191,268</w:t>
            </w:r>
          </w:p>
        </w:tc>
        <w:tc>
          <w:tcPr>
            <w:tcW w:w="4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169,176</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3"/>
            <w:vMerge w:val="continue"/>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20.0</w:t>
            </w: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19.6</w:t>
            </w: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8"/>
                <w:szCs w:val="18"/>
                <w:color w:val="auto"/>
              </w:rPr>
              <w:t>20.1%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20" w:hanging="452"/>
        <w:spacing w:after="0" w:line="419" w:lineRule="auto"/>
        <w:tabs>
          <w:tab w:leader="none" w:pos="4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 Certain additional key ratios, statistics and headcount information for the 2011 and 2010 periods are set forth below:</w:t>
      </w:r>
    </w:p>
    <w:tbl>
      <w:tblPr>
        <w:tblLayout w:type="fixed"/>
        <w:tblInd w:w="0" w:type="dxa"/>
        <w:tblCellMar>
          <w:top w:w="0" w:type="dxa"/>
          <w:left w:w="0" w:type="dxa"/>
          <w:bottom w:w="0" w:type="dxa"/>
          <w:right w:w="0" w:type="dxa"/>
        </w:tblCellMar>
      </w:tblPr>
      <w:tr>
        <w:trPr>
          <w:trHeight w:val="150"/>
        </w:trPr>
        <w:tc>
          <w:tcPr>
            <w:tcW w:w="4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gridSpan w:val="11"/>
          </w:tcPr>
          <w:p>
            <w:pPr>
              <w:jc w:val="center"/>
              <w:ind w:right="640"/>
              <w:spacing w:after="0" w:line="150" w:lineRule="exact"/>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9"/>
          </w:tcPr>
          <w:p>
            <w:pPr>
              <w:jc w:val="center"/>
              <w:ind w:right="180"/>
              <w:spacing w:after="0" w:line="150"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9"/>
          </w:tcPr>
          <w:p>
            <w:pPr>
              <w:jc w:val="center"/>
              <w:ind w:right="110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780" w:type="dxa"/>
            <w:vAlign w:val="bottom"/>
          </w:tcPr>
          <w:p>
            <w:pPr>
              <w:spacing w:after="0"/>
              <w:rPr>
                <w:sz w:val="12"/>
                <w:szCs w:val="12"/>
                <w:color w:val="auto"/>
              </w:rPr>
            </w:pPr>
          </w:p>
        </w:tc>
        <w:tc>
          <w:tcPr>
            <w:tcW w:w="52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82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0"/>
              </w:rPr>
              <w:t>As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20" w:type="dxa"/>
            <w:vAlign w:val="bottom"/>
            <w:gridSpan w:val="8"/>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5"/>
          </w:tcPr>
          <w:p>
            <w:pPr>
              <w:jc w:val="center"/>
              <w:ind w:left="116"/>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1,146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1,106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2,386</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2,332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2,292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vMerge w:val="restart"/>
          </w:tcPr>
          <w:p>
            <w:pPr>
              <w:jc w:val="right"/>
              <w:ind w:right="1452"/>
              <w:spacing w:after="0"/>
              <w:rPr>
                <w:sz w:val="20"/>
                <w:szCs w:val="20"/>
                <w:color w:val="auto"/>
              </w:rPr>
            </w:pPr>
            <w:r>
              <w:rPr>
                <w:rFonts w:ascii="Arial" w:cs="Arial" w:eastAsia="Arial" w:hAnsi="Arial"/>
                <w:sz w:val="18"/>
                <w:szCs w:val="18"/>
                <w:color w:val="auto"/>
              </w:rPr>
              <w:t>45</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special items had a significant impact on the Company’s reported operating results for the six month period of 2010.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$71 million, as compared to net income of $54 million in the 2010 period. The changes in the Company’s operating results during these periods are described below.</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Net revenue and operating revenue increased by $59 million, or 14%, and $54 million, or 12%, respectively, as compared to the 2010 period. Fees from investment banking and other advisory activities declined $2 million, or 1%, and were principally driven by a decline in Restructuring fee revenues, substantially offset by increases in M&amp;A and Strategic Advisory and Capital Markets Advisory revenues. The decline in Restructuring revenue reflects a reduction in restructuring activity as the economy improved and the number of corporate debt defaults declined. Money management fees, including incentive fees, increased $50 million, or 28%, principally due to a $32 billion, or 25%, increase in average AUM for the 2011 period, which resulted from market appreciation and net inflows during the last twelve months, and a favorable change in the mix of AUM into higher margin equity products, partially offset by lower incentive fees earned on traditional long-only products in the 2011 period. Other revenue increased $10 million, or 90%, primarily due to increases in underwriting fees, foreign exchange remeasurement and higher commission revenue. Interest expense decreased $1 million, or 3%.</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Compensation and benefits expense was $286 million as compared to $263 million in the 2010 period, an increase of $23 million, or 9%, with the rate of increase being consistent with the Company’s goal to grow compensation expense at a slower rate than revenues.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Non-compensation expense increased $13 million, or 15%. The increase in non-compensation expense was primarily due to increases related to technology and business development expenses, and the adverse impact of the weakening of the U.S. dollar versus foreign currencies, as well as fund administration expenses related to the growth in AUM.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Operating income was $90 million, an increase of $22 million, as compared to operating income of $68 million in the 2010 period and, as a percentage of net revenue, was 19% as compared to 16% in the 2010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was $14 million, substantially unchanged from the 2010 period.</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income attributable to noncontrolling interests increased $5 million as compared to the 2010 period, principally due to increases relating to Edgewater in the 2011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reported net income attributable to Lazard Group of $133 million, as compared to net income of $12 million in the 2010 period. The Company’s results in the 2010 period were adversely affected by the 2010 special items, which served to decrease the net income attributable to Lazard Group by $104 million. Excluding the after-tax impact of the 2010 special items, net income attributable to Lazard Group in the 2011 period increased $17 million, or 14%, as compared to the 2010 period. The changes in the Company’s operating results during these periods are described below.</w:t>
      </w:r>
    </w:p>
    <w:p>
      <w:pPr>
        <w:spacing w:after="0" w:line="9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and operating revenue increased $59 million, or 7%, and $54 million, or 6%, respectively, as compared to the 2010 period. Fees from investment banking and other advisory activities declined $51 million, or 10%, and were principally driven by a decline in Restructuring fee revenues, partially offset by increases in M&amp;A and Strategic Advisory and Capital Markets Advisory revenues. The decline in Restructuring revenue reflects a reduction in restructuring activity as the economy improved and the number of corporate debt defaults declined. Money management fees, including incentive fees, increased $88 million, or 24%, principally due to a $30 billion, or 23%, increase in average AUM for the 2011 period, which resulted from market appreciation and net inflows during the last twelve months, and a favorable change in the mix of AUM into higher margin equity products, partially offset by lower incentive fees earned on traditional long-only products in the 2011 period. Other revenue increased $20 million, or 84%, and included an $8 million increase in underwriting fees, a $6 million increase in foreign exchange gains (as compared to losses in the 2010 period), a $3 million increase in investment income and higher commission revenue. Interest expense decreased $3 million, or 6%.</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and benefits expense was $556 million as compared to $563 million in the 2010 period. When excluding the 2010 special item of $25 million related to the accelerated amortization expense recognized in connection with the vesting of share-based incentive awards related to the amendment of the Company’s retirement policy, compensation and benefits expense increased $18 million, or 3%, with the rate of increase being consistent with the Company’s goal to grow compensation expense at a slower rate than revenues.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Non-compensation expense increased $22 million, or 13%. The increase in non-compensation expense was primarily due to increases related to technology and business development expenses, and the adverse impact of the weakening of the U.S. dollar versus foreign currencies, as well as fund administration expenses related to the growth in AUM.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income was $164 million, an increase of $131 million, as compared to operating income of $33 million in the 2010 period (with such latter amount including the impact of the 2010 special items) and, as a percentage of net revenue, was 18% as compared to 4% in the 2010 period. Excluding the impact of the 2010 special items, operating income in the 2011 period increased $19 million, or 13%, as compared to operating income of $145 million in the 2010 period, and, as a percentage of net revenue, was 18%, as compared to 17% in the 2010 period.</w:t>
      </w:r>
    </w:p>
    <w:p>
      <w:pPr>
        <w:spacing w:after="0" w:line="13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provision for income taxes was $24 million, an increase of $5 million as compared to the 2010 period. When excluding the tax benefit of $7 million related to the 2010 special items, the income tax provision in the 2011 period decreased $2 million as compared to the 2010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Net income attributable to noncontrolling interests increased $4 million as compared to the 2010 period, principally due to an increase relating to Edgewater in the 2011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for the six month period of 2010 are presented, as applicable, on an “as reported” and “excluding special items” basis (see Note 19 of Notes to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tables summarize the operating results of the Financial Advisory segment for the 2011 and 2010 periods. Operating results for the six month period of 2010 are shown before and after the charge attributable to the Financial Advisory segment related to the 2010 special item.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5"/>
              </w:rPr>
              <w:t>$170,568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30,290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8"/>
              </w:rPr>
              <w:t>200,858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rPr>
              <w:t>48,333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8"/>
              </w:rPr>
              <w:t>249,191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Expenses (c)</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2"/>
          </w:tcPr>
          <w:p>
            <w:pPr>
              <w:jc w:val="right"/>
              <w:ind w:right="572"/>
              <w:spacing w:after="0"/>
              <w:rPr>
                <w:sz w:val="20"/>
                <w:szCs w:val="20"/>
                <w:color w:val="auto"/>
              </w:rPr>
            </w:pPr>
            <w:r>
              <w:rPr>
                <w:rFonts w:ascii="Arial" w:cs="Arial" w:eastAsia="Arial" w:hAnsi="Arial"/>
                <w:sz w:val="18"/>
                <w:szCs w:val="18"/>
                <w:color w:val="auto"/>
                <w:w w:val="98"/>
              </w:rPr>
              <w:t>214,217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1"/>
              </w:rPr>
              <w:t>$ 34,974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32,073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center"/>
              <w:ind w:right="712"/>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U.S. GAAP</w:t>
            </w:r>
          </w:p>
        </w:tc>
        <w:tc>
          <w:tcPr>
            <w:tcW w:w="320" w:type="dxa"/>
            <w:vAlign w:val="bottom"/>
          </w:tcPr>
          <w:p>
            <w:pPr>
              <w:spacing w:after="0"/>
              <w:rPr>
                <w:sz w:val="12"/>
                <w:szCs w:val="12"/>
                <w:color w:val="auto"/>
              </w:rPr>
            </w:pPr>
          </w:p>
        </w:tc>
        <w:tc>
          <w:tcPr>
            <w:tcW w:w="1460" w:type="dxa"/>
            <w:vAlign w:val="bottom"/>
            <w:gridSpan w:val="2"/>
          </w:tcPr>
          <w:p>
            <w:pPr>
              <w:jc w:val="center"/>
              <w:ind w:right="692"/>
              <w:spacing w:after="0" w:line="149" w:lineRule="exact"/>
              <w:rPr>
                <w:sz w:val="20"/>
                <w:szCs w:val="20"/>
                <w:color w:val="auto"/>
              </w:rPr>
            </w:pPr>
            <w:r>
              <w:rPr>
                <w:rFonts w:ascii="Arial" w:cs="Arial" w:eastAsia="Arial" w:hAnsi="Arial"/>
                <w:sz w:val="14"/>
                <w:szCs w:val="14"/>
                <w:b w:val="1"/>
                <w:bCs w:val="1"/>
                <w:color w:val="auto"/>
                <w:w w:val="92"/>
              </w:rPr>
              <w:t>U.S. GAAP</w:t>
            </w:r>
          </w:p>
        </w:tc>
        <w:tc>
          <w:tcPr>
            <w:tcW w:w="130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86"/>
              </w:rPr>
              <w:t>Impact of</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2"/>
                <w:szCs w:val="12"/>
                <w:color w:val="auto"/>
              </w:rPr>
            </w:pPr>
          </w:p>
        </w:tc>
        <w:tc>
          <w:tcPr>
            <w:tcW w:w="1460" w:type="dxa"/>
            <w:vAlign w:val="bottom"/>
            <w:gridSpan w:val="2"/>
          </w:tcPr>
          <w:p>
            <w:pPr>
              <w:jc w:val="center"/>
              <w:ind w:right="732"/>
              <w:spacing w:after="0" w:line="149" w:lineRule="exact"/>
              <w:rPr>
                <w:sz w:val="20"/>
                <w:szCs w:val="20"/>
                <w:color w:val="auto"/>
              </w:rPr>
            </w:pPr>
            <w:r>
              <w:rPr>
                <w:rFonts w:ascii="Arial" w:cs="Arial" w:eastAsia="Arial" w:hAnsi="Arial"/>
                <w:sz w:val="14"/>
                <w:szCs w:val="14"/>
                <w:b w:val="1"/>
                <w:bCs w:val="1"/>
                <w:color w:val="auto"/>
                <w:w w:val="77"/>
              </w:rPr>
              <w:t>As</w:t>
            </w:r>
          </w:p>
        </w:tc>
        <w:tc>
          <w:tcPr>
            <w:tcW w:w="130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85"/>
              </w:rPr>
              <w:t>Special</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146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7"/>
              </w:rPr>
              <w:t>Reported</w:t>
            </w:r>
          </w:p>
        </w:tc>
        <w:tc>
          <w:tcPr>
            <w:tcW w:w="130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92"/>
              </w:rPr>
              <w:t>Item (a)</w:t>
            </w: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Item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6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334,320</w:t>
            </w:r>
          </w:p>
        </w:tc>
        <w:tc>
          <w:tcPr>
            <w:tcW w:w="4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$ 293,411</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$ 293,411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59,826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40,991</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394,146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334,402</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83,890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180,067</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180,067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478,036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514,469</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Expenses (c)</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427,783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451,700</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$19,571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432,129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50,253</w:t>
            </w:r>
          </w:p>
        </w:tc>
        <w:tc>
          <w:tcPr>
            <w:tcW w:w="4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$ 62,769</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82,340</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780" w:type="dxa"/>
            <w:vAlign w:val="bottom"/>
            <w:gridSpan w:val="3"/>
          </w:tcPr>
          <w:p>
            <w:pPr>
              <w:jc w:val="right"/>
              <w:ind w:right="572"/>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40" w:type="dxa"/>
            <w:vAlign w:val="bottom"/>
            <w:vMerge w:val="restart"/>
          </w:tcPr>
          <w:p>
            <w:pPr>
              <w:jc w:val="right"/>
              <w:ind w:right="432"/>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20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440" w:type="dxa"/>
            <w:vAlign w:val="bottom"/>
            <w:gridSpan w:val="4"/>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(d):</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673</w:t>
            </w:r>
          </w:p>
        </w:tc>
        <w:tc>
          <w:tcPr>
            <w:tcW w:w="6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19 of Notes to Condensed Consolidated Financial Statements).</w:t>
      </w: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49</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35</w:t>
            </w:r>
          </w:p>
        </w:tc>
        <w:tc>
          <w:tcPr>
            <w:tcW w:w="160" w:type="dxa"/>
            <w:vAlign w:val="bottom"/>
          </w:tcPr>
          <w:p>
            <w:pPr>
              <w:spacing w:after="0"/>
              <w:rPr>
                <w:sz w:val="18"/>
                <w:szCs w:val="18"/>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38%</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16</w:t>
            </w:r>
          </w:p>
        </w:tc>
        <w:tc>
          <w:tcPr>
            <w:tcW w:w="160" w:type="dxa"/>
            <w:vAlign w:val="bottom"/>
          </w:tcPr>
          <w:p>
            <w:pPr>
              <w:spacing w:after="0"/>
              <w:rPr>
                <w:sz w:val="19"/>
                <w:szCs w:val="19"/>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color w:val="auto"/>
              </w:rPr>
              <w:t>9</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8,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00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320" w:type="dxa"/>
            <w:vAlign w:val="bottom"/>
            <w:vMerge w:val="restart"/>
          </w:tcPr>
          <w:p>
            <w:pPr>
              <w:jc w:val="right"/>
              <w:ind w:right="732"/>
              <w:spacing w:after="0"/>
              <w:rPr>
                <w:sz w:val="20"/>
                <w:szCs w:val="20"/>
                <w:color w:val="auto"/>
              </w:rPr>
            </w:pPr>
            <w:r>
              <w:rPr>
                <w:rFonts w:ascii="Arial" w:cs="Arial" w:eastAsia="Arial" w:hAnsi="Arial"/>
                <w:sz w:val="18"/>
                <w:szCs w:val="18"/>
                <w:color w:val="auto"/>
              </w:rPr>
              <w:t>49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316"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six month period of 2010. Lazard management believes that comparisons between periods are most meaningful after excluding the impact of such item.</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M&amp;A and Strategic Advisory, Capital Markets and Other Advisory net revenue, in the aggregate, increased $35 million, or 21%, as compared to the 2010 period, with M&amp;A and Strategic Advisory net revenue increasing $25 million, or 17%, and Capital Markets and Other Advisory net revenue increasing $10 million, or 50%. Partially offsetting these increases was a decline in Restructuring net revenue of $32 million, or 39%.</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transaction. Our major clients, which in the aggregate represented a significant portion of our M&amp;A and Strategic Advisory revenue in the second quarter of 2011, included Asda Stores, Caisse des Dépôts, Hilite International, Lazard Real Estate Partners’ Sale of Atria Senior Living Group, Mitsubishi UFJ Financial Group, Smurfit-Stone Container, Stirling Square Capital Partners and A2A, Vodafone and Wind Telecom.</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increase in Capital Markets and Other Advisory revenue principally reflected the increased value of fund closings by our Private Fund Advisory Group and increased underwriting fees from public offerings.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global restructuring activity, resulting in a decline in the number of active assignments in the 2011 period as compared to the corresponding prior year period, and a corresponding decrease in completion fees. Notable assignments completed in the second quarter of 2011 included Capmark Financial Group, Pfleiderer, Satélites Mexicanos and Station Casinos.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remained substantially unchanged as compared to the 2010 period.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Advisory operating income was $35 million, an increase of $3 million, as compared to operating income of $32 million in the 2010 period and, as a percentage of net revenue, was 14% as compared to 13% in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M&amp;A and Strategic Advisory, Capital Markets and Other Advisory net revenue, in the aggregate, increased $60 million, or 18%, as compared to the 2010 period, with M&amp;A and Strategic Advisory net revenue increasing $41 million, or 14%, and Capital Markets and Other Advisory net revenue increasing $19 million, or 46%. Offsetting these increases was a decline in Restructuring net revenue of $96 million, or 53%.</w:t>
      </w:r>
    </w:p>
    <w:p>
      <w:pPr>
        <w:spacing w:after="0" w:line="9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transaction. The increase in Capital Markets and Other Advisory revenue principally reflected the increased value of fund closings by our Private Fund Advisory Group and increased underwriting fees from public offerings.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global restructuring activity, resulting in a decline in the number of active assignments in the 2011 period as compared to the corresponding prior year period, and a corresponding decrease in completion fees.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Operating expenses decreased $24 million, or 5%, as compared to the 2010 period. Excluding the impact of the 2010 special item attributable to the Financial Advisory segment, operating expenses decreased $4 million, or 1%. The principal contributor to the decrease was a decline in compensation expense, partially offset by higher costs related to travel and other business development expenses.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Financial Advisory operating income was $50 million, a decrease of $13 million, as compared to operating income of $63 million in the 2010 period (with such latter amount including the impact of the 2010 special item) and, as a percentage of net revenue, was 11% as compared to 12% in 2010. Excluding the impact of the 2010 special item, operating income in the 2011 period decreased $32 million, as compared to operating income of $82 million in the 2010 period, and, as a percentage of net revenue, was 11%, as compared to 16%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79"/>
              </w:rPr>
              <w:t>As of</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left="41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33,348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Equities</w:t>
            </w:r>
          </w:p>
        </w:tc>
        <w:tc>
          <w:tcPr>
            <w:tcW w:w="5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22,039</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5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136,178</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5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12,764</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Fixed Income</w:t>
            </w:r>
          </w:p>
        </w:tc>
        <w:tc>
          <w:tcPr>
            <w:tcW w:w="5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5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17,939</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5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5,877</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Cash Management</w:t>
            </w:r>
          </w:p>
        </w:tc>
        <w:tc>
          <w:tcPr>
            <w:tcW w:w="5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161,597</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040" w:type="dxa"/>
            <w:vAlign w:val="bottom"/>
            <w:vMerge w:val="restart"/>
          </w:tcPr>
          <w:p>
            <w:pPr>
              <w:jc w:val="right"/>
              <w:ind w:right="3432"/>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$ 161,024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$ 129,227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$ 159,129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$ 129,333</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AUM at June 30, 2011 increased $6 billion, or 4%, as compared to that at December 31, 2010. Average AUM for the three month and six month periods in 2011 was 25% and 23% higher, respectively, than the average AUM for the corresponding periods in 2010, principally the result of market appreciation (which was generally consistent with the industry as a whole) and net inflows occurring during the six month period ended December 31, 2010. International, Global and U.S. equities represented 21%, 50% and 14% of total AUM at June 30, 2011, unchanged versus December 31, 2010.</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of June 30, 2011, AUM denominated in foreign currencies represented approximately 47% of our total AUM, as compared to 45% at December 31, 2010.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1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$160,451</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$134,972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$129,543</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2,064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123,483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161,597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inflows of $5,310 and $9,275 and outflows of $5,637 and $7,211 for the three month periods in 2011 and 2010, respectively, and inflows of $11,075 and $18,281 and outflows of $10,707 and $13,250 for the six month periods in 2011 and 2010,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Inflows in the first half of 2011 were principally in Global Equities due to increased investments in existing accounts, as well as new accounts gained.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Outflows in the period occurred primarily in Global and International Equities and, to a lesser extent, certain International and Fixed Income products.</w:t>
      </w:r>
    </w:p>
    <w:p>
      <w:pPr>
        <w:spacing w:after="0" w:line="17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of July 22, 2011, AUM was $162.7 billion, a $1.1 billion increase since June 30, 2011. The change in AUM was due to market/foreign exchange appreciation of $1.8 billion and net outflows of $0.7 billion. Market appreciation was approximately 1% of AUM since June 30, 2011, which was generally consistent with the increase in global market indices during that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summarize the operating results of the Asset Management segment. Operating results for the six month period of 2010 are shown before and after the charge attributable to the Asset Management segment related to the 2010 special item.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center"/>
              <w:ind w:right="2"/>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$221,217</w:t>
            </w:r>
          </w:p>
        </w:tc>
        <w:tc>
          <w:tcPr>
            <w:tcW w:w="260" w:type="dxa"/>
            <w:vAlign w:val="bottom"/>
          </w:tcPr>
          <w:p>
            <w:pPr>
              <w:spacing w:after="0"/>
              <w:rPr>
                <w:sz w:val="18"/>
                <w:szCs w:val="18"/>
                <w:color w:val="auto"/>
              </w:rPr>
            </w:pP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$166,987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244,855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189,414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 (c)</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160,914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136,886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$ 83,941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gridSpan w:val="6"/>
          </w:tcPr>
          <w:p>
            <w:pPr>
              <w:jc w:val="center"/>
              <w:ind w:right="772"/>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jc w:val="center"/>
              <w:ind w:right="412"/>
              <w:spacing w:after="0" w:line="12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tcPr>
          <w:p>
            <w:pPr>
              <w:jc w:val="center"/>
              <w:ind w:right="172"/>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U.S. GAAP</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11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2"/>
                <w:szCs w:val="12"/>
                <w:color w:val="auto"/>
              </w:rPr>
            </w:pPr>
          </w:p>
        </w:tc>
        <w:tc>
          <w:tcPr>
            <w:tcW w:w="1440" w:type="dxa"/>
            <w:vAlign w:val="bottom"/>
            <w:gridSpan w:val="3"/>
          </w:tcPr>
          <w:p>
            <w:pPr>
              <w:jc w:val="right"/>
              <w:ind w:right="692"/>
              <w:spacing w:after="0" w:line="149" w:lineRule="exact"/>
              <w:rPr>
                <w:sz w:val="20"/>
                <w:szCs w:val="20"/>
                <w:color w:val="auto"/>
              </w:rPr>
            </w:pPr>
            <w:r>
              <w:rPr>
                <w:rFonts w:ascii="Arial" w:cs="Arial" w:eastAsia="Arial" w:hAnsi="Arial"/>
                <w:sz w:val="14"/>
                <w:szCs w:val="14"/>
                <w:b w:val="1"/>
                <w:bCs w:val="1"/>
                <w:color w:val="auto"/>
                <w:w w:val="92"/>
              </w:rPr>
              <w:t>U.S. GAAP</w:t>
            </w:r>
          </w:p>
        </w:tc>
        <w:tc>
          <w:tcPr>
            <w:tcW w:w="116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90"/>
              </w:rPr>
              <w:t>Item</w:t>
            </w:r>
          </w:p>
        </w:tc>
        <w:tc>
          <w:tcPr>
            <w:tcW w:w="120" w:type="dxa"/>
            <w:vAlign w:val="bottom"/>
          </w:tcPr>
          <w:p>
            <w:pPr>
              <w:spacing w:after="0"/>
              <w:rPr>
                <w:sz w:val="12"/>
                <w:szCs w:val="12"/>
                <w:color w:val="auto"/>
              </w:rPr>
            </w:pPr>
          </w:p>
        </w:tc>
        <w:tc>
          <w:tcPr>
            <w:tcW w:w="11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4"/>
                <w:szCs w:val="14"/>
                <w:color w:val="auto"/>
              </w:rPr>
            </w:pPr>
          </w:p>
        </w:tc>
        <w:tc>
          <w:tcPr>
            <w:tcW w:w="144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w w:val="84"/>
              </w:rPr>
              <w:t>As Reported</w:t>
            </w:r>
          </w:p>
        </w:tc>
        <w:tc>
          <w:tcPr>
            <w:tcW w:w="220" w:type="dxa"/>
            <w:vAlign w:val="bottom"/>
          </w:tcPr>
          <w:p>
            <w:pPr>
              <w:spacing w:after="0"/>
              <w:rPr>
                <w:sz w:val="14"/>
                <w:szCs w:val="14"/>
                <w:color w:val="auto"/>
              </w:rPr>
            </w:pPr>
          </w:p>
        </w:tc>
        <w:tc>
          <w:tcPr>
            <w:tcW w:w="940" w:type="dxa"/>
            <w:vAlign w:val="bottom"/>
            <w:gridSpan w:val="3"/>
          </w:tcPr>
          <w:p>
            <w:pPr>
              <w:jc w:val="center"/>
              <w:ind w:right="632"/>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Special Item (b)</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6"/>
          </w:tcPr>
          <w:p>
            <w:pPr>
              <w:jc w:val="center"/>
              <w:ind w:right="772"/>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$427,985</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$ 328,783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328,783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11,477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32,246</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21,962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377,167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 (c)</w:t>
            </w:r>
          </w:p>
        </w:tc>
        <w:tc>
          <w:tcPr>
            <w:tcW w:w="1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310,118</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266,326</w:t>
            </w:r>
          </w:p>
        </w:tc>
        <w:tc>
          <w:tcPr>
            <w:tcW w:w="720" w:type="dxa"/>
            <w:vAlign w:val="bottom"/>
          </w:tcPr>
          <w:p>
            <w:pPr>
              <w:spacing w:after="0"/>
              <w:rPr>
                <w:sz w:val="19"/>
                <w:szCs w:val="19"/>
                <w:color w:val="auto"/>
              </w:rPr>
            </w:pPr>
          </w:p>
        </w:tc>
        <w:tc>
          <w:tcPr>
            <w:tcW w:w="800" w:type="dxa"/>
            <w:vAlign w:val="bottom"/>
            <w:gridSpan w:val="2"/>
          </w:tcPr>
          <w:p>
            <w:pPr>
              <w:jc w:val="center"/>
              <w:ind w:right="43"/>
              <w:spacing w:after="0"/>
              <w:rPr>
                <w:sz w:val="20"/>
                <w:szCs w:val="20"/>
                <w:color w:val="auto"/>
              </w:rPr>
            </w:pPr>
            <w:r>
              <w:rPr>
                <w:rFonts w:ascii="Arial" w:cs="Arial" w:eastAsia="Arial" w:hAnsi="Arial"/>
                <w:sz w:val="18"/>
                <w:szCs w:val="18"/>
                <w:color w:val="auto"/>
                <w:w w:val="93"/>
              </w:rPr>
              <w:t>$ 2,902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263,424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$161,590</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$ 110,841</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113,743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3"/>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20" w:type="dxa"/>
            <w:vAlign w:val="bottom"/>
            <w:gridSpan w:val="3"/>
            <w:vMerge w:val="continue"/>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34%</w:t>
            </w:r>
          </w:p>
        </w:tc>
        <w:tc>
          <w:tcPr>
            <w:tcW w:w="1480" w:type="dxa"/>
            <w:vAlign w:val="bottom"/>
            <w:gridSpan w:val="4"/>
          </w:tcPr>
          <w:p>
            <w:pPr>
              <w:jc w:val="right"/>
              <w:ind w:right="512"/>
              <w:spacing w:after="0" w:line="201"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vMerge w:val="restart"/>
          </w:tcPr>
          <w:p>
            <w:pPr>
              <w:jc w:val="center"/>
              <w:ind w:right="492"/>
              <w:spacing w:after="0"/>
              <w:rPr>
                <w:sz w:val="20"/>
                <w:szCs w:val="20"/>
                <w:color w:val="auto"/>
              </w:rPr>
            </w:pPr>
            <w:r>
              <w:rPr>
                <w:rFonts w:ascii="Arial" w:cs="Arial" w:eastAsia="Arial" w:hAnsi="Arial"/>
                <w:sz w:val="14"/>
                <w:szCs w:val="14"/>
                <w:b w:val="1"/>
                <w:bCs w:val="1"/>
                <w:color w:val="auto"/>
                <w:w w:val="90"/>
              </w:rPr>
              <w:t>As Of</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4"/>
          </w:tcPr>
          <w:p>
            <w:pPr>
              <w:jc w:val="right"/>
              <w:ind w:right="932"/>
              <w:spacing w:after="0" w:line="129" w:lineRule="exact"/>
              <w:rPr>
                <w:sz w:val="20"/>
                <w:szCs w:val="20"/>
                <w:color w:val="auto"/>
              </w:rPr>
            </w:pPr>
            <w:r>
              <w:rPr>
                <w:rFonts w:ascii="Arial" w:cs="Arial" w:eastAsia="Arial" w:hAnsi="Arial"/>
                <w:sz w:val="14"/>
                <w:szCs w:val="14"/>
                <w:b w:val="1"/>
                <w:bCs w:val="1"/>
                <w:color w:val="auto"/>
                <w:w w:val="82"/>
              </w:rPr>
              <w:t>June 30,</w:t>
            </w:r>
          </w:p>
        </w:tc>
        <w:tc>
          <w:tcPr>
            <w:tcW w:w="1160" w:type="dxa"/>
            <w:vAlign w:val="bottom"/>
            <w:gridSpan w:val="4"/>
          </w:tcPr>
          <w:p>
            <w:pPr>
              <w:jc w:val="center"/>
              <w:ind w:right="27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(d):</w:t>
            </w:r>
          </w:p>
        </w:tc>
        <w:tc>
          <w:tcPr>
            <w:tcW w:w="1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19 of Notes to Condensed Consolidated Financial Statements).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2760" w:type="dxa"/>
            <w:vAlign w:val="bottom"/>
            <w:gridSpan w:val="5"/>
          </w:tcPr>
          <w:p>
            <w:pPr>
              <w:jc w:val="right"/>
              <w:ind w:right="1180"/>
              <w:spacing w:after="0" w:line="149"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6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right"/>
              <w:ind w:right="156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60" w:type="dxa"/>
            <w:vAlign w:val="bottom"/>
            <w:gridSpan w:val="3"/>
          </w:tcPr>
          <w:p>
            <w:pPr>
              <w:jc w:val="right"/>
              <w:ind w:right="84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six month period of 2010.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Asset Management net revenue increased $55 million, or 29%, as compared to the 2010 period. Management fees increased $54 million, or 32%, as compared to the 2010 period, driven primarily by a 25% increase in average AUM, due principally to the increase in equity market indices since June 30, 2010, and, to a lesser extent, a favorable change in the mix of AUM into higher margin equity products. Incentive fees, consisting of traditional long-only investment strategies, decreased $6 million, or 50%, as compared to the 2010 period. Other revenue increased $7 million, or 77%, as compared to the 2010 period, principally due to increased investment income and custody fees.</w:t>
      </w:r>
    </w:p>
    <w:p>
      <w:pPr>
        <w:spacing w:after="0" w:line="12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Operating expenses increased $24 million, or 18%, as compared to the 2010 period, principally due to higher compensation expense, as well as higher fees for fund administration and business development expenses for travel and market related data due to the increased level of business activity and AUM.</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Asset Management operating income was $84 million, an increase of $31 million, as compared to operating income of $53 million in the 2010 period and, as a percentage of net revenue, was 34% as compared to 28% in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Asset Management net revenue increased $95 million, or 25%, as compared to the 2010 period. Management fees increased $99 million, or 30%, as compared to the 2010 period, driven primarily by a 23% increase in average AUM, due principally to the increase in equity market indices since June 30, 2010, and, to a lesser extent, a favorable change in the mix of AUM into higher margin equity products. Incentive fees, consisting of traditional long-only investment strategies, decreased $15 million, or 57%, as compared to the 2010 period. Other revenue increased $10 million, or 47%, as compared to the 2010 period, principally due to increased investment and commission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Operating expenses increased $44 million, or 16%, as compared to the 2010 period. Excluding the impact of the 2010 special item attributable to the Asset Management segment, operating expenses increased $47 million, or 18%, principally due to higher compensation expense, as well as higher fees for fund administration and business development expenses for travel and market related data due to the increased level of business activity and AUM.</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Asset Management operating income was $162 million, an increase of $51 million, as compared to operating income of $111 million in the 2010 period (with such latter amount including the impact of the 2010 special item) and, as a percentage of net revenue, was 34% as compared to 29% in 2010. Excluding the impact of the 2010 special item, operating income in the 2011 period increased $48 million, as compared to operating income of $114 million in the 2010 period, and, as a percentage of net revenue, was 34%, as compared to 30%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3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3,513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(23,641)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(16,334)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(28,463)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(16,911)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6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U.S. GAAP</w:t>
            </w:r>
          </w:p>
        </w:tc>
        <w:tc>
          <w:tcPr>
            <w:tcW w:w="1500" w:type="dxa"/>
            <w:vAlign w:val="bottom"/>
            <w:gridSpan w:val="2"/>
          </w:tcPr>
          <w:p>
            <w:pPr>
              <w:jc w:val="center"/>
              <w:ind w:right="692"/>
              <w:spacing w:after="0" w:line="149" w:lineRule="exact"/>
              <w:rPr>
                <w:sz w:val="20"/>
                <w:szCs w:val="20"/>
                <w:color w:val="auto"/>
              </w:rPr>
            </w:pPr>
            <w:r>
              <w:rPr>
                <w:rFonts w:ascii="Arial" w:cs="Arial" w:eastAsia="Arial" w:hAnsi="Arial"/>
                <w:sz w:val="14"/>
                <w:szCs w:val="14"/>
                <w:b w:val="1"/>
                <w:bCs w:val="1"/>
                <w:color w:val="auto"/>
                <w:w w:val="92"/>
              </w:rPr>
              <w:t>U.S. GAAP</w:t>
            </w: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77"/>
              </w:rPr>
              <w:t>As</w:t>
            </w:r>
          </w:p>
        </w:tc>
        <w:tc>
          <w:tcPr>
            <w:tcW w:w="15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9"/>
              </w:rPr>
              <w:t>As</w:t>
            </w: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Special</w:t>
            </w: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Reported</w:t>
            </w:r>
          </w:p>
        </w:tc>
        <w:tc>
          <w:tcPr>
            <w:tcW w:w="150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7"/>
              </w:rPr>
              <w:t>Reported</w:t>
            </w:r>
          </w:p>
        </w:tc>
        <w:tc>
          <w:tcPr>
            <w:tcW w:w="12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Items (a)</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Items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left="501"/>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6,935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10,102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(47,375)</w:t>
            </w:r>
          </w:p>
        </w:tc>
        <w:tc>
          <w:tcPr>
            <w:tcW w:w="1500" w:type="dxa"/>
            <w:vAlign w:val="bottom"/>
            <w:gridSpan w:val="2"/>
          </w:tcPr>
          <w:p>
            <w:pPr>
              <w:jc w:val="right"/>
              <w:ind w:right="632"/>
              <w:spacing w:after="0"/>
              <w:rPr>
                <w:sz w:val="20"/>
                <w:szCs w:val="20"/>
                <w:color w:val="auto"/>
              </w:rPr>
            </w:pPr>
            <w:r>
              <w:rPr>
                <w:rFonts w:ascii="Arial" w:cs="Arial" w:eastAsia="Arial" w:hAnsi="Arial"/>
                <w:sz w:val="18"/>
                <w:szCs w:val="18"/>
                <w:color w:val="auto"/>
              </w:rPr>
              <w:t>(50,689)</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(50,689)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(40,440)</w:t>
            </w:r>
          </w:p>
        </w:tc>
        <w:tc>
          <w:tcPr>
            <w:tcW w:w="15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(40,587)</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7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(33,819)</w:t>
            </w:r>
          </w:p>
        </w:tc>
        <w:tc>
          <w:tcPr>
            <w:tcW w:w="15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(34,881)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13,676</w:t>
            </w:r>
          </w:p>
        </w:tc>
        <w:tc>
          <w:tcPr>
            <w:tcW w:w="7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105,587</w:t>
            </w:r>
          </w:p>
        </w:tc>
        <w:tc>
          <w:tcPr>
            <w:tcW w:w="760" w:type="dxa"/>
            <w:vAlign w:val="bottom"/>
          </w:tcPr>
          <w:p>
            <w:pPr>
              <w:spacing w:after="0"/>
              <w:rPr>
                <w:sz w:val="19"/>
                <w:szCs w:val="19"/>
                <w:color w:val="auto"/>
              </w:rPr>
            </w:pPr>
          </w:p>
        </w:tc>
        <w:tc>
          <w:tcPr>
            <w:tcW w:w="1020" w:type="dxa"/>
            <w:vAlign w:val="bottom"/>
            <w:gridSpan w:val="2"/>
          </w:tcPr>
          <w:p>
            <w:pPr>
              <w:jc w:val="center"/>
              <w:ind w:right="362"/>
              <w:spacing w:after="0"/>
              <w:rPr>
                <w:sz w:val="20"/>
                <w:szCs w:val="20"/>
                <w:color w:val="auto"/>
              </w:rPr>
            </w:pPr>
            <w:r>
              <w:rPr>
                <w:rFonts w:ascii="Arial" w:cs="Arial" w:eastAsia="Arial" w:hAnsi="Arial"/>
                <w:sz w:val="18"/>
                <w:szCs w:val="18"/>
                <w:color w:val="auto"/>
                <w:w w:val="89"/>
              </w:rPr>
              <w:t>$89,495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(47,495)</w:t>
            </w:r>
          </w:p>
        </w:tc>
        <w:tc>
          <w:tcPr>
            <w:tcW w:w="15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(140,468)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(50,973)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40" w:type="dxa"/>
            <w:vAlign w:val="bottom"/>
            <w:vMerge w:val="restart"/>
          </w:tcPr>
          <w:p>
            <w:pPr>
              <w:jc w:val="right"/>
              <w:ind w:right="51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Of</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8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portion of the 2010 special items attributable to the Corporate segment (see Note 19 of Notes to Condensed Consolidated Financial Statements).</w:t>
      </w: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special items had a significant impact on the segment’s reported operating results for the six month period of 2010.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 the 2011 period increased $12 million, principally due to increased compensation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Operating expenses in the 2011 period decreased $92 million, or 87%, substantially all of which related to the net impact in the prior year’s period of the 2010 special items attributable to the Corporate segment. When excluding the impact of the 2010 special items, operating expenses decreased $2 million, or 15%, principally due to expenses related to secondary offerings in the 2010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left="27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140.2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8"/>
              </w:rPr>
              <w:t>(280.7)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(314.3)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98"/>
              </w:rPr>
              <w:t>(254.5)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(102.9)</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98"/>
              </w:rPr>
              <w:t>(201.9)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(106.7)</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w w:val="86"/>
              </w:rPr>
              <w:t>1,024.8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899.7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822.9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793.0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179.2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220.7</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primarily of activity in the 2010 period relating to proceeds from sales and maturities of “available-for-sale” securities and the distribution received relating to our equity method investment in Sapphire.</w:t>
      </w:r>
    </w:p>
    <w:p>
      <w:pPr>
        <w:ind w:left="460" w:right="4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primarily of distributions to members and noncontrolling interest holders, settlements of vested RSUs and purchases of shares of Class A common stock and common membership interests from LAZ-MD Holdings.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has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June 30, 2011, Lazard had approximately $965 million of cash and liquid securities (including $32 million of U.S. Government debt and agencies securities and $111 million of investments in equity securities), with such aggregate amount including approximately $310 million held at Lazard’s foreign operations. No material amount of additional U.S. income taxes would be recognized upon receipt of dividends or distributions of earnings from the Company’s foreign operations.</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2011, Lazard had approximately $285 million in unused lines of credit available to it, including a $150 million, three-year, senior revolving credit facility with a group of lenders that matures in April 2013 (the “Credit Facility”) (see “—Financing” below) and unused lines of credit available to LFB of approximately $107 million (at June 30, 2011 exchange rates) and Edgewater of $20 million. In addition, LFB has access to the Eurosystem Covered Bond Purchase Program of the Banque de France.</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June 30, 2011 and December 31, 2010. The agreements with respect to this indebtedness are discussed in more detail in our consolidated financial statements and related notes included elsewhere in this Form 10-Q and in our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 in millions)</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5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  528.5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5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548.4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55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7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3.25% subordinated note, at a cost, excluding accrued interest, of $131.8 million. Such repurchase resulted in a pre-tax gain of $18.2 million, which is being recognized by the Company in the third quarter of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2011 Lazard Group was in compliance with such ratios, with its Consolidated Leverage Ratio being 1.67 to 1.00 and its Consolidated Interest Coverage Ratio being 10.83 to 1.00. In any event, no amounts were outstanding under the Credit Facility as of June 30, 2011.</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0" w:lineRule="exact"/>
        <w:rPr>
          <w:sz w:val="20"/>
          <w:szCs w:val="20"/>
          <w:color w:val="auto"/>
        </w:rPr>
      </w:pPr>
    </w:p>
    <w:p>
      <w:pPr>
        <w:ind w:right="1280" w:firstLine="456"/>
        <w:spacing w:after="0" w:line="375" w:lineRule="auto"/>
        <w:rPr>
          <w:sz w:val="20"/>
          <w:szCs w:val="20"/>
          <w:color w:val="auto"/>
        </w:rPr>
      </w:pPr>
      <w:r>
        <w:rPr>
          <w:rFonts w:ascii="Arial" w:cs="Arial" w:eastAsia="Arial" w:hAnsi="Arial"/>
          <w:sz w:val="18"/>
          <w:szCs w:val="18"/>
          <w:color w:val="auto"/>
        </w:rPr>
        <w:t xml:space="preserve">See Note 10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Members’ Equity</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June 30, 2011, total members’ equity was $562 million as compared to $490 million at December 31, 2010, including $123 million and $121 million of noncontrolling interests on the respective dates. The net activity in members’ equity in the six month period ended June 30, 2011 is reflected in the table below (in millions of dollars):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December 31, 2010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Distributions to members and noncontrolling interests –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 – June 30, 2011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positive foreign currency translation adjustments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and other adjustments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2972"/>
              <w:spacing w:after="0"/>
              <w:rPr>
                <w:sz w:val="20"/>
                <w:szCs w:val="20"/>
                <w:color w:val="auto"/>
              </w:rPr>
            </w:pPr>
            <w:r>
              <w:rPr>
                <w:rFonts w:ascii="Arial" w:cs="Arial" w:eastAsia="Arial" w:hAnsi="Arial"/>
                <w:sz w:val="18"/>
                <w:szCs w:val="18"/>
                <w:color w:val="auto"/>
              </w:rPr>
              <w:t>59</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six month period ended June 30, 2011 the Company repurchased 3,156,416 shares of Class A common stock, at an aggregate cost of $126 million and 19,032 Lazard Group common membership interests at an aggregate cost of $1 million. As of June 30, 2011, $166 million of the $450 million share purchase authorization remained available for future repurchases. In addition to the repurchases of Class A common stock and Lazard Group common membership interests described herein, during the six month period ended June 30, 2011, in order, among other reasons, to help neutralize the dilutive effect of our share-based incentive compensation plans, the Company utilized $96 million to satisfy certain employees’ withholding tax obligations on vested RSUs and vested shares of restricted Class A common stock in lieu of issuing 2,295,695 shares of Class A common stock directly by Lazard Ltd or by delivery of shares held by Lazard Group.</w:t>
      </w:r>
    </w:p>
    <w:p>
      <w:pPr>
        <w:spacing w:after="0" w:line="10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1-3 Years</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0"/>
              </w:rPr>
              <w:t>5 Years</w:t>
            </w:r>
          </w:p>
        </w:tc>
      </w:tr>
      <w:tr>
        <w:trPr>
          <w:trHeight w:val="142"/>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$ 1,586,245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$ 208,618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$641,280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585,912</w:t>
            </w:r>
          </w:p>
        </w:tc>
        <w:tc>
          <w:tcPr>
            <w:tcW w:w="80" w:type="dxa"/>
            <w:vAlign w:val="bottom"/>
            <w:shd w:val="clear" w:color="auto" w:fill="CCEEFF"/>
          </w:tcPr>
          <w:p>
            <w:pPr>
              <w:spacing w:after="0"/>
              <w:rPr>
                <w:sz w:val="18"/>
                <w:szCs w:val="18"/>
                <w:color w:val="auto"/>
              </w:rPr>
            </w:pPr>
          </w:p>
        </w:tc>
      </w:tr>
      <w:tr>
        <w:trPr>
          <w:trHeight w:val="208"/>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Leases (exclusive of $185,784 of</w:t>
            </w: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sublease income) (b)</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1,085,916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115,435</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125,569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778,937</w:t>
            </w:r>
          </w:p>
        </w:tc>
        <w:tc>
          <w:tcPr>
            <w:tcW w:w="80" w:type="dxa"/>
            <w:vAlign w:val="bottom"/>
          </w:tcPr>
          <w:p>
            <w:pPr>
              <w:spacing w:after="0"/>
              <w:rPr>
                <w:sz w:val="19"/>
                <w:szCs w:val="19"/>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28,562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7,358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11,254</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$ 2,794,093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$ 372,093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$ 273,228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$772,669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1,376,103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84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Gives effect to the Company’s July 2011 repurchase of its 3.25% subordinated note. See Note 10 of Notes to Condensed Consolidated Financial Statements.</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June 30, 2011 and December 31, 2010, the Company had receivables past due of approximately $18 million and $17 million, respectively, and its allowance for doubtful accounts was $17 million and $15 million at such respective dates.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deferred tax assets of approximately $177 million, with such amount partially offset by a valuation allowance of approximately $92 million due to the uncertainty of realizing the benefits of the book versus tax basis differences and certain net operating loss carry-forwards.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Furthermore, Lazard’s interpretation of complex tax laws may impact its recognition and measurement of current and deferred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June 30, 2011, there were no securities designated as “available-for-sale” or “held-to-maturity”.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June 30, 2011 and December 31, 2010 is set forth below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r>
      <w:tr>
        <w:trPr>
          <w:trHeight w:val="210"/>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(a)</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8"/>
        </w:trPr>
        <w:tc>
          <w:tcPr>
            <w:tcW w:w="7240" w:type="dxa"/>
            <w:vAlign w:val="bottom"/>
            <w:gridSpan w:val="2"/>
          </w:tcPr>
          <w:p>
            <w:pPr>
              <w:spacing w:after="0"/>
              <w:rPr>
                <w:sz w:val="20"/>
                <w:szCs w:val="20"/>
                <w:color w:val="auto"/>
              </w:rPr>
            </w:pPr>
            <w:r>
              <w:rPr>
                <w:rFonts w:ascii="Arial" w:cs="Arial" w:eastAsia="Arial" w:hAnsi="Arial"/>
                <w:sz w:val="18"/>
                <w:szCs w:val="18"/>
                <w:color w:val="auto"/>
                <w:w w:val="97"/>
              </w:rPr>
              <w:t>Equity securities (net of $1 and $3 of securities sold, not yet purchased, at June 30, 2011 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December 31, 2010, respectively) (b)</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LAM alternative asset management funds (principally GP interests in LAM-managed hedge funds)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Private equity (d)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403</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investments, as a percentage of total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
        </w:trPr>
        <w:tc>
          <w:tcPr>
            <w:tcW w:w="1160" w:type="dxa"/>
            <w:vAlign w:val="bottom"/>
            <w:tcBorders>
              <w:bottom w:val="single" w:sz="8" w:color="auto"/>
            </w:tcBorders>
          </w:tcPr>
          <w:p>
            <w:pPr>
              <w:spacing w:after="0"/>
              <w:rPr>
                <w:sz w:val="4"/>
                <w:szCs w:val="4"/>
                <w:color w:val="auto"/>
              </w:rPr>
            </w:pPr>
          </w:p>
        </w:tc>
        <w:tc>
          <w:tcPr>
            <w:tcW w:w="6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r>
    </w:tbl>
    <w:p>
      <w:pPr>
        <w:spacing w:after="0" w:line="19" w:lineRule="exact"/>
        <w:rPr>
          <w:sz w:val="20"/>
          <w:szCs w:val="20"/>
          <w:color w:val="auto"/>
        </w:rPr>
      </w:pPr>
    </w:p>
    <w:p>
      <w:pPr>
        <w:ind w:left="460" w:right="4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 primarily consist of securities issued by the U.S. Government and its agencies, and funds seeding products of our Asset Management segment, and, at June 30, 2011, fixed income funds with a fair value of $2 million held in connection with Lazard Fund Interest awards granted, all of which subject Lazard to market risk.</w:t>
      </w:r>
    </w:p>
    <w:p>
      <w:pPr>
        <w:spacing w:after="0" w:line="45"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equity securities principally represent investments in marketable equity securities of large-, mid- and small-cap domestic, international and global companies to seed new Asset Management products and includes investments in public and private asset management funds managed both by LAM and third-party asset managers and, at June 30, 2011, equity fund interests with a fair value of $23 million held in connection with Lazard Fund Interest awards granted. Hedging strategies are employed to reduce market risk, and, in turn, the volatility to earnings. Additional information regarding equity securities as of June 30, 2011 and December 31, 2010 is shown below:</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5"/>
              </w:rPr>
              <w:t>June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0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1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80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196"/>
        </w:trPr>
        <w:tc>
          <w:tcPr>
            <w:tcW w:w="80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3"/>
        </w:trPr>
        <w:tc>
          <w:tcPr>
            <w:tcW w:w="8000" w:type="dxa"/>
            <w:vAlign w:val="bottom"/>
          </w:tcPr>
          <w:p>
            <w:pPr>
              <w:ind w:left="190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w w:val="99"/>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Comprised of investments in private equity funds and direct private equity interests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 Private equity investments represent approximately 3% of total assets at both June 30, 2011 and December 31, 2010.</w:t>
      </w:r>
    </w:p>
    <w:p>
      <w:pPr>
        <w:spacing w:after="0" w:line="21" w:lineRule="exact"/>
        <w:rPr>
          <w:rFonts w:ascii="Arial" w:cs="Arial" w:eastAsia="Arial" w:hAnsi="Arial"/>
          <w:sz w:val="16"/>
          <w:szCs w:val="16"/>
          <w:color w:val="auto"/>
        </w:rPr>
      </w:pPr>
    </w:p>
    <w:p>
      <w:pPr>
        <w:ind w:left="460" w:right="48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June 30,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hanging="455"/>
        <w:spacing w:after="0" w:line="256"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00" w:hanging="455"/>
        <w:spacing w:after="0" w:line="332"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June 30, 2011 and December 31, 2010, derivative contracts related primarily to interest rate swaps, equity and fixed income swaps and foreign currency exchange rate contracts, and are recorded at fair value. Derivative assets amounted to $2 million at both June 30, 2011 and December 31, 2010, and derivative liabilities amounted to $2 million and $3 million at such respective dates.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six month period ended June 30, 2011:</w:t>
      </w:r>
    </w:p>
    <w:p>
      <w:pPr>
        <w:spacing w:after="0" w:line="18"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$700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June 30, 2011, total receivables amounted to $687 million, net of an allowance for doubtful accounts of $17 million. As of that date, financial advisory and asset management fees, customer and related party receivables comprised 61%, 15% and 24% of total receivables, respectively. At December 31, 2010, total receivables amounted to $747 million, net of an allowance for doubtful accounts of $15 million. As of that date, financial advisory and asset management fees, customer and related party receivables comprised 64%, 9% and 27% of total receivables, respectively. See also “Critical Accounting Policies and Estimates—Revenue Recognition” above and Note 3 of Notes to Condensed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June 30, 2011, excluding deposits with inter-bank counterparties, LFB had no exposure to an individual counterparty that exceeded $33 million, with such amount being fully collateralized.</w:t>
      </w:r>
    </w:p>
    <w:p>
      <w:pPr>
        <w:spacing w:after="0" w:line="127"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With respect to activities outside LFB, as of June 30, 2011, the Company’s largest individual counterparty exposure was a Financial Advisory fee receivable of $20 million, the terms of which require payment over a remaining period of 24 months, including accrued interest.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2011, Lazard estimates that its annual operating income relating to cash and short-term investments and corporate indebtedness would increase by approximately $10 million in the event interest rates were to increase by 1% and decrease by approximately $4 million if rates were to decrease by 1%.</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2011, the Company’s cash and cash equivalents totaled approximately $823 million.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Retention Agreement with Ashish Bhutani</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2, 2011, Lazard Ltd, the Company and Ashish Bhutani entered into a First Amendment to Mr. Bhutani’s Agreement Relating to Retention and Noncompetition and Other Covenants, dated March 15, 2005 (the “Retention Agreement”). The amended Retention Agreement supersedes Schedule I of the Retention Agreement and reflects Mr. Bhutani’s title of Vice Chairman and Managing Director of Lazard and Chief Executive Officer of Lazard Asset Management LLC. Prior to this amendment, the Retention Agreement, which was entered into prior to Lazard Ltd’s initial public offering and at a time when Mr. Bhutani was not an executive officer, did not contain the standard provisions and definitions that are contained in our retention agreements with certain of our executive officers, which were generally entered into at the time of or following Lazard Ltd’s initial public offering. Kenneth M. Jacobs, the Chairman and Chief Executive Officer of Lazard Ltd and the Company determined it was in the Company’s best interest to amend Mr. Bhutani’s existing Retention Agreement to bring the terms of Mr. Bhutani’s Retention Agreement in line with certain terms set forth in the agreements entered into with other executive officers of the Company, ensure his retention and provide him with customary executive officer protections. The Compensation Committee of Lazard Ltd’s Board of Directors agreed with Mr. Jacobs’ recommendation.</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amended Retention Agreement has a term ending March 23, 2013, which is the date that the retention agreements with the Company’s other executive officers are scheduled to expire, and provides for a minimum annual base salary of $750,000. In addition, Mr. Bhutani is entitled to an annual bonus to be determined under the applicable annual bonus plan of Lazard on the same basis as annual bonuses are determined for other executive officers. Mr. Bhutani’s annual bonus is required to be paid in the same ratio of cash to deferred awards as is applicable to other executives receiving bonuses at a level comparable to Mr. Bhutani, provided that he is employed by Lazard at the end of the applicable fiscal year.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amended Retention Agreement provides for certain severance benefits in the event of a termination of employment prior to March 23, 2013 by Lazard other than for cause or by Mr. Bhutani for good reason (which we refer to below as a “qualifying termination”). The level of severance benefits provided to Mr. Bhutani generally depends on whether the applicable termination occurs prior to or following a change in control pursuant to which Lazard is acquired by an entity that has an asset management business (a “Specified Change in Control”).</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event of a qualifying termination of employment prior to a Specified Change in Control, Mr. Bhutani generally would be entitled to receive in a lump sum (1) any unpaid base salary accrued through the date of termination, (2) any earned but unpaid bonuses for years completed prior to the date of termination,</w:t>
      </w:r>
    </w:p>
    <w:p>
      <w:pPr>
        <w:ind w:right="80" w:firstLine="8"/>
        <w:spacing w:after="0" w:line="292"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prorated bonus for the year of termination and (4) a severance payment equal to the sum of his base salary and average annual bonus for the two fiscal years that ended prior to the date of his termination. Upon such a qualifying termination, Mr. Bhutani and his eligible dependents would generally continue to be eligible to participate in our medical and dental benefit plans on the same basis as in effect immediately prior to the date of termination for one year following such termination (which currently requires the executive officer to pay a portion of the premiums). The period of medical and dental benefits continuation described above would generally be credited toward his credited age and service for purpose of our retiree medical program.</w:t>
      </w:r>
    </w:p>
    <w:p>
      <w:pPr>
        <w:spacing w:after="0" w:line="10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the event of a qualifying termination of Mr. Bhutani on or following a Specified Change in Control, he would receive the payments and benefits described in the preceding paragraph, except that the severance payment would be in the following amount: three times the sum of his base salary and average annual bonus for the two fiscal years that ended prior to the date of his termination. Upon such a qualifying termination, Mr. Bhutani and his eligible dependents would be eligible for continued participation in our medical and dental benefits plans as described in the preceding paragraph, except that the applicable period would be three years following the date of termination of service.</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amended Retention Agreement includes changes to the definitions of “cause” and “good reason”, which are intended to be consistent with the definitions in the retention agreements with certain of the Company’s other executive officers and which are described in Lazard Ltd’s Definitive Proxy Statement on Schedule 14A, filed on March 18, 2011 (File No. 001-32492) (the “Lazard Ltd 2011 Proxy Statement”). In addition, Mr. Bhutani’s amended Retention Agreement also provides that he would be entitled to resign for “good reason” in the event that any person other than he receives the title of Chairman of Lazard’s asset management group, unless such title is given in connection with a merger or acquisition transaction involving Lazard that is approved by the Company’s Board of Directors.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amended retention agreement does not materially modify Mr. Bhutani’s restrictive covenants relating to confidential information, noncompetition, nonsolicitation of clients, no hire of employees, nondisparagement and transfer of client relationships, which are substantially identical to the restrictive covenants in the retention agreements with the Company’s other executive officers and which are described in the Lazard Ltd 2011 Proxy Statement.</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preceding summary of the amended Retention Agreement contained in this Item 5 is qualified in its entirety by reference to the First Amendment to the Retention Agreement, attached as Exhibit 10.55 hereto, as though it were fully set forth 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277"/>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00" w:type="dxa"/>
            <w:vAlign w:val="bottom"/>
          </w:tcPr>
          <w:p>
            <w:pPr>
              <w:ind w:left="380"/>
              <w:spacing w:after="0"/>
              <w:rPr>
                <w:sz w:val="20"/>
                <w:szCs w:val="20"/>
                <w:color w:val="auto"/>
              </w:rPr>
            </w:pPr>
            <w:r>
              <w:rPr>
                <w:rFonts w:ascii="Arial" w:cs="Arial" w:eastAsia="Arial" w:hAnsi="Arial"/>
                <w:sz w:val="18"/>
                <w:szCs w:val="18"/>
                <w:color w:val="auto"/>
                <w:w w:val="96"/>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3.2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to Lazard Group LLC’s Current Report on Form 8-K (File No. 333-126751) filed on December 19,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0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00" w:type="dxa"/>
            <w:vAlign w:val="bottom"/>
          </w:tcPr>
          <w:p>
            <w:pPr>
              <w:ind w:left="380"/>
              <w:spacing w:after="0"/>
              <w:rPr>
                <w:sz w:val="20"/>
                <w:szCs w:val="20"/>
                <w:color w:val="auto"/>
              </w:rPr>
            </w:pPr>
            <w:r>
              <w:rPr>
                <w:rFonts w:ascii="Arial" w:cs="Arial" w:eastAsia="Arial" w:hAnsi="Arial"/>
                <w:sz w:val="18"/>
                <w:szCs w:val="18"/>
                <w:color w:val="auto"/>
                <w:w w:val="94"/>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(incorporated by reference to Exhibit 10.37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00" w:type="dxa"/>
            <w:vAlign w:val="bottom"/>
          </w:tcPr>
          <w:p>
            <w:pPr>
              <w:ind w:left="3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as trustee (incorporated by reference to Exhibit 4.01 to Lazard Group LLC’s Current Report on Form 8-K (Commission File No. 333-126751)</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filed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May 16, 2008).</w:t>
            </w:r>
          </w:p>
        </w:tc>
      </w:tr>
      <w:tr>
        <w:trPr>
          <w:trHeight w:val="33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00" w:type="dxa"/>
            <w:vAlign w:val="bottom"/>
          </w:tcPr>
          <w:p>
            <w:pPr>
              <w:ind w:left="3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Schedule I for, each of Michael J. Castellano and Scott D. Hoffman (incorporated by reference to Exhibit 10.26 to Lazard Ltd’s Quarterly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on Form 8-K (File No. 333-126751) filed on May 8, 2008).</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34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10.24 to the Registrant’s Quarterly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and Matthieu Bucaille (incorporated by reference to Exhibit 10.30 to the Registrant’s Quarterly Report (File No. 333-126751) on Form 10-Q</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April 29, 2011).</w:t>
            </w:r>
          </w:p>
        </w:tc>
      </w:tr>
      <w:tr>
        <w:trPr>
          <w:trHeight w:val="365"/>
        </w:trPr>
        <w:tc>
          <w:tcPr>
            <w:tcW w:w="8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10.31 to the Registrant’s Quarterly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2016,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10.45</w:t>
            </w:r>
          </w:p>
        </w:tc>
        <w:tc>
          <w:tcPr>
            <w:tcW w:w="10380" w:type="dxa"/>
            <w:vAlign w:val="bottom"/>
          </w:tcPr>
          <w:p>
            <w:pPr>
              <w:ind w:left="360"/>
              <w:spacing w:after="0"/>
              <w:rPr>
                <w:sz w:val="20"/>
                <w:szCs w:val="20"/>
                <w:color w:val="auto"/>
              </w:rPr>
            </w:pPr>
            <w:r>
              <w:rPr>
                <w:rFonts w:ascii="Arial" w:cs="Arial" w:eastAsia="Arial" w:hAnsi="Arial"/>
                <w:sz w:val="18"/>
                <w:szCs w:val="18"/>
                <w:color w:val="auto"/>
                <w:w w:val="93"/>
              </w:rPr>
              <w:t>Amended and Restated Guaranty of Lazard Group LLC to Banca Intesa S.p.A., dated as of May 15, 2006 (incorporated by reference to</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Exhibit 10.4 to the Registrant’s Current Report on Form 8-K (File No. 333-126751) filed on May 17, 2006).</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10.46*</w:t>
            </w: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Directors’ Fee Deferral Unit Plan (incorporated by reference to Exhibit 10.37 to the Registrant’s Quarterly Report on Form 10-Q (File No.</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333-126751) filed on May 11, 2006).</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10.47*</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First Amended Form of Agreement evidencing a grant of Restricted Stock Units to Executive Officers under the Lazard 2005 Equity Incentive</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Plan (incorporated by reference to Exhibit 10.40 to the Registrant’s Annual Report on Form 10-K (File No. 333-126751) filed on March 1,</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2007).</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10.48</w:t>
            </w: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4"/>
              </w:rPr>
              <w:t>Lazard Asset Management Limited (incorporated by reference to Exhibit 2.1 to Lazard Ltd’s Current Report on Form 8-K (file No. 001-</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32492) filed on August 15, 2008).</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10.49*</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to Exhibit 10.52 to the Registrant’s Quarterly Report (File No. 333-126751) on Form 10-Q filed on April 30, 2010).</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10.50</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Senior Revolving Credit Agreement, dated as of April 29, 2010, among Lazard Group LLC, the Banks from time to time parties thereto, and</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Citibank, N.A., as Administrative Agent.</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10.51</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Amendment No. 1, dated as of August 12, 2010, to the Senior Revolving Credit Agreement, dated as of April 29, 2010, among Lazard Group</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LLC, the Banks from time to time parties thereto, and Citibank, N.A., as Administrative Agent (incorporated by reference to Exhibit 10.47 to</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the Registrant’s Annual Report on Form 10-K (File No. 333-126751) filed on February 28, 2011).</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10.52</w:t>
            </w: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Amendment No. 2, dated as of December 17, 2010, to the Senior Revolving Credit Agreement, dated as of April 29, 2010, among Lazard</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Group LLC, the Banks from time to time parties thereto, and Citibank, N.A., as Administrative Agent (incorporated by reference to Exhibit</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10.48 to the Registrant’s Annual Report on Form 10-K (File No. 333-126751) filed on February 28, 2011).</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10.53*</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10.54*</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10.55*</w:t>
            </w:r>
          </w:p>
        </w:tc>
        <w:tc>
          <w:tcPr>
            <w:tcW w:w="10380" w:type="dxa"/>
            <w:vAlign w:val="bottom"/>
          </w:tcPr>
          <w:p>
            <w:pPr>
              <w:ind w:left="36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March 15, 2005, between Lazard Group LLC and Ashish Bhutani.</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1038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w:t>
      </w:r>
    </w:p>
    <w:p>
      <w:pPr>
        <w:sectPr>
          <w:pgSz w:w="11900" w:h="16838" w:orient="portrait"/>
          <w:cols w:equalWidth="0" w:num="1">
            <w:col w:w="10220"/>
          </w:cols>
          <w:pgMar w:left="1440" w:top="125" w:right="23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980" w:type="dxa"/>
            <w:vAlign w:val="bottom"/>
            <w:vMerge w:val="restart"/>
          </w:tcPr>
          <w:p>
            <w:pPr>
              <w:ind w:left="580"/>
              <w:spacing w:after="0"/>
              <w:rPr>
                <w:sz w:val="20"/>
                <w:szCs w:val="20"/>
                <w:color w:val="auto"/>
              </w:rPr>
            </w:pPr>
            <w:r>
              <w:rPr>
                <w:rFonts w:ascii="Arial" w:cs="Arial" w:eastAsia="Arial" w:hAnsi="Arial"/>
                <w:sz w:val="18"/>
                <w:szCs w:val="18"/>
                <w:color w:val="auto"/>
              </w:rPr>
              <w:t>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99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1.1</w:t>
            </w:r>
          </w:p>
        </w:tc>
        <w:tc>
          <w:tcPr>
            <w:tcW w:w="998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1.2</w:t>
            </w:r>
          </w:p>
        </w:tc>
        <w:tc>
          <w:tcPr>
            <w:tcW w:w="998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9980" w:type="dxa"/>
            <w:vAlign w:val="bottom"/>
          </w:tcPr>
          <w:p>
            <w:pPr>
              <w:ind w:left="580"/>
              <w:spacing w:after="0"/>
              <w:rPr>
                <w:sz w:val="20"/>
                <w:szCs w:val="20"/>
                <w:color w:val="auto"/>
              </w:rPr>
            </w:pPr>
            <w:r>
              <w:rPr>
                <w:rFonts w:ascii="Arial" w:cs="Arial" w:eastAsia="Arial" w:hAnsi="Arial"/>
                <w:sz w:val="18"/>
                <w:szCs w:val="18"/>
                <w:color w:val="auto"/>
              </w:rPr>
              <w:t>AMOUNT AND TERMS OF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w:t>
            </w:r>
          </w:p>
        </w:tc>
        <w:tc>
          <w:tcPr>
            <w:tcW w:w="998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2.2</w:t>
            </w:r>
          </w:p>
        </w:tc>
        <w:tc>
          <w:tcPr>
            <w:tcW w:w="9980" w:type="dxa"/>
            <w:vAlign w:val="bottom"/>
          </w:tcPr>
          <w:p>
            <w:pPr>
              <w:ind w:left="160"/>
              <w:spacing w:after="0"/>
              <w:rPr>
                <w:sz w:val="20"/>
                <w:szCs w:val="20"/>
                <w:color w:val="auto"/>
              </w:rPr>
            </w:pPr>
            <w:r>
              <w:rPr>
                <w:rFonts w:ascii="Arial" w:cs="Arial" w:eastAsia="Arial" w:hAnsi="Arial"/>
                <w:sz w:val="18"/>
                <w:szCs w:val="18"/>
                <w:color w:val="auto"/>
              </w:rPr>
              <w:t>Notes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2.3</w:t>
            </w:r>
          </w:p>
        </w:tc>
        <w:tc>
          <w:tcPr>
            <w:tcW w:w="9980" w:type="dxa"/>
            <w:vAlign w:val="bottom"/>
          </w:tcPr>
          <w:p>
            <w:pPr>
              <w:ind w:left="160"/>
              <w:spacing w:after="0"/>
              <w:rPr>
                <w:sz w:val="20"/>
                <w:szCs w:val="20"/>
                <w:color w:val="auto"/>
              </w:rPr>
            </w:pPr>
            <w:r>
              <w:rPr>
                <w:rFonts w:ascii="Arial" w:cs="Arial" w:eastAsia="Arial" w:hAnsi="Arial"/>
                <w:sz w:val="18"/>
                <w:szCs w:val="18"/>
                <w:color w:val="auto"/>
              </w:rPr>
              <w:t>Interest Rates and Interest Payment Dates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2.4</w:t>
            </w:r>
          </w:p>
        </w:tc>
        <w:tc>
          <w:tcPr>
            <w:tcW w:w="9980" w:type="dxa"/>
            <w:vAlign w:val="bottom"/>
          </w:tcPr>
          <w:p>
            <w:pPr>
              <w:ind w:left="16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2.5</w:t>
            </w:r>
          </w:p>
        </w:tc>
        <w:tc>
          <w:tcPr>
            <w:tcW w:w="998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2.6</w:t>
            </w:r>
          </w:p>
        </w:tc>
        <w:tc>
          <w:tcPr>
            <w:tcW w:w="9980" w:type="dxa"/>
            <w:vAlign w:val="bottom"/>
          </w:tcPr>
          <w:p>
            <w:pPr>
              <w:ind w:left="160"/>
              <w:spacing w:after="0"/>
              <w:rPr>
                <w:sz w:val="20"/>
                <w:szCs w:val="20"/>
                <w:color w:val="auto"/>
              </w:rPr>
            </w:pPr>
            <w:r>
              <w:rPr>
                <w:rFonts w:ascii="Arial" w:cs="Arial" w:eastAsia="Arial" w:hAnsi="Arial"/>
                <w:sz w:val="18"/>
                <w:szCs w:val="18"/>
                <w:color w:val="auto"/>
              </w:rPr>
              <w:t>Procedure for Borrowing</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2.7</w:t>
            </w:r>
          </w:p>
        </w:tc>
        <w:tc>
          <w:tcPr>
            <w:tcW w:w="9980" w:type="dxa"/>
            <w:vAlign w:val="bottom"/>
          </w:tcPr>
          <w:p>
            <w:pPr>
              <w:ind w:left="160"/>
              <w:spacing w:after="0"/>
              <w:rPr>
                <w:sz w:val="20"/>
                <w:szCs w:val="20"/>
                <w:color w:val="auto"/>
              </w:rPr>
            </w:pPr>
            <w:r>
              <w:rPr>
                <w:rFonts w:ascii="Arial" w:cs="Arial" w:eastAsia="Arial" w:hAnsi="Arial"/>
                <w:sz w:val="18"/>
                <w:szCs w:val="18"/>
                <w:color w:val="auto"/>
              </w:rPr>
              <w:t>Conversion and Continuation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2.8</w:t>
            </w:r>
          </w:p>
        </w:tc>
        <w:tc>
          <w:tcPr>
            <w:tcW w:w="9980" w:type="dxa"/>
            <w:vAlign w:val="bottom"/>
          </w:tcPr>
          <w:p>
            <w:pPr>
              <w:ind w:left="160"/>
              <w:spacing w:after="0"/>
              <w:rPr>
                <w:sz w:val="20"/>
                <w:szCs w:val="20"/>
                <w:color w:val="auto"/>
              </w:rPr>
            </w:pPr>
            <w:r>
              <w:rPr>
                <w:rFonts w:ascii="Arial" w:cs="Arial" w:eastAsia="Arial" w:hAnsi="Arial"/>
                <w:sz w:val="18"/>
                <w:szCs w:val="18"/>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2.9</w:t>
            </w:r>
          </w:p>
        </w:tc>
        <w:tc>
          <w:tcPr>
            <w:tcW w:w="9980" w:type="dxa"/>
            <w:vAlign w:val="bottom"/>
          </w:tcPr>
          <w:p>
            <w:pPr>
              <w:ind w:left="160"/>
              <w:spacing w:after="0"/>
              <w:rPr>
                <w:sz w:val="20"/>
                <w:szCs w:val="20"/>
                <w:color w:val="auto"/>
              </w:rPr>
            </w:pPr>
            <w:r>
              <w:rPr>
                <w:rFonts w:ascii="Arial" w:cs="Arial" w:eastAsia="Arial" w:hAnsi="Arial"/>
                <w:sz w:val="18"/>
                <w:szCs w:val="18"/>
                <w:color w:val="auto"/>
              </w:rPr>
              <w:t>Optional Prepayments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2.10</w:t>
            </w:r>
          </w:p>
        </w:tc>
        <w:tc>
          <w:tcPr>
            <w:tcW w:w="9980" w:type="dxa"/>
            <w:vAlign w:val="bottom"/>
          </w:tcPr>
          <w:p>
            <w:pPr>
              <w:ind w:left="160"/>
              <w:spacing w:after="0"/>
              <w:rPr>
                <w:sz w:val="20"/>
                <w:szCs w:val="20"/>
                <w:color w:val="auto"/>
              </w:rPr>
            </w:pPr>
            <w:r>
              <w:rPr>
                <w:rFonts w:ascii="Arial" w:cs="Arial" w:eastAsia="Arial" w:hAnsi="Arial"/>
                <w:sz w:val="18"/>
                <w:szCs w:val="18"/>
                <w:color w:val="auto"/>
              </w:rPr>
              <w:t>Pro Rata Treatment and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2.11</w:t>
            </w:r>
          </w:p>
        </w:tc>
        <w:tc>
          <w:tcPr>
            <w:tcW w:w="9980" w:type="dxa"/>
            <w:vAlign w:val="bottom"/>
          </w:tcPr>
          <w:p>
            <w:pPr>
              <w:ind w:left="160"/>
              <w:spacing w:after="0"/>
              <w:rPr>
                <w:sz w:val="20"/>
                <w:szCs w:val="20"/>
                <w:color w:val="auto"/>
              </w:rPr>
            </w:pPr>
            <w:r>
              <w:rPr>
                <w:rFonts w:ascii="Arial" w:cs="Arial" w:eastAsia="Arial" w:hAnsi="Arial"/>
                <w:sz w:val="18"/>
                <w:szCs w:val="18"/>
                <w:color w:val="auto"/>
              </w:rPr>
              <w:t>Non-Receipt of Funds by 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2.12</w:t>
            </w:r>
          </w:p>
        </w:tc>
        <w:tc>
          <w:tcPr>
            <w:tcW w:w="998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2.13</w:t>
            </w:r>
          </w:p>
        </w:tc>
        <w:tc>
          <w:tcPr>
            <w:tcW w:w="9980" w:type="dxa"/>
            <w:vAlign w:val="bottom"/>
          </w:tcPr>
          <w:p>
            <w:pPr>
              <w:ind w:left="160"/>
              <w:spacing w:after="0"/>
              <w:rPr>
                <w:sz w:val="20"/>
                <w:szCs w:val="20"/>
                <w:color w:val="auto"/>
              </w:rPr>
            </w:pPr>
            <w:r>
              <w:rPr>
                <w:rFonts w:ascii="Arial" w:cs="Arial" w:eastAsia="Arial" w:hAnsi="Arial"/>
                <w:sz w:val="18"/>
                <w:szCs w:val="18"/>
                <w:color w:val="auto"/>
              </w:rPr>
              <w:t>Capital Adequacy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2.14</w:t>
            </w:r>
          </w:p>
        </w:tc>
        <w:tc>
          <w:tcPr>
            <w:tcW w:w="9980" w:type="dxa"/>
            <w:vAlign w:val="bottom"/>
          </w:tcPr>
          <w:p>
            <w:pPr>
              <w:ind w:left="160"/>
              <w:spacing w:after="0"/>
              <w:rPr>
                <w:sz w:val="20"/>
                <w:szCs w:val="20"/>
                <w:color w:val="auto"/>
              </w:rPr>
            </w:pPr>
            <w:r>
              <w:rPr>
                <w:rFonts w:ascii="Arial" w:cs="Arial" w:eastAsia="Arial" w:hAnsi="Arial"/>
                <w:sz w:val="18"/>
                <w:szCs w:val="18"/>
                <w:color w:val="auto"/>
              </w:rPr>
              <w:t>Inability to Determine Interest Rate</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2.15</w:t>
            </w:r>
          </w:p>
        </w:tc>
        <w:tc>
          <w:tcPr>
            <w:tcW w:w="9980" w:type="dxa"/>
            <w:vAlign w:val="bottom"/>
          </w:tcPr>
          <w:p>
            <w:pPr>
              <w:ind w:left="16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2.16</w:t>
            </w:r>
          </w:p>
        </w:tc>
        <w:tc>
          <w:tcPr>
            <w:tcW w:w="9980" w:type="dxa"/>
            <w:vAlign w:val="bottom"/>
          </w:tcPr>
          <w:p>
            <w:pPr>
              <w:ind w:left="160"/>
              <w:spacing w:after="0"/>
              <w:rPr>
                <w:sz w:val="20"/>
                <w:szCs w:val="20"/>
                <w:color w:val="auto"/>
              </w:rPr>
            </w:pPr>
            <w:r>
              <w:rPr>
                <w:rFonts w:ascii="Arial" w:cs="Arial" w:eastAsia="Arial" w:hAnsi="Arial"/>
                <w:sz w:val="18"/>
                <w:szCs w:val="18"/>
                <w:color w:val="auto"/>
              </w:rPr>
              <w:t>Requirements of Law</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2.17</w:t>
            </w:r>
          </w:p>
        </w:tc>
        <w:tc>
          <w:tcPr>
            <w:tcW w:w="9980" w:type="dxa"/>
            <w:vAlign w:val="bottom"/>
          </w:tcPr>
          <w:p>
            <w:pPr>
              <w:ind w:left="1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2.18</w:t>
            </w:r>
          </w:p>
        </w:tc>
        <w:tc>
          <w:tcPr>
            <w:tcW w:w="9980" w:type="dxa"/>
            <w:vAlign w:val="bottom"/>
          </w:tcPr>
          <w:p>
            <w:pPr>
              <w:ind w:left="160"/>
              <w:spacing w:after="0"/>
              <w:rPr>
                <w:sz w:val="20"/>
                <w:szCs w:val="20"/>
                <w:color w:val="auto"/>
              </w:rPr>
            </w:pPr>
            <w:r>
              <w:rPr>
                <w:rFonts w:ascii="Arial" w:cs="Arial" w:eastAsia="Arial" w:hAnsi="Arial"/>
                <w:sz w:val="18"/>
                <w:szCs w:val="18"/>
                <w:color w:val="auto"/>
              </w:rPr>
              <w:t>Commitment Reductions and Mandatory 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2.19</w:t>
            </w:r>
          </w:p>
        </w:tc>
        <w:tc>
          <w:tcPr>
            <w:tcW w:w="9980" w:type="dxa"/>
            <w:vAlign w:val="bottom"/>
          </w:tcPr>
          <w:p>
            <w:pPr>
              <w:ind w:left="160"/>
              <w:spacing w:after="0"/>
              <w:rPr>
                <w:sz w:val="20"/>
                <w:szCs w:val="20"/>
                <w:color w:val="auto"/>
              </w:rPr>
            </w:pPr>
            <w:r>
              <w:rPr>
                <w:rFonts w:ascii="Arial" w:cs="Arial" w:eastAsia="Arial" w:hAnsi="Arial"/>
                <w:sz w:val="18"/>
                <w:szCs w:val="18"/>
                <w:color w:val="auto"/>
              </w:rPr>
              <w:t>Defaulting Lender</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2.20</w:t>
            </w:r>
          </w:p>
        </w:tc>
        <w:tc>
          <w:tcPr>
            <w:tcW w:w="998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9980" w:type="dxa"/>
            <w:vAlign w:val="bottom"/>
          </w:tcPr>
          <w:p>
            <w:pPr>
              <w:ind w:left="58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9980" w:type="dxa"/>
            <w:vAlign w:val="bottom"/>
          </w:tcPr>
          <w:p>
            <w:pPr>
              <w:ind w:left="58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w:t>
            </w:r>
          </w:p>
        </w:tc>
        <w:tc>
          <w:tcPr>
            <w:tcW w:w="9980" w:type="dxa"/>
            <w:vAlign w:val="bottom"/>
          </w:tcPr>
          <w:p>
            <w:pPr>
              <w:ind w:left="160"/>
              <w:spacing w:after="0"/>
              <w:rPr>
                <w:sz w:val="20"/>
                <w:szCs w:val="20"/>
                <w:color w:val="auto"/>
              </w:rPr>
            </w:pPr>
            <w:r>
              <w:rPr>
                <w:rFonts w:ascii="Arial" w:cs="Arial" w:eastAsia="Arial" w:hAnsi="Arial"/>
                <w:sz w:val="18"/>
                <w:szCs w:val="18"/>
                <w:color w:val="auto"/>
              </w:rPr>
              <w:t>Financial Condition</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4.2</w:t>
            </w:r>
          </w:p>
        </w:tc>
        <w:tc>
          <w:tcPr>
            <w:tcW w:w="9980" w:type="dxa"/>
            <w:vAlign w:val="bottom"/>
          </w:tcPr>
          <w:p>
            <w:pPr>
              <w:ind w:left="160"/>
              <w:spacing w:after="0"/>
              <w:rPr>
                <w:sz w:val="20"/>
                <w:szCs w:val="20"/>
                <w:color w:val="auto"/>
              </w:rPr>
            </w:pPr>
            <w:r>
              <w:rPr>
                <w:rFonts w:ascii="Arial" w:cs="Arial" w:eastAsia="Arial" w:hAnsi="Arial"/>
                <w:sz w:val="18"/>
                <w:szCs w:val="18"/>
                <w:color w:val="auto"/>
              </w:rPr>
              <w:t>No Material Adverse Effect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4.3</w:t>
            </w:r>
          </w:p>
        </w:tc>
        <w:tc>
          <w:tcPr>
            <w:tcW w:w="9980" w:type="dxa"/>
            <w:vAlign w:val="bottom"/>
          </w:tcPr>
          <w:p>
            <w:pPr>
              <w:ind w:left="160"/>
              <w:spacing w:after="0"/>
              <w:rPr>
                <w:sz w:val="20"/>
                <w:szCs w:val="20"/>
                <w:color w:val="auto"/>
              </w:rPr>
            </w:pPr>
            <w:r>
              <w:rPr>
                <w:rFonts w:ascii="Arial" w:cs="Arial" w:eastAsia="Arial" w:hAnsi="Arial"/>
                <w:sz w:val="18"/>
                <w:szCs w:val="18"/>
                <w:color w:val="auto"/>
              </w:rPr>
              <w:t>Existence; Compliance with Law</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4.4</w:t>
            </w:r>
          </w:p>
        </w:tc>
        <w:tc>
          <w:tcPr>
            <w:tcW w:w="998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4.5</w:t>
            </w:r>
          </w:p>
        </w:tc>
        <w:tc>
          <w:tcPr>
            <w:tcW w:w="998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4.6</w:t>
            </w:r>
          </w:p>
        </w:tc>
        <w:tc>
          <w:tcPr>
            <w:tcW w:w="9980" w:type="dxa"/>
            <w:vAlign w:val="bottom"/>
          </w:tcPr>
          <w:p>
            <w:pPr>
              <w:ind w:left="160"/>
              <w:spacing w:after="0"/>
              <w:rPr>
                <w:sz w:val="20"/>
                <w:szCs w:val="20"/>
                <w:color w:val="auto"/>
              </w:rPr>
            </w:pPr>
            <w:r>
              <w:rPr>
                <w:rFonts w:ascii="Arial" w:cs="Arial" w:eastAsia="Arial" w:hAnsi="Arial"/>
                <w:sz w:val="18"/>
                <w:szCs w:val="18"/>
                <w:color w:val="auto"/>
              </w:rPr>
              <w:t>No Material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4.7</w:t>
            </w:r>
          </w:p>
        </w:tc>
        <w:tc>
          <w:tcPr>
            <w:tcW w:w="998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4.8</w:t>
            </w:r>
          </w:p>
        </w:tc>
        <w:tc>
          <w:tcPr>
            <w:tcW w:w="9980" w:type="dxa"/>
            <w:vAlign w:val="bottom"/>
          </w:tcPr>
          <w:p>
            <w:pPr>
              <w:ind w:left="160"/>
              <w:spacing w:after="0"/>
              <w:rPr>
                <w:sz w:val="20"/>
                <w:szCs w:val="20"/>
                <w:color w:val="auto"/>
              </w:rPr>
            </w:pPr>
            <w:r>
              <w:rPr>
                <w:rFonts w:ascii="Arial" w:cs="Arial" w:eastAsia="Arial" w:hAnsi="Arial"/>
                <w:sz w:val="18"/>
                <w:szCs w:val="18"/>
                <w:color w:val="auto"/>
              </w:rPr>
              <w:t>Ownership of Property; Liens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4.9</w:t>
            </w:r>
          </w:p>
        </w:tc>
        <w:tc>
          <w:tcPr>
            <w:tcW w:w="9980" w:type="dxa"/>
            <w:vAlign w:val="bottom"/>
          </w:tcPr>
          <w:p>
            <w:pPr>
              <w:ind w:left="1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4.10</w:t>
            </w:r>
          </w:p>
        </w:tc>
        <w:tc>
          <w:tcPr>
            <w:tcW w:w="9980" w:type="dxa"/>
            <w:vAlign w:val="bottom"/>
          </w:tcPr>
          <w:p>
            <w:pPr>
              <w:ind w:left="160"/>
              <w:spacing w:after="0"/>
              <w:rPr>
                <w:sz w:val="20"/>
                <w:szCs w:val="20"/>
                <w:color w:val="auto"/>
              </w:rPr>
            </w:pPr>
            <w:r>
              <w:rPr>
                <w:rFonts w:ascii="Arial" w:cs="Arial" w:eastAsia="Arial" w:hAnsi="Arial"/>
                <w:sz w:val="18"/>
                <w:szCs w:val="18"/>
                <w:color w:val="auto"/>
              </w:rPr>
              <w:t>Federal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4.11</w:t>
            </w:r>
          </w:p>
        </w:tc>
        <w:tc>
          <w:tcPr>
            <w:tcW w:w="9980" w:type="dxa"/>
            <w:vAlign w:val="bottom"/>
          </w:tcPr>
          <w:p>
            <w:pPr>
              <w:ind w:left="160"/>
              <w:spacing w:after="0"/>
              <w:rPr>
                <w:sz w:val="20"/>
                <w:szCs w:val="20"/>
                <w:color w:val="auto"/>
              </w:rPr>
            </w:pPr>
            <w:r>
              <w:rPr>
                <w:rFonts w:ascii="Arial" w:cs="Arial" w:eastAsia="Arial" w:hAnsi="Arial"/>
                <w:sz w:val="18"/>
                <w:szCs w:val="18"/>
                <w:color w:val="auto"/>
              </w:rPr>
              <w:t>ERISA</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4.12</w:t>
            </w:r>
          </w:p>
        </w:tc>
        <w:tc>
          <w:tcPr>
            <w:tcW w:w="9980" w:type="dxa"/>
            <w:vAlign w:val="bottom"/>
          </w:tcPr>
          <w:p>
            <w:pPr>
              <w:ind w:left="160"/>
              <w:spacing w:after="0"/>
              <w:rPr>
                <w:sz w:val="20"/>
                <w:szCs w:val="20"/>
                <w:color w:val="auto"/>
              </w:rPr>
            </w:pPr>
            <w:r>
              <w:rPr>
                <w:rFonts w:ascii="Arial" w:cs="Arial" w:eastAsia="Arial" w:hAnsi="Arial"/>
                <w:sz w:val="18"/>
                <w:szCs w:val="18"/>
                <w:color w:val="auto"/>
              </w:rPr>
              <w:t>Investment Company Act; Other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4.13</w:t>
            </w:r>
          </w:p>
        </w:tc>
        <w:tc>
          <w:tcPr>
            <w:tcW w:w="9980" w:type="dxa"/>
            <w:vAlign w:val="bottom"/>
          </w:tcPr>
          <w:p>
            <w:pPr>
              <w:ind w:left="16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8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40"/>
              <w:spacing w:after="0"/>
              <w:rPr>
                <w:sz w:val="20"/>
                <w:szCs w:val="20"/>
                <w:color w:val="auto"/>
              </w:rPr>
            </w:pPr>
            <w:r>
              <w:rPr>
                <w:rFonts w:ascii="Arial" w:cs="Arial" w:eastAsia="Arial" w:hAnsi="Arial"/>
                <w:sz w:val="18"/>
                <w:szCs w:val="18"/>
                <w:color w:val="auto"/>
                <w:w w:val="91"/>
              </w:rPr>
              <w:t>4.14</w:t>
            </w:r>
          </w:p>
        </w:tc>
        <w:tc>
          <w:tcPr>
            <w:tcW w:w="400" w:type="dxa"/>
            <w:vAlign w:val="bottom"/>
          </w:tcPr>
          <w:p>
            <w:pPr>
              <w:spacing w:after="0"/>
              <w:rPr>
                <w:sz w:val="14"/>
                <w:szCs w:val="14"/>
                <w:color w:val="auto"/>
              </w:rPr>
            </w:pPr>
          </w:p>
        </w:tc>
        <w:tc>
          <w:tcPr>
            <w:tcW w:w="9880" w:type="dxa"/>
            <w:vAlign w:val="bottom"/>
            <w:vMerge w:val="restart"/>
          </w:tcPr>
          <w:p>
            <w:pPr>
              <w:ind w:left="160"/>
              <w:spacing w:after="0"/>
              <w:rPr>
                <w:sz w:val="20"/>
                <w:szCs w:val="20"/>
                <w:color w:val="auto"/>
              </w:rPr>
            </w:pPr>
            <w:r>
              <w:rPr>
                <w:rFonts w:ascii="Arial" w:cs="Arial" w:eastAsia="Arial" w:hAnsi="Arial"/>
                <w:sz w:val="18"/>
                <w:szCs w:val="18"/>
                <w:color w:val="auto"/>
              </w:rPr>
              <w:t>Accuracy of Information, etc</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7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4.15</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5.</w:t>
            </w:r>
          </w:p>
        </w:tc>
        <w:tc>
          <w:tcPr>
            <w:tcW w:w="9880" w:type="dxa"/>
            <w:vAlign w:val="bottom"/>
          </w:tcPr>
          <w:p>
            <w:pPr>
              <w:ind w:left="600"/>
              <w:spacing w:after="0"/>
              <w:rPr>
                <w:sz w:val="20"/>
                <w:szCs w:val="20"/>
                <w:color w:val="auto"/>
              </w:rPr>
            </w:pPr>
            <w:r>
              <w:rPr>
                <w:rFonts w:ascii="Arial" w:cs="Arial" w:eastAsia="Arial" w:hAnsi="Arial"/>
                <w:sz w:val="18"/>
                <w:szCs w:val="18"/>
                <w:color w:val="auto"/>
              </w:rPr>
              <w:t>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Conditions of Initial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Conditions to All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6.</w:t>
            </w:r>
          </w:p>
        </w:tc>
        <w:tc>
          <w:tcPr>
            <w:tcW w:w="9880" w:type="dxa"/>
            <w:vAlign w:val="bottom"/>
          </w:tcPr>
          <w:p>
            <w:pPr>
              <w:ind w:left="600"/>
              <w:spacing w:after="0"/>
              <w:rPr>
                <w:sz w:val="20"/>
                <w:szCs w:val="20"/>
                <w:color w:val="auto"/>
              </w:rPr>
            </w:pPr>
            <w:r>
              <w:rPr>
                <w:rFonts w:ascii="Arial" w:cs="Arial" w:eastAsia="Arial" w:hAnsi="Arial"/>
                <w:sz w:val="18"/>
                <w:szCs w:val="18"/>
                <w:color w:val="auto"/>
              </w:rPr>
              <w:t>AFFIRMATIVE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Certificates; 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Conduct of Business and Maintenance of Existence;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Maintenance of Property;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Inspection of Property; Books and Records; Discussions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7.</w:t>
            </w:r>
          </w:p>
        </w:tc>
        <w:tc>
          <w:tcPr>
            <w:tcW w:w="9880" w:type="dxa"/>
            <w:vAlign w:val="bottom"/>
          </w:tcPr>
          <w:p>
            <w:pPr>
              <w:ind w:left="600"/>
              <w:spacing w:after="0"/>
              <w:rPr>
                <w:sz w:val="20"/>
                <w:szCs w:val="20"/>
                <w:color w:val="auto"/>
              </w:rPr>
            </w:pPr>
            <w:r>
              <w:rPr>
                <w:rFonts w:ascii="Arial" w:cs="Arial" w:eastAsia="Arial" w:hAnsi="Arial"/>
                <w:sz w:val="18"/>
                <w:szCs w:val="18"/>
                <w:color w:val="auto"/>
              </w:rPr>
              <w:t>NEGATIVE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Financial Condition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Liens</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Fundamental Changes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Optional Payments and Modifications of Subordinated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Clauses Restricting Subsidiary Distributions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Disposition of Designated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8.</w:t>
            </w:r>
          </w:p>
        </w:tc>
        <w:tc>
          <w:tcPr>
            <w:tcW w:w="9880" w:type="dxa"/>
            <w:vAlign w:val="bottom"/>
          </w:tcPr>
          <w:p>
            <w:pPr>
              <w:ind w:left="6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9.</w:t>
            </w:r>
          </w:p>
        </w:tc>
        <w:tc>
          <w:tcPr>
            <w:tcW w:w="9880" w:type="dxa"/>
            <w:vAlign w:val="bottom"/>
          </w:tcPr>
          <w:p>
            <w:pPr>
              <w:ind w:left="600"/>
              <w:spacing w:after="0"/>
              <w:rPr>
                <w:sz w:val="20"/>
                <w:szCs w:val="20"/>
                <w:color w:val="auto"/>
              </w:rPr>
            </w:pPr>
            <w:r>
              <w:rPr>
                <w:rFonts w:ascii="Arial" w:cs="Arial" w:eastAsia="Arial" w:hAnsi="Arial"/>
                <w:sz w:val="18"/>
                <w:szCs w:val="18"/>
                <w:color w:val="auto"/>
              </w:rPr>
              <w:t>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10.</w:t>
            </w:r>
          </w:p>
        </w:tc>
        <w:tc>
          <w:tcPr>
            <w:tcW w:w="9880" w:type="dxa"/>
            <w:vAlign w:val="bottom"/>
          </w:tcPr>
          <w:p>
            <w:pPr>
              <w:ind w:left="6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11.</w:t>
            </w:r>
          </w:p>
        </w:tc>
        <w:tc>
          <w:tcPr>
            <w:tcW w:w="9880" w:type="dxa"/>
            <w:vAlign w:val="bottom"/>
          </w:tcPr>
          <w:p>
            <w:pPr>
              <w:ind w:left="600"/>
              <w:spacing w:after="0"/>
              <w:rPr>
                <w:sz w:val="20"/>
                <w:szCs w:val="20"/>
                <w:color w:val="auto"/>
              </w:rPr>
            </w:pPr>
            <w:r>
              <w:rPr>
                <w:rFonts w:ascii="Arial" w:cs="Arial" w:eastAsia="Arial" w:hAnsi="Arial"/>
                <w:sz w:val="18"/>
                <w:szCs w:val="18"/>
                <w:color w:val="auto"/>
              </w:rPr>
              <w:t>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Reliance by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11.6</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Non-Reliance on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11.7</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11.8</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11.9</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Successor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12.</w:t>
            </w:r>
          </w:p>
        </w:tc>
        <w:tc>
          <w:tcPr>
            <w:tcW w:w="9880" w:type="dxa"/>
            <w:vAlign w:val="bottom"/>
          </w:tcPr>
          <w:p>
            <w:pPr>
              <w:ind w:left="60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12.1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12.2</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440"/>
              <w:spacing w:after="0"/>
              <w:rPr>
                <w:sz w:val="20"/>
                <w:szCs w:val="20"/>
                <w:color w:val="auto"/>
              </w:rPr>
            </w:pPr>
            <w:r>
              <w:rPr>
                <w:rFonts w:ascii="Arial" w:cs="Arial" w:eastAsia="Arial" w:hAnsi="Arial"/>
                <w:sz w:val="18"/>
                <w:szCs w:val="18"/>
                <w:color w:val="auto"/>
              </w:rPr>
              <w:t>12.3</w:t>
            </w:r>
          </w:p>
        </w:tc>
        <w:tc>
          <w:tcPr>
            <w:tcW w:w="9900" w:type="dxa"/>
            <w:vAlign w:val="bottom"/>
            <w:gridSpan w:val="2"/>
            <w:vMerge w:val="restart"/>
          </w:tcPr>
          <w:p>
            <w:pPr>
              <w:ind w:left="80"/>
              <w:spacing w:after="0"/>
              <w:rPr>
                <w:sz w:val="20"/>
                <w:szCs w:val="20"/>
                <w:color w:val="auto"/>
              </w:rPr>
            </w:pPr>
            <w:r>
              <w:rPr>
                <w:rFonts w:ascii="Arial" w:cs="Arial" w:eastAsia="Arial" w:hAnsi="Arial"/>
                <w:sz w:val="18"/>
                <w:szCs w:val="18"/>
                <w:color w:val="auto"/>
              </w:rPr>
              <w:t>No Waiver; Cumulative Remedies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990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12.4</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12.5</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Payment of Expenses and Taxes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12.6</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12.7</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160" w:type="dxa"/>
            <w:vAlign w:val="bottom"/>
          </w:tcPr>
          <w:p>
            <w:pPr>
              <w:ind w:left="440"/>
              <w:spacing w:after="0"/>
              <w:rPr>
                <w:sz w:val="20"/>
                <w:szCs w:val="20"/>
                <w:color w:val="auto"/>
              </w:rPr>
            </w:pPr>
            <w:r>
              <w:rPr>
                <w:rFonts w:ascii="Arial" w:cs="Arial" w:eastAsia="Arial" w:hAnsi="Arial"/>
                <w:sz w:val="18"/>
                <w:szCs w:val="18"/>
                <w:color w:val="auto"/>
              </w:rPr>
              <w:t>12.8</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Adjustments; Right of Setoff</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12.9</w:t>
            </w:r>
          </w:p>
        </w:tc>
        <w:tc>
          <w:tcPr>
            <w:tcW w:w="9900" w:type="dxa"/>
            <w:vAlign w:val="bottom"/>
            <w:gridSpan w:val="2"/>
          </w:tcPr>
          <w:p>
            <w:pPr>
              <w:ind w:left="80"/>
              <w:spacing w:after="0"/>
              <w:rPr>
                <w:sz w:val="20"/>
                <w:szCs w:val="20"/>
                <w:color w:val="auto"/>
              </w:rPr>
            </w:pPr>
            <w:r>
              <w:rPr>
                <w:rFonts w:ascii="Arial" w:cs="Arial" w:eastAsia="Arial" w:hAnsi="Arial"/>
                <w:sz w:val="18"/>
                <w:szCs w:val="18"/>
                <w:b w:val="1"/>
                <w:bCs w:val="1"/>
                <w:color w:val="auto"/>
              </w:rPr>
              <w:t>WAIVERS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12.10</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tcPr>
          <w:p>
            <w:pPr>
              <w:ind w:left="440"/>
              <w:spacing w:after="0"/>
              <w:rPr>
                <w:sz w:val="20"/>
                <w:szCs w:val="20"/>
                <w:color w:val="auto"/>
              </w:rPr>
            </w:pPr>
            <w:r>
              <w:rPr>
                <w:rFonts w:ascii="Arial" w:cs="Arial" w:eastAsia="Arial" w:hAnsi="Arial"/>
                <w:sz w:val="18"/>
                <w:szCs w:val="18"/>
                <w:color w:val="auto"/>
              </w:rPr>
              <w:t>12.11</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12.12</w:t>
            </w:r>
          </w:p>
        </w:tc>
        <w:tc>
          <w:tcPr>
            <w:tcW w:w="9900" w:type="dxa"/>
            <w:vAlign w:val="bottom"/>
            <w:gridSpan w:val="2"/>
          </w:tcPr>
          <w:p>
            <w:pPr>
              <w:ind w:left="80"/>
              <w:spacing w:after="0"/>
              <w:rPr>
                <w:sz w:val="20"/>
                <w:szCs w:val="20"/>
                <w:color w:val="auto"/>
              </w:rPr>
            </w:pPr>
            <w:r>
              <w:rPr>
                <w:rFonts w:ascii="Arial" w:cs="Arial" w:eastAsia="Arial" w:hAnsi="Arial"/>
                <w:sz w:val="18"/>
                <w:szCs w:val="18"/>
                <w:b w:val="1"/>
                <w:bCs w:val="1"/>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12.13</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USA Patriot Act</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8"/>
                <w:szCs w:val="18"/>
                <w:color w:val="auto"/>
                <w:w w:val="99"/>
              </w:rPr>
              <w:t>SCHEDULES:</w:t>
            </w:r>
          </w:p>
        </w:tc>
        <w:tc>
          <w:tcPr>
            <w:tcW w:w="30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7"/>
              </w:rPr>
              <w:t>Schedule 1.1A</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4.13</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Schedule 7.2</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Revolving Credit Note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B-1</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Cravath, Swaine &amp; Moore LLP, Counsel to the 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B-2</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General Counsel to the 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B-3</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Wilmer Cutler Pickering Hale and Dorr LLP</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Compliance Certificate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U.S. Tax Compliance Certificate</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76" w:right="339" w:bottom="1440" w:gutter="0" w:footer="0" w:header="0"/>
        </w:sectPr>
      </w:pPr>
    </w:p>
    <w:bookmarkStart w:id="81" w:name="page82"/>
    <w:bookmarkEnd w:id="81"/>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April 29, 2010,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W I T N E S S E T H :</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WHEREAS, the Company has applied to the Banks for loans in an aggregate principal amount at any one time outstanding not in excess of $150,000,000;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Banks are willing to make the loans to the Company upon the terms and subject to the conditions hereinafter set forth;</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as follows: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in its capacity as administrative agent for the Banks hereunder, and its successors in such capacity.</w:t>
      </w:r>
    </w:p>
    <w:p>
      <w:pPr>
        <w:spacing w:after="0" w:line="113"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supplemented or modified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ectPr>
          <w:pgSz w:w="11900" w:h="16838" w:orient="portrait"/>
          <w:cols w:equalWidth="0" w:num="1">
            <w:col w:w="11280"/>
          </w:cols>
          <w:pgMar w:left="240" w:top="415" w:right="379" w:bottom="1440" w:gutter="0" w:footer="0" w:header="0"/>
        </w:sectPr>
      </w:pPr>
    </w:p>
    <w:bookmarkStart w:id="82" w:name="page83"/>
    <w:bookmarkEnd w:id="82"/>
    <w:p>
      <w:pPr>
        <w:ind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9"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Citibank, State Street Bank and Trust Company and The Bank of New York Mellon, as parties to this Agreement, and permitted assignees pursuant to subsection 12.7 (individually, a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w:t>
      </w:r>
    </w:p>
    <w:p>
      <w:pPr>
        <w:spacing w:after="0" w:line="90" w:lineRule="exact"/>
        <w:rPr>
          <w:sz w:val="20"/>
          <w:szCs w:val="20"/>
          <w:color w:val="auto"/>
        </w:rPr>
      </w:pPr>
    </w:p>
    <w:p>
      <w:pPr>
        <w:ind w:right="4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4"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62"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62"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LLC issued pursuant to the Lazard Asset Management LLC Limited Liability Company Agreement.</w:t>
      </w:r>
    </w:p>
    <w:p>
      <w:pPr>
        <w:spacing w:after="0" w:line="90" w:lineRule="exact"/>
        <w:rPr>
          <w:sz w:val="20"/>
          <w:szCs w:val="20"/>
          <w:color w:val="auto"/>
        </w:rPr>
      </w:pPr>
    </w:p>
    <w:p>
      <w:pPr>
        <w:ind w:right="2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firstLine="4"/>
        <w:spacing w:after="0" w:line="300" w:lineRule="auto"/>
        <w:tabs>
          <w:tab w:leader="none" w:pos="249" w:val="left"/>
        </w:tabs>
        <w:numPr>
          <w:ilvl w:val="0"/>
          <w:numId w:val="37"/>
        </w:numPr>
        <w:rPr>
          <w:rFonts w:ascii="Arial" w:cs="Arial" w:eastAsia="Arial" w:hAnsi="Arial"/>
          <w:sz w:val="15"/>
          <w:szCs w:val="15"/>
          <w:color w:val="auto"/>
        </w:rPr>
      </w:pPr>
      <w:r>
        <w:rPr>
          <w:rFonts w:ascii="Arial" w:cs="Arial" w:eastAsia="Arial" w:hAnsi="Arial"/>
          <w:sz w:val="15"/>
          <w:szCs w:val="15"/>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Bank or of any commercial bank satisfying the requirements of clause</w:t>
      </w:r>
    </w:p>
    <w:p>
      <w:pPr>
        <w:spacing w:after="0" w:line="2" w:lineRule="exact"/>
        <w:rPr>
          <w:rFonts w:ascii="Arial" w:cs="Arial" w:eastAsia="Arial" w:hAnsi="Arial"/>
          <w:sz w:val="15"/>
          <w:szCs w:val="15"/>
          <w:color w:val="auto"/>
        </w:rPr>
      </w:pPr>
    </w:p>
    <w:p>
      <w:pPr>
        <w:ind w:firstLine="4"/>
        <w:spacing w:after="0" w:line="287"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3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LAZ-MD Holdings, or, in the case of the Company, Holdings or its controlled affiliates) of beneficial ownership of more than 35%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 Company</w:t>
      </w:r>
      <w:r>
        <w:rPr>
          <w:rFonts w:ascii="Arial" w:cs="Arial" w:eastAsia="Arial" w:hAnsi="Arial"/>
          <w:sz w:val="16"/>
          <w:szCs w:val="16"/>
          <w:color w:val="auto"/>
        </w:rPr>
        <w:t>”) and such Parent Company shall not have an individual or group having beneficial ownership of more than 35% of the Capital Stock of the Parent Company generally entitled to elect the directors of the Parent Company), (b) failure of Continuing Directors to constitute a majority of the Board of Directors of Holdings, (c) failure of the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84" w:name="page85"/>
    <w:bookmarkEnd w:id="8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Managing Directors to hold, directly or indirectly, Holdings Capital Stock or securities convertible or exchangeable into Holdings Capital Stock (including, without limitation, Exchangeable Interests, restricted stock, restricted stock units or other issuances under Holdings’ equity incentive plan) constituting at least 7.5% (on an as exchanged basis) of the amount of Holdings Capital Stock outstanding as of the Effective Date (or, in the case of the formation of any Parent Company, references to Holdings Capital Stock in this clause (c) shall refer to the Capital Stock of the Parent Company generally entitled to elect the directors of the Parent Company (with such percentage to be based upon the shares of such Capital Stock received by holders of Holdings Capital Stock received pursuant to the formation of such Parent Company)) or (d)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13"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51"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51"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51"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right="360" w:firstLine="4"/>
        <w:spacing w:after="0" w:line="323"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sum, without duplication, of the amounts for such period of (i) Consolidated Net Income, (ii) Consolidated Interest Expense, (iii) provisions for taxes based on income plus tax distributions in accordance with the Company’s operating agreement (computed on a cash</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85" w:name="page86"/>
    <w:bookmarkEnd w:id="8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basis), (iv) total depreciation expense, (v) total amortization expense, (vi) other non-cash expenses, fees, charges, reserves or losses reducing Consolidated Net Income, including provisions for minority interests to the extent exceeding cash distributions to the related minority interest holders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39"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51"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37"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51"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86" w:name="page87"/>
    <w:bookmarkEnd w:id="8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In addition, Consolidated Net Income shall be reduced by an amount equal to the tax distributions (computed on a cash basis) in accordance with the Company’s operating agreement.</w:t>
      </w:r>
    </w:p>
    <w:p>
      <w:pPr>
        <w:spacing w:after="0" w:line="35"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Indebtedness in respect of (i) the Intesa Notes and (ii) any Indebtedness of equal or junior ranking to the Intesa Notes.</w:t>
      </w:r>
    </w:p>
    <w:p>
      <w:pPr>
        <w:spacing w:after="0" w:line="35"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59"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51"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w:t>
      </w:r>
    </w:p>
    <w:p>
      <w:pPr>
        <w:spacing w:after="0" w:line="38" w:lineRule="exact"/>
        <w:rPr>
          <w:sz w:val="20"/>
          <w:szCs w:val="20"/>
          <w:color w:val="auto"/>
        </w:rPr>
      </w:pPr>
    </w:p>
    <w:p>
      <w:pPr>
        <w:ind w:firstLine="4"/>
        <w:spacing w:after="0" w:line="281"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Loans, (d) otherwise failed to pay over to the Administrative Agent or any other Bank any other amount required to be paid by it hereunder within three</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Days of</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when due, unless the subject of a good faith dispute, or (e) (i) become or is insolvent or has a parent company that has become or is insolvent or</w:t>
      </w:r>
    </w:p>
    <w:p>
      <w:pPr>
        <w:spacing w:after="0" w:line="38" w:lineRule="exact"/>
        <w:rPr>
          <w:sz w:val="20"/>
          <w:szCs w:val="20"/>
          <w:color w:val="auto"/>
        </w:rPr>
      </w:pPr>
    </w:p>
    <w:p>
      <w:pPr>
        <w:jc w:val="both"/>
        <w:ind w:right="140" w:firstLine="4"/>
        <w:spacing w:after="0" w:line="295"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34"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4"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Lazard Frères &amp; Co. LLC, Lazard Asset Management LLC, Lazard &amp; Co., Limited and Lazard Frères SAS and each of their respective successors.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all the conditions set forth in Section 5.1 are satisfied.</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59"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62"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shall be determined by reference to such other comparable publicly available service for displaying eurodollar rates as may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88" w:name="page89"/>
    <w:bookmarkEnd w:id="8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selected by the Administrative Agent or, in the absence of such availability, by reference to the rate at which the Administrative Agent is offered Dollar deposits at or about 11:00 A.M., New York City time, two (2)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-13970</wp:posOffset>
            </wp:positionV>
            <wp:extent cx="2541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1.00 - Eurocurrency Reserve Requirements</w:t>
      </w:r>
    </w:p>
    <w:p>
      <w:pPr>
        <w:spacing w:after="0" w:line="165"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Interest</w:t>
      </w:r>
      <w:r>
        <w:rPr>
          <w:rFonts w:ascii="Arial" w:cs="Arial" w:eastAsia="Arial" w:hAnsi="Arial"/>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5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Senior Revolving Credit Agreement dated as of May 10, 2005, as amended, among the Company, the banks from time to time parties hereto, and JPMorgan Chase Bank, N.A., as administrative agent.</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4" w:lineRule="exact"/>
        <w:rPr>
          <w:sz w:val="20"/>
          <w:szCs w:val="20"/>
          <w:color w:val="auto"/>
        </w:rPr>
      </w:pPr>
    </w:p>
    <w:p>
      <w:pPr>
        <w:ind w:right="16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w:t>
      </w:r>
      <w:r>
        <w:rPr>
          <w:rFonts w:ascii="Arial" w:cs="Arial" w:eastAsia="Arial" w:hAnsi="Arial"/>
          <w:sz w:val="18"/>
          <w:szCs w:val="18"/>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 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89" w:name="page90"/>
    <w:bookmarkEnd w:id="89"/>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1/100 of 1%.</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 Loans</w:t>
      </w:r>
      <w:r>
        <w:rPr>
          <w:rFonts w:ascii="Arial" w:cs="Arial" w:eastAsia="Arial" w:hAnsi="Arial"/>
          <w:sz w:val="18"/>
          <w:szCs w:val="18"/>
          <w:color w:val="auto"/>
        </w:rPr>
        <w:t>”: Loans the rate of interest applicable to which is based upon the Fed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March 29, 2010 among the Lead Arranger, the Administrative Agent and the Company.</w:t>
      </w:r>
    </w:p>
    <w:p>
      <w:pPr>
        <w:spacing w:after="0" w:line="90"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FOCUS Report</w:t>
      </w:r>
      <w:r>
        <w:rPr>
          <w:rFonts w:ascii="Arial" w:cs="Arial" w:eastAsia="Arial" w:hAnsi="Arial"/>
          <w:sz w:val="18"/>
          <w:szCs w:val="18"/>
          <w:color w:val="auto"/>
        </w:rPr>
        <w:t>”: a Financial and Operational Combined Uniform Single Report required to be filed on a quarterly basis with the SEC and the NASD or the Exchange, as applicable, or any report which is required in lieu of such report, or any equivalent reporting statement required by the applicable regulatory agency for any Designated Subsidiary.</w:t>
      </w:r>
    </w:p>
    <w:p>
      <w:pPr>
        <w:spacing w:after="0" w:line="59" w:lineRule="exact"/>
        <w:rPr>
          <w:sz w:val="20"/>
          <w:szCs w:val="20"/>
          <w:color w:val="auto"/>
        </w:rPr>
      </w:pPr>
    </w:p>
    <w:p>
      <w:pPr>
        <w:jc w:val="both"/>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five years has been maintained or contributed to) by the Company, any of its Significant Subsidiaries or any Commonly Controlled Entity.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51" w:lineRule="exact"/>
        <w:rPr>
          <w:sz w:val="20"/>
          <w:szCs w:val="20"/>
          <w:color w:val="auto"/>
        </w:rPr>
      </w:pPr>
    </w:p>
    <w:p>
      <w:pPr>
        <w:ind w:right="20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Obligation</w:t>
      </w:r>
      <w:r>
        <w:rPr>
          <w:rFonts w:ascii="Arial" w:cs="Arial" w:eastAsia="Arial" w:hAnsi="Arial"/>
          <w:sz w:val="15"/>
          <w:szCs w:val="15"/>
          <w:color w:val="auto"/>
        </w:rPr>
        <w:t>”: as to any Person (the “</w:t>
      </w:r>
      <w:r>
        <w:rPr>
          <w:rFonts w:ascii="Arial" w:cs="Arial" w:eastAsia="Arial" w:hAnsi="Arial"/>
          <w:sz w:val="15"/>
          <w:szCs w:val="15"/>
          <w:u w:val="single" w:color="auto"/>
          <w:color w:val="auto"/>
        </w:rPr>
        <w:t>guaranteeing person</w:t>
      </w:r>
      <w:r>
        <w:rPr>
          <w:rFonts w:ascii="Arial" w:cs="Arial" w:eastAsia="Arial" w:hAnsi="Arial"/>
          <w:sz w:val="15"/>
          <w:szCs w:val="15"/>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any other third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2" w:lineRule="exact"/>
        <w:rPr>
          <w:sz w:val="20"/>
          <w:szCs w:val="20"/>
          <w:color w:val="auto"/>
        </w:rPr>
      </w:pPr>
    </w:p>
    <w:p>
      <w:pPr>
        <w:ind w:left="220" w:hanging="216"/>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purchase or payment of any such primary obligation or (ii) to maintain working capital or equity capital of the primary obligor or otherwise to</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assurances given in the ordinary course of business for the payment of obligations of customers or suppliers of the Company or any Subsidiary, customary indemnifications, representations and</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90" w:name="page91"/>
    <w:bookmarkEnd w:id="9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90" w:lineRule="exact"/>
        <w:rPr>
          <w:sz w:val="20"/>
          <w:szCs w:val="20"/>
          <w:color w:val="auto"/>
        </w:rPr>
      </w:pPr>
    </w:p>
    <w:p>
      <w:pPr>
        <w:ind w:right="10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ind w:right="180" w:firstLine="4"/>
        <w:spacing w:after="0" w:line="300" w:lineRule="auto"/>
        <w:tabs>
          <w:tab w:leader="none" w:pos="239" w:val="left"/>
        </w:tabs>
        <w:numPr>
          <w:ilvl w:val="0"/>
          <w:numId w:val="44"/>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1" w:lineRule="exact"/>
        <w:rPr>
          <w:rFonts w:ascii="Arial" w:cs="Arial" w:eastAsia="Arial" w:hAnsi="Arial"/>
          <w:sz w:val="15"/>
          <w:szCs w:val="15"/>
          <w:color w:val="auto"/>
        </w:rPr>
      </w:pPr>
    </w:p>
    <w:p>
      <w:pPr>
        <w:ind w:firstLine="4"/>
        <w:spacing w:after="0" w:line="285" w:lineRule="auto"/>
        <w:tabs>
          <w:tab w:leader="none" w:pos="2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any Cash and Cash Equivalents of the Company and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Subsidiaries to the extent such Cash and Cash Equivalents are greater than $50,000,000.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51"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180" w:firstLine="421"/>
        <w:spacing w:after="0" w:line="256" w:lineRule="auto"/>
        <w:tabs>
          <w:tab w:leader="none" w:pos="11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62" w:lineRule="exact"/>
        <w:rPr>
          <w:rFonts w:ascii="Arial" w:cs="Arial" w:eastAsia="Arial" w:hAnsi="Arial"/>
          <w:sz w:val="18"/>
          <w:szCs w:val="18"/>
          <w:color w:val="auto"/>
        </w:rPr>
      </w:pPr>
    </w:p>
    <w:p>
      <w:pPr>
        <w:ind w:left="460" w:right="240" w:firstLine="421"/>
        <w:spacing w:after="0" w:line="335" w:lineRule="auto"/>
        <w:tabs>
          <w:tab w:leader="none" w:pos="112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no</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numerically corresponding day in the calendar month at the end of such Interest Period) shall end on the last Business Day of a calendar month.</w:t>
      </w:r>
    </w:p>
    <w:p>
      <w:pPr>
        <w:spacing w:after="0" w:line="113"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Intesa Notes</w:t>
      </w:r>
      <w:r>
        <w:rPr>
          <w:rFonts w:ascii="Arial" w:cs="Arial" w:eastAsia="Arial" w:hAnsi="Arial"/>
          <w:sz w:val="18"/>
          <w:szCs w:val="18"/>
          <w:color w:val="auto"/>
        </w:rPr>
        <w:t>”: that certain subordinated convertible promissory note, dated March 26, 2003 and amended and restated as of May 15, 2006, in the principal amount of $150,000,000, issued by Lazard Funding Limited LLC in favor of Banca Intesa S.p.A.</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Intesa Strategic Alliance</w:t>
      </w:r>
      <w:r>
        <w:rPr>
          <w:rFonts w:ascii="Arial" w:cs="Arial" w:eastAsia="Arial" w:hAnsi="Arial"/>
          <w:sz w:val="18"/>
          <w:szCs w:val="18"/>
          <w:color w:val="auto"/>
        </w:rPr>
        <w:t>”: that certain strategic alliance entered into between the Company and Banca Intesa S.p.A. in September 2002, pursuant to which Banca Intesa S.p.A. acquired a 40% interest in Lazard &amp; Co. S.r.l.</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LAZ-MD Holdings</w:t>
      </w:r>
      <w:r>
        <w:rPr>
          <w:rFonts w:ascii="Arial" w:cs="Arial" w:eastAsia="Arial" w:hAnsi="Arial"/>
          <w:sz w:val="18"/>
          <w:szCs w:val="18"/>
          <w:color w:val="auto"/>
        </w:rPr>
        <w:t>”: LAZ-MD Holdings LLC, a Delaware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90"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Lease Commitment</w:t>
      </w:r>
      <w:r>
        <w:rPr>
          <w:rFonts w:ascii="Arial" w:cs="Arial" w:eastAsia="Arial" w:hAnsi="Arial"/>
          <w:sz w:val="18"/>
          <w:szCs w:val="18"/>
          <w:color w:val="auto"/>
        </w:rPr>
        <w:t>”: as to the Company, its liability for certain operating lease commitments related to its office facilities in London with no assured substantive future use or benefit to the Company.</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Indebtedness</w:t>
      </w:r>
      <w:r>
        <w:rPr>
          <w:rFonts w:ascii="Arial" w:cs="Arial" w:eastAsia="Arial" w:hAnsi="Arial"/>
          <w:sz w:val="18"/>
          <w:szCs w:val="18"/>
          <w:color w:val="auto"/>
        </w:rPr>
        <w:t>”: at any date of determination, Indebtedness (including Capital Lease Obligations) of the Company maturing after twelve months from such date.</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Investments</w:t>
      </w:r>
      <w:r>
        <w:rPr>
          <w:rFonts w:ascii="Arial" w:cs="Arial" w:eastAsia="Arial" w:hAnsi="Arial"/>
          <w:sz w:val="18"/>
          <w:szCs w:val="18"/>
          <w:color w:val="auto"/>
        </w:rPr>
        <w:t>”: Investments of the Company other than those Investments which are listed on a national exchange and for which there is an active quoted price.</w:t>
      </w:r>
    </w:p>
    <w:p>
      <w:pPr>
        <w:spacing w:after="0" w:line="51"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Directors</w:t>
      </w:r>
      <w:r>
        <w:rPr>
          <w:rFonts w:ascii="Arial" w:cs="Arial" w:eastAsia="Arial" w:hAnsi="Arial"/>
          <w:sz w:val="18"/>
          <w:szCs w:val="18"/>
          <w:color w:val="auto"/>
        </w:rPr>
        <w:t>”: the collective reference to each of the managing directors of Holdings, the Company, LFCM Holdings LLC or any of their respective controlled affiliates who holds, directly or indirectly, an equity interest of Holdings or securities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93" w:name="page94"/>
    <w:bookmarkEnd w:id="9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Separation Agreement</w:t>
      </w:r>
      <w:r>
        <w:rPr>
          <w:rFonts w:ascii="Arial" w:cs="Arial" w:eastAsia="Arial" w:hAnsi="Arial"/>
          <w:sz w:val="18"/>
          <w:szCs w:val="18"/>
          <w:color w:val="auto"/>
        </w:rPr>
        <w:t>”: means the Master Separation Agreement, dated as of May 10, 2005, by and among Holdings, LAZ-MD Holdings, the Company and LFCM Holdings LLC, as amended from time to time.</w:t>
      </w:r>
    </w:p>
    <w:p>
      <w:pPr>
        <w:spacing w:after="0" w:line="51"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third anniversary of the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90"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Minority Interests</w:t>
      </w:r>
      <w:r>
        <w:rPr>
          <w:rFonts w:ascii="Arial" w:cs="Arial" w:eastAsia="Arial" w:hAnsi="Arial"/>
          <w:sz w:val="16"/>
          <w:szCs w:val="16"/>
          <w:color w:val="auto"/>
        </w:rPr>
        <w:t>”: the collective reference to any capital contributions made by a third party to the Company and any profit participation interests and the equity units of Lazard Asset Management LLC issued pursuant to the Lazard Asset Management LLC Limited Liability Company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the National Association of Securities Dealers, Inc., or any other self-regulatory body which succeeds to the functions of the National Association of Securities Dealers, Inc.</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Capital</w:t>
      </w:r>
      <w:r>
        <w:rPr>
          <w:rFonts w:ascii="Arial" w:cs="Arial" w:eastAsia="Arial" w:hAnsi="Arial"/>
          <w:sz w:val="18"/>
          <w:szCs w:val="18"/>
          <w:color w:val="auto"/>
        </w:rPr>
        <w:t>”: as defined in Rule 15c3-1, including the appendices thereto, as promulgated by the SEC under the Act (17 CFR 240.15c3-1), as such rule may be amended from time to time, or any rule or regulation of the SEC which replaces Rule 15c3-1.</w:t>
      </w:r>
    </w:p>
    <w:p>
      <w:pPr>
        <w:spacing w:after="0" w:line="51" w:lineRule="exact"/>
        <w:rPr>
          <w:sz w:val="20"/>
          <w:szCs w:val="20"/>
          <w:color w:val="auto"/>
        </w:rPr>
      </w:pPr>
    </w:p>
    <w:p>
      <w:pPr>
        <w:ind w:right="4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94" w:name="page95"/>
    <w:bookmarkEnd w:id="9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Cash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43"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95" w:name="page96"/>
    <w:bookmarkEnd w:id="95"/>
    <w:p>
      <w:pPr>
        <w:ind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House</w:t>
      </w:r>
      <w:r>
        <w:rPr>
          <w:rFonts w:ascii="Arial" w:cs="Arial" w:eastAsia="Arial" w:hAnsi="Arial"/>
          <w:sz w:val="18"/>
          <w:szCs w:val="18"/>
          <w:color w:val="auto"/>
        </w:rPr>
        <w:t>”: the business operations of the Company headquartered in Paris.</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Lease</w:t>
      </w:r>
      <w:r>
        <w:rPr>
          <w:rFonts w:ascii="Arial" w:cs="Arial" w:eastAsia="Arial" w:hAnsi="Arial"/>
          <w:sz w:val="18"/>
          <w:szCs w:val="18"/>
          <w:color w:val="auto"/>
        </w:rPr>
        <w:t>”: the sale and lease-back of the real properties located at 121 Boulevard Haussmann, 75008, Paris, 119 Boulevard Haussmann, 75008, Paris, and 10 Avenue Percier, 75008, Paris.</w:t>
      </w:r>
    </w:p>
    <w:p>
      <w:pPr>
        <w:spacing w:after="0" w:line="51"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Profit Sharing Plan</w:t>
      </w:r>
      <w:r>
        <w:rPr>
          <w:rFonts w:ascii="Arial" w:cs="Arial" w:eastAsia="Arial" w:hAnsi="Arial"/>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ind w:right="100" w:firstLine="443"/>
        <w:spacing w:after="0" w:line="259" w:lineRule="auto"/>
        <w:tabs>
          <w:tab w:leader="none" w:pos="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9" w:lineRule="exact"/>
        <w:rPr>
          <w:rFonts w:ascii="Arial" w:cs="Arial" w:eastAsia="Arial" w:hAnsi="Arial"/>
          <w:sz w:val="18"/>
          <w:szCs w:val="18"/>
          <w:color w:val="auto"/>
        </w:rPr>
      </w:pPr>
    </w:p>
    <w:p>
      <w:pPr>
        <w:ind w:right="700" w:firstLine="443"/>
        <w:spacing w:after="0" w:line="357" w:lineRule="auto"/>
        <w:tabs>
          <w:tab w:leader="none" w:pos="68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40" w:firstLine="443"/>
        <w:spacing w:after="0" w:line="268" w:lineRule="auto"/>
        <w:tabs>
          <w:tab w:leader="none" w:pos="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51"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any Indebtedness issued in exchange for, or the net proceeds of which are used to 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the Indebtedness being Refinanced (or previous refinancings thereof constituting Permitted Refinancing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700" w:top="280" w:right="359" w:bottom="1440" w:gutter="0" w:footer="0" w:header="0"/>
        </w:sectPr>
      </w:pPr>
    </w:p>
    <w:bookmarkStart w:id="96" w:name="page97"/>
    <w:bookmarkEnd w:id="9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35"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51" w:lineRule="exact"/>
        <w:rPr>
          <w:sz w:val="20"/>
          <w:szCs w:val="20"/>
          <w:color w:val="auto"/>
        </w:rPr>
      </w:pPr>
    </w:p>
    <w:p>
      <w:pPr>
        <w:ind w:right="6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ectPr>
          <w:pgSz w:w="11900" w:h="16838" w:orient="portrait"/>
          <w:cols w:equalWidth="0" w:num="1">
            <w:col w:w="10920"/>
          </w:cols>
          <w:pgMar w:left="700" w:top="280" w:right="279" w:bottom="1440" w:gutter="0" w:footer="0" w:header="0"/>
        </w:sectPr>
      </w:pP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Platform</w:t>
      </w:r>
      <w:r>
        <w:rPr>
          <w:rFonts w:ascii="Arial" w:cs="Arial" w:eastAsia="Arial" w:hAnsi="Arial"/>
          <w:sz w:val="16"/>
          <w:szCs w:val="16"/>
          <w:color w:val="auto"/>
        </w:rPr>
        <w:t>”: as defined in Section 12.2.</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Grid</w:t>
      </w:r>
      <w:r>
        <w:rPr>
          <w:rFonts w:ascii="Arial" w:cs="Arial" w:eastAsia="Arial" w:hAnsi="Arial"/>
          <w:sz w:val="16"/>
          <w:szCs w:val="16"/>
          <w:color w:val="auto"/>
        </w:rPr>
        <w:t>”: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Ratings</w:t>
      </w:r>
    </w:p>
    <w:p>
      <w:pPr>
        <w:spacing w:after="0" w:line="17" w:lineRule="exact"/>
        <w:rPr>
          <w:sz w:val="20"/>
          <w:szCs w:val="20"/>
          <w:color w:val="auto"/>
        </w:rPr>
      </w:pPr>
    </w:p>
    <w:p>
      <w:pPr>
        <w:ind w:left="600" w:hanging="134"/>
        <w:spacing w:after="0"/>
        <w:tabs>
          <w:tab w:leader="none" w:pos="600"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color w:val="auto"/>
        </w:rPr>
        <w:t>BBB or Baa2</w:t>
      </w:r>
    </w:p>
    <w:p>
      <w:pPr>
        <w:spacing w:after="0" w:line="22" w:lineRule="exact"/>
        <w:rPr>
          <w:rFonts w:ascii="Arial" w:cs="Arial" w:eastAsia="Arial" w:hAnsi="Arial"/>
          <w:sz w:val="18"/>
          <w:szCs w:val="18"/>
          <w:u w:val="single" w:color="auto"/>
          <w:color w:val="auto"/>
        </w:rPr>
      </w:pPr>
    </w:p>
    <w:p>
      <w:pPr>
        <w:ind w:left="600" w:hanging="134"/>
        <w:spacing w:after="0"/>
        <w:tabs>
          <w:tab w:leader="none" w:pos="600"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color w:val="auto"/>
        </w:rPr>
        <w:t>BBB- or Baa3</w:t>
      </w:r>
    </w:p>
    <w:p>
      <w:pPr>
        <w:spacing w:after="0" w:line="15" w:lineRule="exact"/>
        <w:rPr>
          <w:rFonts w:ascii="Arial" w:cs="Arial" w:eastAsia="Arial" w:hAnsi="Arial"/>
          <w:sz w:val="18"/>
          <w:szCs w:val="18"/>
          <w:u w:val="single" w:color="auto"/>
          <w:color w:val="auto"/>
        </w:rPr>
      </w:pPr>
    </w:p>
    <w:p>
      <w:pPr>
        <w:jc w:val="both"/>
        <w:ind w:left="460" w:right="4920" w:firstLine="6"/>
        <w:spacing w:after="0" w:line="323" w:lineRule="auto"/>
        <w:tabs>
          <w:tab w:leader="none" w:pos="603" w:val="left"/>
        </w:tabs>
        <w:numPr>
          <w:ilvl w:val="0"/>
          <w:numId w:val="49"/>
        </w:numPr>
        <w:rPr>
          <w:rFonts w:ascii="Arial" w:cs="Arial" w:eastAsia="Arial" w:hAnsi="Arial"/>
          <w:sz w:val="16"/>
          <w:szCs w:val="16"/>
          <w:u w:val="single" w:color="auto"/>
          <w:color w:val="auto"/>
        </w:rPr>
      </w:pPr>
      <w:r>
        <w:rPr>
          <w:rFonts w:ascii="Arial" w:cs="Arial" w:eastAsia="Arial" w:hAnsi="Arial"/>
          <w:sz w:val="16"/>
          <w:szCs w:val="16"/>
          <w:color w:val="auto"/>
        </w:rPr>
        <w:t>BB+ or Ba1 &lt; BB+ or Ba1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300"/>
              <w:spacing w:after="0"/>
              <w:rPr>
                <w:sz w:val="20"/>
                <w:szCs w:val="20"/>
                <w:color w:val="auto"/>
              </w:rPr>
            </w:pPr>
            <w:r>
              <w:rPr>
                <w:rFonts w:ascii="Arial" w:cs="Arial" w:eastAsia="Arial" w:hAnsi="Arial"/>
                <w:sz w:val="14"/>
                <w:szCs w:val="14"/>
                <w:color w:val="auto"/>
              </w:rPr>
              <w:t>Applicable Margin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Federal</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Funds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Eurodollar</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Rate</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Commitment</w:t>
            </w:r>
          </w:p>
        </w:tc>
      </w:tr>
      <w:tr>
        <w:trPr>
          <w:trHeight w:val="159"/>
        </w:trPr>
        <w:tc>
          <w:tcPr>
            <w:tcW w:w="10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Loans</w:t>
            </w:r>
          </w:p>
        </w:tc>
        <w:tc>
          <w:tcPr>
            <w:tcW w:w="10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9"/>
              </w:rPr>
              <w:t>Loans</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Fee</w:t>
            </w:r>
          </w:p>
        </w:tc>
      </w:tr>
      <w:tr>
        <w:trPr>
          <w:trHeight w:val="201"/>
        </w:trPr>
        <w:tc>
          <w:tcPr>
            <w:tcW w:w="60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1"/>
              </w:rPr>
              <w:t>275 bps</w:t>
            </w:r>
          </w:p>
        </w:tc>
        <w:tc>
          <w:tcPr>
            <w:tcW w:w="460" w:type="dxa"/>
            <w:vAlign w:val="bottom"/>
          </w:tcPr>
          <w:p>
            <w:pPr>
              <w:spacing w:after="0"/>
              <w:rPr>
                <w:sz w:val="17"/>
                <w:szCs w:val="17"/>
                <w:color w:val="auto"/>
              </w:rPr>
            </w:pPr>
          </w:p>
        </w:tc>
        <w:tc>
          <w:tcPr>
            <w:tcW w:w="6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175 bps</w:t>
            </w:r>
          </w:p>
        </w:tc>
        <w:tc>
          <w:tcPr>
            <w:tcW w:w="460" w:type="dxa"/>
            <w:vAlign w:val="bottom"/>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 bps</w:t>
            </w:r>
          </w:p>
        </w:tc>
        <w:tc>
          <w:tcPr>
            <w:tcW w:w="20" w:type="dxa"/>
            <w:vAlign w:val="bottom"/>
          </w:tcPr>
          <w:p>
            <w:pPr>
              <w:spacing w:after="0"/>
              <w:rPr>
                <w:sz w:val="17"/>
                <w:szCs w:val="17"/>
                <w:color w:val="auto"/>
              </w:rPr>
            </w:pPr>
          </w:p>
        </w:tc>
      </w:tr>
      <w:tr>
        <w:trPr>
          <w:trHeight w:val="216"/>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300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200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 bps</w:t>
            </w:r>
          </w:p>
        </w:tc>
      </w:tr>
      <w:tr>
        <w:trPr>
          <w:trHeight w:val="216"/>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325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225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 bps</w:t>
            </w:r>
          </w:p>
        </w:tc>
      </w:tr>
      <w:tr>
        <w:trPr>
          <w:trHeight w:val="222"/>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350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250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-555625</wp:posOffset>
            </wp:positionV>
            <wp:extent cx="608012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-272415</wp:posOffset>
            </wp:positionV>
            <wp:extent cx="60801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6380" w:space="720"/>
            <w:col w:w="3820"/>
          </w:cols>
          <w:pgMar w:left="700" w:top="280" w:right="279" w:bottom="1440" w:gutter="0" w:footer="0" w:header="0"/>
          <w:type w:val="continuous"/>
        </w:sectPr>
      </w:pPr>
    </w:p>
    <w:p>
      <w:pPr>
        <w:ind w:right="20"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either Moody’s or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(3) Business Days after the date of such change and shall remain in effect until the next change to be effected pursuant to this paragraph. In the event that Ratings established by Moody’s and S&amp;P are split, the Pricing Grid will be based on the higher rating.</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4975(f)(3) of the Code.</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type w:val="continuous"/>
        </w:sectPr>
      </w:pPr>
    </w:p>
    <w:bookmarkStart w:id="97" w:name="page98"/>
    <w:bookmarkEnd w:id="97"/>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or Moody’s;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Moody’s or S&amp;P, or both,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39"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39" w:lineRule="exact"/>
        <w:rPr>
          <w:sz w:val="20"/>
          <w:szCs w:val="20"/>
          <w:color w:val="auto"/>
        </w:rPr>
      </w:pPr>
    </w:p>
    <w:p>
      <w:pPr>
        <w:ind w:right="1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right="300" w:firstLine="443"/>
        <w:spacing w:after="0" w:line="298" w:lineRule="auto"/>
        <w:tabs>
          <w:tab w:leader="none" w:pos="677"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31"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98" w:name="page99"/>
    <w:bookmarkEnd w:id="98"/>
    <w:p>
      <w:pPr>
        <w:ind w:right="580" w:firstLine="443"/>
        <w:spacing w:after="0" w:line="268" w:lineRule="auto"/>
        <w:tabs>
          <w:tab w:leader="none" w:pos="67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which neither the Company nor any other Subsidiary of the Company has any obligation to maintain or preserve such entity’s financial condition or cause such entity to achieve certain levels of operating results.</w:t>
      </w:r>
    </w:p>
    <w:p>
      <w:pPr>
        <w:spacing w:after="0" w:line="51"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84"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 4043.</w:t>
      </w:r>
    </w:p>
    <w:p>
      <w:pPr>
        <w:spacing w:after="0" w:line="51"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if the Commitments have terminated, (b)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26"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6"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as to the Company, any public filings that the Company or Lazard Ltd has made on form 10K, 10Q or 8K pursuant to the U.S. federal securities statutes, rules or regulations prior to the Effective Date.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80" w:right="279" w:bottom="1440" w:gutter="0" w:footer="0" w:header="0"/>
        </w:sectPr>
      </w:pPr>
    </w:p>
    <w:bookmarkStart w:id="99" w:name="page100"/>
    <w:bookmarkEnd w:id="99"/>
    <w:p>
      <w:pPr>
        <w:ind w:right="3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26" w:lineRule="exact"/>
        <w:rPr>
          <w:sz w:val="20"/>
          <w:szCs w:val="20"/>
          <w:color w:val="auto"/>
        </w:rPr>
      </w:pPr>
    </w:p>
    <w:p>
      <w:pPr>
        <w:ind w:right="6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the senior notes of the Company, in the principal amount outstanding of $1,150,000,000, issued pursuant to the Senior Note Indentures.</w:t>
      </w:r>
    </w:p>
    <w:p>
      <w:pPr>
        <w:spacing w:after="0" w:line="51"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6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51"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xml:space="preserve">”: Indebtedness of the Company that is subordinated in right of payment to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32"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a corporation, limited liability company or other similar business entity of which shares of stock or other equity interests having ordinary voting power (other than stock or other equity interests having such power only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00" w:name="page101"/>
    <w:bookmarkEnd w:id="100"/>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62"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26"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Fed Rate Loan or a Eurodollar Loan.</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51"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xml:space="preserve">”: as reflected on the balance sheet of the Company at any date of determination, the Members’ Equity and any other Capital Stock of the Company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(a) “mandatory” convertible or exchangeable indebtedness, (b) Long Term Indebtedness,</w:t>
      </w:r>
    </w:p>
    <w:p>
      <w:pPr>
        <w:ind w:right="40" w:firstLine="4"/>
        <w:spacing w:after="0" w:line="290" w:lineRule="auto"/>
        <w:tabs>
          <w:tab w:leader="none" w:pos="239"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Subordinated Indebtedness, (d) Minority Interests, (e) reserves for the London Lease Commitment, (f) other liabilities related to retiree medical and pension liabilities and deferred compensation relating to the Company’s statutory profit sharing plan in its Paris House, (g) deferred income related to the Intesa Strategic Alliance or similar arrangements that may be entered into in the future, (h) deferred income tax liabilities, (i) valuations attributable to any Swap Agreement and (j) issuances of preferred stock after the Effective Date to the extent not included in Members’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from each of clauses (a) through (j) any obligations maturing within twelve months of such date), </w:t>
      </w:r>
      <w:r>
        <w:rPr>
          <w:rFonts w:ascii="Arial" w:cs="Arial" w:eastAsia="Arial" w:hAnsi="Arial"/>
          <w:sz w:val="16"/>
          <w:szCs w:val="16"/>
          <w:u w:val="single" w:color="auto"/>
          <w:color w:val="auto"/>
        </w:rPr>
        <w:t>less</w:t>
      </w:r>
      <w:r>
        <w:rPr>
          <w:rFonts w:ascii="Arial" w:cs="Arial" w:eastAsia="Arial" w:hAnsi="Arial"/>
          <w:sz w:val="16"/>
          <w:szCs w:val="16"/>
          <w:color w:val="auto"/>
        </w:rPr>
        <w:t>, without duplication, the sum of (i) Long Term Investments, (ii) intangibles (including, but not limited to, goodwill), (iii) deferred financing costs, (iv) property, plant, equipment and</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101" w:name="page102"/>
    <w:bookmarkEnd w:id="101"/>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leasehold improvements, (v) amounts related to deferred income tax assets, (vi) any assets related to bonuses, pension and other post-retirement benefit obligations, (vii) valuations attributable to any Swap Agreement, (viii) any advances or prepayments and (ix) any assets that will not convert into cash within twelve months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deductions in clauses (i) through (ix) shall be reduced by any reserves or accumulated amortization or accumulated depreciation for such items).</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32" w:lineRule="exact"/>
        <w:rPr>
          <w:sz w:val="20"/>
          <w:szCs w:val="20"/>
          <w:color w:val="auto"/>
        </w:rPr>
      </w:pPr>
    </w:p>
    <w:p>
      <w:pPr>
        <w:ind w:right="40" w:firstLine="921"/>
        <w:spacing w:after="0" w:line="289"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18" w:lineRule="exact"/>
        <w:rPr>
          <w:rFonts w:ascii="Arial" w:cs="Arial" w:eastAsia="Arial" w:hAnsi="Arial"/>
          <w:sz w:val="16"/>
          <w:szCs w:val="16"/>
          <w:color w:val="auto"/>
        </w:rPr>
      </w:pPr>
    </w:p>
    <w:p>
      <w:pPr>
        <w:ind w:firstLine="921"/>
        <w:spacing w:after="0" w:line="283"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LOAN COMMITMENTS</w:t>
      </w:r>
    </w:p>
    <w:p>
      <w:pPr>
        <w:spacing w:after="0" w:line="171"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Loans</w:t>
      </w:r>
      <w:r>
        <w:rPr>
          <w:rFonts w:ascii="Arial" w:cs="Arial" w:eastAsia="Arial" w:hAnsi="Arial"/>
          <w:sz w:val="16"/>
          <w:szCs w:val="16"/>
          <w:color w:val="auto"/>
        </w:rPr>
        <w:t>. (a) Subject to the terms and conditions hereof, each Bank severally agrees to make revolving credit loans (individually, a “</w:t>
      </w:r>
      <w:r>
        <w:rPr>
          <w:rFonts w:ascii="Arial" w:cs="Arial" w:eastAsia="Arial" w:hAnsi="Arial"/>
          <w:sz w:val="16"/>
          <w:szCs w:val="16"/>
          <w:u w:val="single" w:color="auto"/>
          <w:color w:val="auto"/>
        </w:rPr>
        <w:t>Loan</w:t>
      </w:r>
      <w:r>
        <w:rPr>
          <w:rFonts w:ascii="Arial" w:cs="Arial" w:eastAsia="Arial" w:hAnsi="Arial"/>
          <w:sz w:val="16"/>
          <w:szCs w:val="16"/>
          <w:color w:val="auto"/>
        </w:rPr>
        <w:t>”; collectively, the “</w:t>
      </w:r>
      <w:r>
        <w:rPr>
          <w:rFonts w:ascii="Arial" w:cs="Arial" w:eastAsia="Arial" w:hAnsi="Arial"/>
          <w:sz w:val="16"/>
          <w:szCs w:val="16"/>
          <w:u w:val="single" w:color="auto"/>
          <w:color w:val="auto"/>
        </w:rPr>
        <w:t>Loans</w:t>
      </w:r>
      <w:r>
        <w:rPr>
          <w:rFonts w:ascii="Arial" w:cs="Arial" w:eastAsia="Arial" w:hAnsi="Arial"/>
          <w:sz w:val="16"/>
          <w:szCs w:val="16"/>
          <w:color w:val="auto"/>
        </w:rPr>
        <w:t>”) to the Company from time to time during the Commitment Period in an aggregate principal amount 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02" w:name="page103"/>
    <w:bookmarkEnd w:id="102"/>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40" w:lineRule="exact"/>
        <w:rPr>
          <w:sz w:val="20"/>
          <w:szCs w:val="20"/>
          <w:color w:val="auto"/>
        </w:rPr>
      </w:pPr>
    </w:p>
    <w:p>
      <w:pPr>
        <w:ind w:right="80" w:firstLine="921"/>
        <w:spacing w:after="0" w:line="259"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Each Bank may request that the Loans made by such Bank pursuant hereto shall be evidenced by a promissory note of the Company, substantially in the form of Exhibit A hereto, with appropriate insertions as to date and principal amount (individually a “Note”; collectively, the “Notes”), payable to the order of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18"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Each Fed Rate Loan shall bear interest for each day at a rate per annum equal to the Fed Rate determined for such day plus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165" w:lineRule="exact"/>
        <w:rPr>
          <w:sz w:val="20"/>
          <w:szCs w:val="20"/>
          <w:color w:val="auto"/>
        </w:rPr>
      </w:pPr>
    </w:p>
    <w:p>
      <w:pPr>
        <w:ind w:right="160" w:firstLine="921"/>
        <w:spacing w:after="0" w:line="268" w:lineRule="auto"/>
        <w:tabs>
          <w:tab w:leader="none" w:pos="11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131"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03" w:name="page104"/>
    <w:bookmarkEnd w:id="103"/>
    <w:p>
      <w:pPr>
        <w:ind w:right="20" w:firstLine="913"/>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5"/>
          <w:szCs w:val="15"/>
          <w:u w:val="single" w:color="auto"/>
          <w:color w:val="auto"/>
        </w:rPr>
        <w:t>Fees</w:t>
      </w:r>
      <w:r>
        <w:rPr>
          <w:rFonts w:ascii="Arial" w:cs="Arial" w:eastAsia="Arial" w:hAnsi="Arial"/>
          <w:sz w:val="15"/>
          <w:szCs w:val="15"/>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98" w:lineRule="exact"/>
        <w:rPr>
          <w:sz w:val="20"/>
          <w:szCs w:val="20"/>
          <w:color w:val="auto"/>
        </w:rPr>
      </w:pPr>
    </w:p>
    <w:p>
      <w:pPr>
        <w:ind w:right="60" w:firstLine="921"/>
        <w:spacing w:after="0" w:line="268"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 as set forth in the Fee Letter and to perform any other obligations contained therein.</w:t>
      </w:r>
    </w:p>
    <w:p>
      <w:pPr>
        <w:spacing w:after="0" w:line="132"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00" w:lineRule="exact"/>
        <w:rPr>
          <w:sz w:val="20"/>
          <w:szCs w:val="20"/>
          <w:color w:val="auto"/>
        </w:rPr>
      </w:pPr>
    </w:p>
    <w:p>
      <w:pPr>
        <w:ind w:right="120" w:firstLine="921"/>
        <w:spacing w:after="0" w:line="306"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3:00 P.M., New York City time, (a) three (3) Business Days prior to the requested Borrowing Date, if all or any part of the requested Loans are to be initially Eurodollar Loans or (b) one (1) Business Day prior to the requested Borrowing Date, otherwise), specifying (i) the amount to be borrowed, (ii) the requested Borrowing Date, (iii) 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04" w:name="page105"/>
    <w:bookmarkEnd w:id="104"/>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18" w:lineRule="exact"/>
        <w:rPr>
          <w:sz w:val="20"/>
          <w:szCs w:val="20"/>
          <w:color w:val="auto"/>
        </w:rPr>
      </w:pPr>
    </w:p>
    <w:p>
      <w:pPr>
        <w:ind w:right="40" w:firstLine="921"/>
        <w:spacing w:after="0" w:line="291"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Fed Rate Loans on the last day of such then expiring Interest Period.</w:t>
      </w:r>
    </w:p>
    <w:p>
      <w:pPr>
        <w:spacing w:after="0" w:line="20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(3)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1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Optional Prepayments of Loans</w:t>
      </w:r>
      <w:r>
        <w:rPr>
          <w:rFonts w:ascii="Arial" w:cs="Arial" w:eastAsia="Arial" w:hAnsi="Arial"/>
          <w:sz w:val="18"/>
          <w:szCs w:val="18"/>
          <w:color w:val="auto"/>
        </w:rPr>
        <w:t>. (a) The Company may, at any time, on the last day of any Interest Period with respect thereto, in the case of Eurodollar Loans (or on any other day if the Company reasonably promptly pays the costs arising therefrom pursuant to Section 2.12), and from time to time, in the case of Fed Rate Loans, and upon three (3) Business Days’ irrevocable notice, in the case of Eurodollar Loans, and upon one (1) Business Day’s notice, in case of Fed Rate Loans, to the Administrative Agent, prepay the Loans on the date specified in such notice, in whole or in part, with accrued interest to the date of such prepayment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05" w:name="page106"/>
    <w:bookmarkEnd w:id="10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the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partial prepayment of Loans shall be in a principal amount of $5,000,000 or a larger integral multiple of $1,000,000.</w:t>
      </w:r>
    </w:p>
    <w:p>
      <w:pPr>
        <w:spacing w:after="0" w:line="132" w:lineRule="exact"/>
        <w:rPr>
          <w:sz w:val="20"/>
          <w:szCs w:val="20"/>
          <w:color w:val="auto"/>
        </w:rPr>
      </w:pPr>
    </w:p>
    <w:p>
      <w:pPr>
        <w:ind w:right="300" w:firstLine="921"/>
        <w:spacing w:after="0" w:line="26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receipt of a notice of prepayment of Loans pursuant to Section 2.9(a), the Administrative Agent shall promptly notify each Bank of the contents thereof and of such Bank’s ratable share of such prepayment.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each payment (including each prepayment) by the Company on account of principal of and interest on the Loans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118" w:lineRule="exact"/>
        <w:rPr>
          <w:sz w:val="20"/>
          <w:szCs w:val="20"/>
          <w:color w:val="auto"/>
        </w:rPr>
      </w:pPr>
    </w:p>
    <w:p>
      <w:pPr>
        <w:ind w:right="20" w:firstLine="921"/>
        <w:spacing w:after="0" w:line="255"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Loans.</w:t>
      </w:r>
    </w:p>
    <w:p>
      <w:pPr>
        <w:spacing w:after="0" w:line="14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Non-Receipt of Funds by the Administrative Agent</w:t>
      </w:r>
      <w:r>
        <w:rPr>
          <w:rFonts w:ascii="Arial" w:cs="Arial" w:eastAsia="Arial" w:hAnsi="Arial"/>
          <w:sz w:val="15"/>
          <w:szCs w:val="15"/>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06" w:name="page107"/>
    <w:bookmarkEnd w:id="106"/>
    <w:p>
      <w:pPr>
        <w:ind w:right="280" w:firstLine="921"/>
        <w:spacing w:after="0" w:line="268"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facts stated therein.</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27"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Capital Adequacy</w:t>
      </w:r>
      <w:r>
        <w:rPr>
          <w:rFonts w:ascii="Arial" w:cs="Arial" w:eastAsia="Arial" w:hAnsi="Arial"/>
          <w:sz w:val="15"/>
          <w:szCs w:val="15"/>
          <w:color w:val="auto"/>
        </w:rPr>
        <w:t>.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generally to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of the facts stated therein.</w:t>
      </w:r>
    </w:p>
    <w:p>
      <w:pPr>
        <w:spacing w:after="0" w:line="11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07" w:name="page108"/>
    <w:bookmarkEnd w:id="10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1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herein, if the adoption of or any change in any Requirement of Law or in the interpretation or application thereof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23"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140" w:lineRule="exact"/>
        <w:rPr>
          <w:sz w:val="20"/>
          <w:szCs w:val="20"/>
          <w:color w:val="auto"/>
        </w:rPr>
      </w:pPr>
    </w:p>
    <w:p>
      <w:pPr>
        <w:ind w:right="80" w:firstLine="921"/>
        <w:spacing w:after="0" w:line="284" w:lineRule="auto"/>
        <w:tabs>
          <w:tab w:leader="none" w:pos="112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shall subject any Bank to any tax on its capital reserves with respect to this Agreement, any Note or any Eurodollar Loan made by it, (except for Non-Excluded Taxes covered by Section 2.17, changes in the rate of tax on the overall net income of such Bank, any branch profits imposed by the United States of America or any similar tax imposed by any other jurisdiction and any United States withholding taxes imposed by reason of Section 1471 through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1474 of the Code);</w:t>
      </w:r>
    </w:p>
    <w:p>
      <w:pPr>
        <w:spacing w:after="0" w:line="164" w:lineRule="exact"/>
        <w:rPr>
          <w:rFonts w:ascii="Arial" w:cs="Arial" w:eastAsia="Arial" w:hAnsi="Arial"/>
          <w:sz w:val="16"/>
          <w:szCs w:val="16"/>
          <w:color w:val="auto"/>
        </w:rPr>
      </w:pPr>
    </w:p>
    <w:p>
      <w:pPr>
        <w:ind w:right="40" w:firstLine="921"/>
        <w:spacing w:after="0" w:line="259" w:lineRule="auto"/>
        <w:tabs>
          <w:tab w:leader="none" w:pos="11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shall impose on such Bank any other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08" w:name="page109"/>
    <w:bookmarkEnd w:id="108"/>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generally to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18"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113" w:lineRule="exact"/>
        <w:rPr>
          <w:sz w:val="20"/>
          <w:szCs w:val="20"/>
          <w:color w:val="auto"/>
        </w:rPr>
      </w:pPr>
    </w:p>
    <w:p>
      <w:pPr>
        <w:ind w:firstLine="921"/>
        <w:spacing w:after="0" w:line="306" w:lineRule="auto"/>
        <w:tabs>
          <w:tab w:leader="none" w:pos="1162"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10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withholding taxes imposed by reason of Section 1471 through Section 1474 of the Code (other than by reason of a change in law imposed after the date hereof but not including changes in the rate of such withholding taxes);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or Other Taxes are required to be withheld from any amounts payable by the Company to the Administrative Agent or 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09" w:name="page110"/>
    <w:bookmarkEnd w:id="10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as determined in good faith by the applicable withholding agent, (x) such amounts shall be paid to the relevant Governmental Authority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118" w:lineRule="exact"/>
        <w:rPr>
          <w:sz w:val="20"/>
          <w:szCs w:val="20"/>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17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the Company fails to pay any Non-Excluded Taxes or Other Taxes when due to the appropriate taxing authority, the Company shall indemnify the Administrative Agent and the Banks for any incremental taxes, interest or penalties that may become payable by the Administrative Agent or any Bank as a result of any such failure.</w:t>
      </w:r>
    </w:p>
    <w:p>
      <w:pPr>
        <w:spacing w:after="0" w:line="115" w:lineRule="exact"/>
        <w:rPr>
          <w:rFonts w:ascii="Arial" w:cs="Arial" w:eastAsia="Arial" w:hAnsi="Arial"/>
          <w:sz w:val="16"/>
          <w:szCs w:val="16"/>
          <w:color w:val="auto"/>
        </w:rPr>
      </w:pPr>
    </w:p>
    <w:p>
      <w:pPr>
        <w:ind w:firstLine="921"/>
        <w:spacing w:after="0" w:line="286" w:lineRule="auto"/>
        <w:tabs>
          <w:tab w:leader="none" w:pos="11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reasonable requested by the Company or the Administrative Agent as will permit such payments to be made without withholding or at a reduced rate of withholding (including any documentation necessary to prevent withholding under Section 1471 through Section 1474 of the Code). Without limiting the generality of the foregoing, each Bank (or Assignee) that is not a “U.S.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Form W-8ECI, of Form W-81MY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10" w:name="page111"/>
    <w:bookmarkEnd w:id="11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w:t>
      </w:r>
    </w:p>
    <w:p>
      <w:pPr>
        <w:spacing w:after="0" w:line="120" w:lineRule="exact"/>
        <w:rPr>
          <w:sz w:val="20"/>
          <w:szCs w:val="20"/>
          <w:color w:val="auto"/>
        </w:rPr>
      </w:pPr>
    </w:p>
    <w:p>
      <w:pPr>
        <w:ind w:right="80" w:firstLine="921"/>
        <w:spacing w:after="0" w:line="255" w:lineRule="auto"/>
        <w:tabs>
          <w:tab w:leader="none" w:pos="11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142" w:lineRule="exact"/>
        <w:rPr>
          <w:rFonts w:ascii="Arial" w:cs="Arial" w:eastAsia="Arial" w:hAnsi="Arial"/>
          <w:sz w:val="18"/>
          <w:szCs w:val="18"/>
          <w:color w:val="auto"/>
        </w:rPr>
      </w:pPr>
    </w:p>
    <w:p>
      <w:pPr>
        <w:ind w:right="120" w:firstLine="921"/>
        <w:spacing w:after="0" w:line="309" w:lineRule="auto"/>
        <w:tabs>
          <w:tab w:leader="none" w:pos="11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108" w:lineRule="exact"/>
        <w:rPr>
          <w:rFonts w:ascii="Arial" w:cs="Arial" w:eastAsia="Arial" w:hAnsi="Arial"/>
          <w:sz w:val="15"/>
          <w:szCs w:val="15"/>
          <w:color w:val="auto"/>
        </w:rPr>
      </w:pPr>
    </w:p>
    <w:p>
      <w:pPr>
        <w:ind w:left="1160" w:hanging="239"/>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agreements in this Section shall survive the termination of this Agreement and the payment of the Loans and all other amounts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11" w:name="page112"/>
    <w:bookmarkEnd w:id="111"/>
    <w:p>
      <w:pPr>
        <w:jc w:val="both"/>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9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132" w:lineRule="exact"/>
        <w:rPr>
          <w:sz w:val="20"/>
          <w:szCs w:val="20"/>
          <w:color w:val="auto"/>
        </w:rPr>
      </w:pPr>
    </w:p>
    <w:p>
      <w:pPr>
        <w:ind w:left="1160" w:hanging="239"/>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w:t>
      </w:r>
    </w:p>
    <w:p>
      <w:pPr>
        <w:spacing w:after="0" w:line="171" w:lineRule="exact"/>
        <w:rPr>
          <w:rFonts w:ascii="Arial" w:cs="Arial" w:eastAsia="Arial" w:hAnsi="Arial"/>
          <w:sz w:val="18"/>
          <w:szCs w:val="18"/>
          <w:color w:val="auto"/>
        </w:rPr>
      </w:pPr>
    </w:p>
    <w:p>
      <w:pPr>
        <w:ind w:firstLine="921"/>
        <w:spacing w:after="0" w:line="291" w:lineRule="auto"/>
        <w:tabs>
          <w:tab w:leader="none" w:pos="1162"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20" w:lineRule="exact"/>
        <w:rPr>
          <w:rFonts w:ascii="Arial" w:cs="Arial" w:eastAsia="Arial" w:hAnsi="Arial"/>
          <w:sz w:val="16"/>
          <w:szCs w:val="16"/>
          <w:color w:val="auto"/>
        </w:rPr>
      </w:pPr>
    </w:p>
    <w:p>
      <w:pPr>
        <w:jc w:val="both"/>
        <w:ind w:right="60" w:firstLine="921"/>
        <w:spacing w:after="0" w:line="284" w:lineRule="auto"/>
        <w:tabs>
          <w:tab w:leader="none" w:pos="11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20" w:firstLine="8"/>
        <w:spacing w:after="0" w:line="281" w:lineRule="auto"/>
        <w:tabs>
          <w:tab w:leader="none" w:pos="21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Arial" w:cs="Arial" w:eastAsia="Arial" w:hAnsi="Arial"/>
          <w:sz w:val="16"/>
          <w:szCs w:val="16"/>
          <w:color w:val="auto"/>
        </w:rPr>
      </w:pPr>
    </w:p>
    <w:p>
      <w:pPr>
        <w:ind w:right="60" w:firstLine="8"/>
        <w:spacing w:after="0" w:line="292" w:lineRule="auto"/>
        <w:tabs>
          <w:tab w:leader="none" w:pos="30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Section 2.20, the Company may, upon not less than three (3) Business Day’s notice to a Defaulting Lender and the Administrative Agent (which the Administrative Agent will promptly provide to the other Banks), terminate or reduce the unused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of such Defaulting Lender (without being required to terminate or reduce the Commitments of other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2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w:t>
      </w:r>
    </w:p>
    <w:p>
      <w:pPr>
        <w:spacing w:after="0" w:line="224"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05" w:lineRule="exact"/>
        <w:rPr>
          <w:sz w:val="20"/>
          <w:szCs w:val="20"/>
          <w:color w:val="auto"/>
        </w:rPr>
      </w:pPr>
    </w:p>
    <w:p>
      <w:pPr>
        <w:ind w:right="40" w:firstLine="921"/>
        <w:spacing w:after="0" w:line="255"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13" w:name="page114"/>
    <w:bookmarkEnd w:id="1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RESERVED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order to induce the Banks to enter into this Agreement and to make the Loans herein provided for, the Company hereby represents and warrants to the Banks and the Administrative Agent that:</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audited consolidated balance sheets of the Company and its consolidated Subsidiaries as at December 31,</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2007, December 31, 2008 and December 31, 2009,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Neither the Company nor any of its Subsidiaries, as of the Effective Date,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w:t>
      </w:r>
    </w:p>
    <w:p>
      <w:pPr>
        <w:spacing w:after="0" w:line="12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2009, there has been no event or development that would reasonably be expected to have a Material Adverse Effect.</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14" w:name="page115"/>
    <w:bookmarkEnd w:id="1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 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2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Notes, the borrowings hereunder and the use of the proceeds thereof, will not violate the organizational or governing documents of the Company or any of its Significant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15" w:name="page116"/>
    <w:bookmarkEnd w:id="1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4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1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8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14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10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ERISA</w:t>
      </w:r>
      <w:r>
        <w:rPr>
          <w:rFonts w:ascii="Arial" w:cs="Arial" w:eastAsia="Arial" w:hAnsi="Arial"/>
          <w:sz w:val="16"/>
          <w:szCs w:val="16"/>
          <w:color w:val="auto"/>
        </w:rPr>
        <w:t>. Except as, in the aggregate, could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including but not limited to the occurrence of an “accumulated funding deficiency” (within the meaning of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16" w:name="page117"/>
    <w:bookmarkEnd w:id="11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 of the Code or Section 302 of ERISA as in effect prior to the effective date of the Pension Protection Act of 2006))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could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w:t>
      </w:r>
    </w:p>
    <w:p>
      <w:pPr>
        <w:spacing w:after="0" w:line="5" w:lineRule="exact"/>
        <w:rPr>
          <w:sz w:val="20"/>
          <w:szCs w:val="20"/>
          <w:color w:val="auto"/>
        </w:rPr>
      </w:pPr>
    </w:p>
    <w:p>
      <w:pPr>
        <w:ind w:right="40" w:firstLine="8"/>
        <w:spacing w:after="0" w:line="252" w:lineRule="auto"/>
        <w:tabs>
          <w:tab w:leader="none" w:pos="2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148"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43"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Significant Subsidiaries</w:t>
      </w:r>
      <w:r>
        <w:rPr>
          <w:rFonts w:ascii="Arial" w:cs="Arial" w:eastAsia="Arial" w:hAnsi="Arial"/>
          <w:sz w:val="16"/>
          <w:szCs w:val="16"/>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as to each such Significant Subsidiary, the percentage of each class of Capital Stock owned by the Company and (b) there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17" w:name="page118"/>
    <w:bookmarkEnd w:id="117"/>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4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 There is no fact known to the Company that could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by the Company for general corporate purposes.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28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Prior to or substantially simultaneously with the Effective Date, the commitments under the Existing Credit Agreement shall have been terminated and the Company shall have repaid all outstanding loans, unpaid interest thereon and all fees and expenses owed thereunder.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18" w:name="page119"/>
    <w:bookmarkEnd w:id="118"/>
    <w:p>
      <w:pPr>
        <w:ind w:left="460" w:right="140" w:firstLine="443"/>
        <w:spacing w:after="0" w:line="256"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w:t>
      </w:r>
      <w:r>
        <w:rPr>
          <w:rFonts w:ascii="Arial" w:cs="Arial" w:eastAsia="Arial" w:hAnsi="Arial"/>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Effective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2.7) is subject to the satisfaction of the following conditions precedent on the relevant Borrowing Date:</w:t>
      </w:r>
    </w:p>
    <w:p>
      <w:pPr>
        <w:spacing w:after="0" w:line="84" w:lineRule="exact"/>
        <w:rPr>
          <w:sz w:val="20"/>
          <w:szCs w:val="20"/>
          <w:color w:val="auto"/>
        </w:rPr>
      </w:pPr>
    </w:p>
    <w:p>
      <w:pPr>
        <w:ind w:left="460" w:firstLine="443"/>
        <w:spacing w:after="0" w:line="256"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herein or which are contained in any certificate furnished at any time under or in connection herewith shall be true and correct on and as of the Borrowing Date as if made on and as of such date (it being understood and agreed that any representation and warranty which by its terms is made as of a specified date shall be required to be true and correct only as of such specified date).</w:t>
      </w:r>
    </w:p>
    <w:p>
      <w:pPr>
        <w:spacing w:after="0" w:line="62"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AFFIRMATIVE COVENANTS</w:t>
      </w:r>
    </w:p>
    <w:p>
      <w:pPr>
        <w:spacing w:after="0" w:line="171"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and (except in the case of delivery of financial information, reports and notices) shall cause each Significant Subsidiary to: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60" w:firstLine="443"/>
        <w:spacing w:after="0" w:line="298" w:lineRule="auto"/>
        <w:tabs>
          <w:tab w:leader="none" w:pos="113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each December 31</w:t>
      </w:r>
      <w:r>
        <w:rPr>
          <w:rFonts w:ascii="Arial" w:cs="Arial" w:eastAsia="Arial" w:hAnsi="Arial"/>
          <w:sz w:val="10"/>
          <w:szCs w:val="10"/>
          <w:color w:val="auto"/>
        </w:rPr>
        <w:t>st</w:t>
      </w:r>
      <w:r>
        <w:rPr>
          <w:rFonts w:ascii="Arial" w:cs="Arial" w:eastAsia="Arial" w:hAnsi="Arial"/>
          <w:sz w:val="16"/>
          <w:szCs w:val="16"/>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and</w:t>
      </w:r>
    </w:p>
    <w:p>
      <w:pPr>
        <w:spacing w:after="0" w:line="31" w:lineRule="exact"/>
        <w:rPr>
          <w:rFonts w:ascii="Arial" w:cs="Arial" w:eastAsia="Arial" w:hAnsi="Arial"/>
          <w:sz w:val="16"/>
          <w:szCs w:val="16"/>
          <w:color w:val="auto"/>
        </w:rPr>
      </w:pPr>
    </w:p>
    <w:p>
      <w:pPr>
        <w:jc w:val="both"/>
        <w:ind w:left="460" w:firstLine="443"/>
        <w:spacing w:after="0" w:line="298"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w:t>
      </w:r>
    </w:p>
    <w:p>
      <w:pPr>
        <w:spacing w:after="0" w:line="113"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and in the case of clause (b) above, subject to normal year-end audit adjustments and the absence of footnotes.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firstLine="443"/>
        <w:spacing w:after="0" w:line="294"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 in this Agreement and in the Notes to be observed, performed or satisfied by them, and that such officer has obtained no knowledge of any Event of Default, in each case except as specified in such certificate and (ii) setting forth quarterly computations with respect to compliance with Section 7.1 of this Agreement;</w:t>
      </w:r>
    </w:p>
    <w:p>
      <w:pPr>
        <w:spacing w:after="0" w:line="34"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quarterly periods of each fiscal year of each Designated Subsidiary, a copy of the Statement of Financial Condition and Computation of Net Capital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120" w:name="page121"/>
    <w:bookmarkEnd w:id="120"/>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Subsidiary as of the end of such quarter included in Part II of such Designated Subsidiary’s FOCUS Report, Annual Audit Report, amendment to Form ADV or amendment to Form BD (as applicable) for such quarter, certified as correct as of the date thereof, subject to changes resulting from subsequent audit adjustments, by an authorized officer of such Designated Subsidiary;</w:t>
      </w:r>
    </w:p>
    <w:p>
      <w:pPr>
        <w:spacing w:after="0" w:line="59" w:lineRule="exact"/>
        <w:rPr>
          <w:sz w:val="20"/>
          <w:szCs w:val="20"/>
          <w:color w:val="auto"/>
        </w:rPr>
      </w:pPr>
    </w:p>
    <w:p>
      <w:pPr>
        <w:ind w:left="460" w:right="20" w:firstLine="443"/>
        <w:spacing w:after="0" w:line="294"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w:t>
      </w:r>
    </w:p>
    <w:p>
      <w:pPr>
        <w:spacing w:after="0" w:line="34"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confidential or otherwise, as the Banks may from time to time reasonably request and which the Company is not expressly prohibited by law or written contract from disclosing; and</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within 5 days after the same are sent, copies of all financial statements and reports that Holdings or the Company sends to the holders of any class of its debt securities or public equity securities and, within five (5) days after the same are filed, copies of all financial statements and reports that Holdings or the Company may make to, or file with, the SEC.</w:t>
      </w:r>
    </w:p>
    <w:p>
      <w:pPr>
        <w:spacing w:after="0" w:line="14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Business and Maintenance of Existence; Compliance</w:t>
      </w:r>
      <w:r>
        <w:rPr>
          <w:rFonts w:ascii="Arial" w:cs="Arial" w:eastAsia="Arial" w:hAnsi="Arial"/>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Keep all property useful and necessary in its business in good working order and condition, ordinary wear and tear excepted;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21" w:name="page122"/>
    <w:bookmarkEnd w:id="121"/>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1140" w:hanging="237"/>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upon obtaining knowledge thereof;</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firstLine="443"/>
        <w:spacing w:after="0" w:line="286"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22" w:name="page123"/>
    <w:bookmarkEnd w:id="12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not, and shall not permit any of its Significant Subsidiaries to, directly or indirectly: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68"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June 30, 2010, to be greater than 4.00 to 1.00.</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June 30, 2010, to be less than 3.00 to 1.00.</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of the Company to any Wholly Owned Subsidiary and of any Wholly Owned Subsidiary to the Company or any other Wholly Owned Subsidiary;</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7.2 and any Permitted Refinancing Indebtedness incurred to Refinance such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firstLine="443"/>
        <w:spacing w:after="0" w:line="294" w:lineRule="auto"/>
        <w:tabs>
          <w:tab w:leader="none" w:pos="111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Permitted Refinancing Indebtedness incurred to Refinance such Indebtedness), the Leverage Ratio shall not be greater than 3.5 to 1.0;</w:t>
      </w:r>
    </w:p>
    <w:p>
      <w:pPr>
        <w:spacing w:after="0" w:line="113" w:lineRule="exact"/>
        <w:rPr>
          <w:sz w:val="20"/>
          <w:szCs w:val="20"/>
          <w:color w:val="auto"/>
        </w:rPr>
      </w:pPr>
    </w:p>
    <w:p>
      <w:pPr>
        <w:ind w:firstLine="443"/>
        <w:spacing w:after="0" w:line="259"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Capital Lease Obligations in connection with the Paris Lease and any Indebtedness the net proceeds of which are used to refinance or replace such Capital Lease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such Indebtedness does not exceed the value of the real property covered by the Paris Lease;</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$10,000,000 at any one time outstanding;</w:t>
      </w:r>
    </w:p>
    <w:p>
      <w:pPr>
        <w:spacing w:after="0" w:line="90" w:lineRule="exact"/>
        <w:rPr>
          <w:rFonts w:ascii="Arial" w:cs="Arial" w:eastAsia="Arial" w:hAnsi="Arial"/>
          <w:sz w:val="18"/>
          <w:szCs w:val="18"/>
          <w:color w:val="auto"/>
        </w:rPr>
      </w:pPr>
    </w:p>
    <w:p>
      <w:pPr>
        <w:ind w:right="80" w:firstLine="443"/>
        <w:spacing w:after="0" w:line="256"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right="960" w:firstLine="443"/>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of the Company in respect of the Senior Notes and any Permitted Refinancing Indebtedness incurred to Refinance such Indebtedness;</w:t>
      </w:r>
    </w:p>
    <w:p>
      <w:pPr>
        <w:spacing w:after="0" w:line="50" w:lineRule="exact"/>
        <w:rPr>
          <w:rFonts w:ascii="Arial" w:cs="Arial" w:eastAsia="Arial" w:hAnsi="Arial"/>
          <w:sz w:val="18"/>
          <w:szCs w:val="18"/>
          <w:color w:val="auto"/>
        </w:rPr>
      </w:pPr>
    </w:p>
    <w:p>
      <w:pPr>
        <w:ind w:right="160" w:firstLine="443"/>
        <w:spacing w:after="0" w:line="268"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right="700" w:firstLine="443"/>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Subordinated Indebtedness of the Company or any of its Subsidiaries (other than LFNY);</w:t>
      </w:r>
    </w:p>
    <w:p>
      <w:pPr>
        <w:spacing w:after="0" w:line="90"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additional Indebtedness of the Company or any of its Subsidiaries in an aggregate principal amount (for the Company and all Subsidiaries) not to exceed $125,000,000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Leverage Ratio shall not be greater than 3.5 to 1.0;</w:t>
      </w:r>
    </w:p>
    <w:p>
      <w:pPr>
        <w:spacing w:after="0" w:line="59" w:lineRule="exact"/>
        <w:rPr>
          <w:rFonts w:ascii="Arial" w:cs="Arial" w:eastAsia="Arial" w:hAnsi="Arial"/>
          <w:sz w:val="18"/>
          <w:szCs w:val="18"/>
          <w:color w:val="auto"/>
        </w:rPr>
      </w:pPr>
    </w:p>
    <w:p>
      <w:pPr>
        <w:ind w:right="720" w:firstLine="443"/>
        <w:spacing w:after="0" w:line="268"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Guarantee Obligations of the Company and its Subsidiaries in respect of Indebtedness of the Company or its Subsidiaries so long as the incurrence of such Indebtedness is permitted under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Indebtedness under the Intesa Notes and any Permitted Refinancing Indebtedness incurred to Refinance such Indebtedness; and</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24" w:name="page125"/>
    <w:bookmarkEnd w:id="124"/>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20" w:firstLine="443"/>
        <w:spacing w:after="0" w:line="268"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left="460" w:right="140" w:firstLine="443"/>
        <w:spacing w:after="0" w:line="332"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left="460" w:right="60" w:firstLine="443"/>
        <w:spacing w:after="0" w:line="256"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left="460" w:right="160" w:firstLine="443"/>
        <w:spacing w:after="0" w:line="332"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4" w:lineRule="exact"/>
        <w:rPr>
          <w:rFonts w:ascii="Arial" w:cs="Arial" w:eastAsia="Arial" w:hAnsi="Arial"/>
          <w:sz w:val="16"/>
          <w:szCs w:val="16"/>
          <w:color w:val="auto"/>
        </w:rPr>
      </w:pPr>
    </w:p>
    <w:p>
      <w:pPr>
        <w:ind w:left="460" w:firstLine="443"/>
        <w:spacing w:after="0" w:line="259" w:lineRule="auto"/>
        <w:tabs>
          <w:tab w:leader="none" w:pos="11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80" w:right="339" w:bottom="1440" w:gutter="0" w:footer="0" w:header="0"/>
        </w:sectPr>
      </w:pPr>
    </w:p>
    <w:bookmarkStart w:id="125" w:name="page126"/>
    <w:bookmarkEnd w:id="125"/>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51" w:lineRule="exact"/>
        <w:rPr>
          <w:sz w:val="20"/>
          <w:szCs w:val="20"/>
          <w:color w:val="auto"/>
        </w:rPr>
      </w:pPr>
    </w:p>
    <w:p>
      <w:pPr>
        <w:ind w:left="460" w:right="20" w:firstLine="443"/>
        <w:spacing w:after="0" w:line="259"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9"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left="460" w:right="20" w:firstLine="443"/>
        <w:spacing w:after="0" w:line="291" w:lineRule="auto"/>
        <w:tabs>
          <w:tab w:leader="none" w:pos="1108"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Sections 7.2(b) (only to the extent required under Requirements of Law), 7.2(e), 7.2(g), 7.2(h), 7.2(i) and 7.2(k); and</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$5,000,000 at any time outstanding.</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40" w:firstLine="443"/>
        <w:spacing w:after="0" w:line="332" w:lineRule="auto"/>
        <w:tabs>
          <w:tab w:leader="none" w:pos="113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any Merger of a Significant Subsidiary, the purpose of which is to effect an asset sale or disposition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26" w:name="page127"/>
    <w:bookmarkEnd w:id="126"/>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under this Agreement and not constituting a sale or other disposition of all or substantially all of the assets of the Company and its Subsidiaries taken as a whole; and</w:t>
      </w:r>
    </w:p>
    <w:p>
      <w:pPr>
        <w:spacing w:after="0" w:line="51" w:lineRule="exact"/>
        <w:rPr>
          <w:sz w:val="20"/>
          <w:szCs w:val="20"/>
          <w:color w:val="auto"/>
        </w:rPr>
      </w:pPr>
    </w:p>
    <w:p>
      <w:pPr>
        <w:ind w:left="460" w:right="20" w:firstLine="443"/>
        <w:spacing w:after="0" w:line="294" w:lineRule="auto"/>
        <w:tabs>
          <w:tab w:leader="none" w:pos="11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Optional Payments and Modifications of Subordinated Indebtedness</w:t>
      </w:r>
      <w:r>
        <w:rPr>
          <w:rFonts w:ascii="Arial" w:cs="Arial" w:eastAsia="Arial" w:hAnsi="Arial"/>
          <w:sz w:val="16"/>
          <w:szCs w:val="16"/>
          <w:color w:val="auto"/>
        </w:rPr>
        <w:t xml:space="preserve">. (a) Make any optional payment or prepayment on, or optional redemption or purchase of, any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3.5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 For the avoidance of doubt, the Intesa Notes can be repaid in accordance with their terms and such payments will not constitute optional payments or prepayments subject to this Section 7.6;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Senior Indebtedness incurred to make such payment or prepayment shall be subject to Section 7.2(n).</w:t>
      </w:r>
    </w:p>
    <w:p>
      <w:pPr>
        <w:spacing w:after="0" w:line="127"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Clauses Restricting Subsidiary Distributions</w:t>
      </w:r>
      <w:r>
        <w:rPr>
          <w:rFonts w:ascii="Arial" w:cs="Arial" w:eastAsia="Arial" w:hAnsi="Arial"/>
          <w:sz w:val="15"/>
          <w:szCs w:val="15"/>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27" w:name="page128"/>
    <w:bookmarkEnd w:id="1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143"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Notwithstanding the foregoing, the Company and each Subsidiary may make the following Restricted Payments:</w:t>
      </w:r>
    </w:p>
    <w:p>
      <w:pPr>
        <w:spacing w:after="0" w:line="35" w:lineRule="exact"/>
        <w:rPr>
          <w:sz w:val="20"/>
          <w:szCs w:val="20"/>
          <w:color w:val="auto"/>
        </w:rPr>
      </w:pPr>
    </w:p>
    <w:p>
      <w:pPr>
        <w:ind w:left="1140" w:hanging="237"/>
        <w:spacing w:after="0"/>
        <w:tabs>
          <w:tab w:leader="none" w:pos="1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necessary for tax distributions in accordance with Article VI of the Company’s operating agreement as in effect as of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distributions made in accordance with the Company’s operating agreement, as in effect as of the date hereof, in respect of profit participation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 rata distributions to any holders of Capital Stock in a joint venture;</w:t>
      </w:r>
    </w:p>
    <w:p>
      <w:pPr>
        <w:spacing w:after="0" w:line="9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Restricted Payments in an amount equal to (i) $38,000,000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cumulative amount from and after May 10, 2005 equal to the sum of (A) so long as at the time of declaration the Working Capital of the Company is greater than zero, 40% of Consolidated Net Income as determined in accordance with the financial statements for the relevant period or periods,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proceeds received by the Company after the May 10, 2005 from the issuance of its Capital Stock and capital contributions,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principal amount of any convertible or exchangeable securities actually converted or exchanged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restricted payments made during the period from May 10, 2005, to the Effective Date pursuant to Section 7.8(e) of the Existing Credit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at any time, the aggregate amount of payments made pursuant to Section 7.6(a)(ii) hereto;</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28" w:name="page129"/>
    <w:bookmarkEnd w:id="128"/>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Event of Default has occurred and is continuing, payments of dividends on any preferred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Restricted Payments made in connection with the Lazard Asset Management Equity Plan.</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Disposition of Designated Subsidiaries</w:t>
      </w:r>
      <w:r>
        <w:rPr>
          <w:rFonts w:ascii="Arial" w:cs="Arial" w:eastAsia="Arial" w:hAnsi="Arial"/>
          <w:sz w:val="18"/>
          <w:szCs w:val="18"/>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left="460" w:right="20" w:firstLine="443"/>
        <w:spacing w:after="0" w:line="259" w:lineRule="auto"/>
        <w:tabs>
          <w:tab w:leader="none" w:pos="11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9" w:lineRule="exact"/>
        <w:rPr>
          <w:rFonts w:ascii="Arial" w:cs="Arial" w:eastAsia="Arial" w:hAnsi="Arial"/>
          <w:sz w:val="18"/>
          <w:szCs w:val="18"/>
          <w:color w:val="auto"/>
        </w:rPr>
      </w:pPr>
    </w:p>
    <w:p>
      <w:pPr>
        <w:ind w:left="460" w:right="180" w:firstLine="443"/>
        <w:spacing w:after="0" w:line="357" w:lineRule="auto"/>
        <w:tabs>
          <w:tab w:leader="none" w:pos="11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left="460" w:right="160" w:firstLine="443"/>
        <w:spacing w:after="0" w:line="332"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w:t>
      </w:r>
    </w:p>
    <w:p>
      <w:pPr>
        <w:spacing w:after="0" w:line="4" w:lineRule="exact"/>
        <w:rPr>
          <w:rFonts w:ascii="Arial" w:cs="Arial" w:eastAsia="Arial" w:hAnsi="Arial"/>
          <w:sz w:val="16"/>
          <w:szCs w:val="16"/>
          <w:color w:val="auto"/>
        </w:rPr>
      </w:pPr>
    </w:p>
    <w:p>
      <w:pPr>
        <w:ind w:left="460" w:right="300" w:firstLine="443"/>
        <w:spacing w:after="0" w:line="357" w:lineRule="auto"/>
        <w:tabs>
          <w:tab w:leader="none" w:pos="11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ind w:left="460" w:right="360" w:firstLine="443"/>
        <w:spacing w:after="0" w:line="268" w:lineRule="auto"/>
        <w:tabs>
          <w:tab w:leader="none" w:pos="113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 any other agreement contained in this Agreement (other than as provided in paragraphs (a) through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80" w:right="319" w:bottom="1440" w:gutter="0" w:footer="0" w:header="0"/>
        </w:sectPr>
      </w:pPr>
    </w:p>
    <w:bookmarkStart w:id="129" w:name="page130"/>
    <w:bookmarkEnd w:id="129"/>
    <w:p>
      <w:pPr>
        <w:ind w:right="620" w:firstLine="4"/>
        <w:spacing w:after="0" w:line="268"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Section), and such default shall continue unremedied for a period of 30 days following notice thereof by the Administrative Agent to the Company; or</w:t>
      </w:r>
    </w:p>
    <w:p>
      <w:pPr>
        <w:spacing w:after="0" w:line="50" w:lineRule="exact"/>
        <w:rPr>
          <w:rFonts w:ascii="Arial" w:cs="Arial" w:eastAsia="Arial" w:hAnsi="Arial"/>
          <w:sz w:val="18"/>
          <w:szCs w:val="18"/>
          <w:color w:val="auto"/>
        </w:rPr>
      </w:pPr>
    </w:p>
    <w:p>
      <w:pPr>
        <w:ind w:right="40" w:firstLine="443"/>
        <w:spacing w:after="0" w:line="290" w:lineRule="auto"/>
        <w:tabs>
          <w:tab w:leader="none" w:pos="65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37" w:lineRule="exact"/>
        <w:rPr>
          <w:rFonts w:ascii="Arial" w:cs="Arial" w:eastAsia="Arial" w:hAnsi="Arial"/>
          <w:sz w:val="16"/>
          <w:szCs w:val="16"/>
          <w:color w:val="auto"/>
        </w:rPr>
      </w:pPr>
    </w:p>
    <w:p>
      <w:pPr>
        <w:ind w:firstLine="443"/>
        <w:spacing w:after="0" w:line="284" w:lineRule="auto"/>
        <w:tabs>
          <w:tab w:leader="none" w:pos="687" w:val="left"/>
        </w:tabs>
        <w:numPr>
          <w:ilvl w:val="1"/>
          <w:numId w:val="89"/>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spacing w:after="0" w:line="1" w:lineRule="exact"/>
        <w:rPr>
          <w:rFonts w:ascii="Arial" w:cs="Arial" w:eastAsia="Arial" w:hAnsi="Arial"/>
          <w:sz w:val="16"/>
          <w:szCs w:val="16"/>
          <w:color w:val="auto"/>
        </w:rPr>
      </w:pPr>
    </w:p>
    <w:p>
      <w:pPr>
        <w:ind w:firstLine="4"/>
        <w:spacing w:after="0" w:line="281" w:lineRule="auto"/>
        <w:tabs>
          <w:tab w:leader="none" w:pos="307"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w:t>
      </w:r>
    </w:p>
    <w:p>
      <w:pPr>
        <w:spacing w:after="0" w:line="4"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(vii) 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80" w:right="259" w:bottom="1440" w:gutter="0" w:footer="0" w:header="0"/>
        </w:sectPr>
      </w:pPr>
    </w:p>
    <w:bookmarkStart w:id="130" w:name="page131"/>
    <w:bookmarkEnd w:id="130"/>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59" w:lineRule="exact"/>
        <w:rPr>
          <w:sz w:val="20"/>
          <w:szCs w:val="20"/>
          <w:color w:val="auto"/>
        </w:rPr>
      </w:pPr>
    </w:p>
    <w:p>
      <w:pPr>
        <w:ind w:right="160" w:firstLine="443"/>
        <w:spacing w:after="0" w:line="306" w:lineRule="auto"/>
        <w:tabs>
          <w:tab w:leader="none" w:pos="687" w:val="left"/>
        </w:tabs>
        <w:numPr>
          <w:ilvl w:val="1"/>
          <w:numId w:val="91"/>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25" w:lineRule="exact"/>
        <w:rPr>
          <w:rFonts w:ascii="Arial" w:cs="Arial" w:eastAsia="Arial" w:hAnsi="Arial"/>
          <w:sz w:val="16"/>
          <w:szCs w:val="16"/>
          <w:color w:val="auto"/>
        </w:rPr>
      </w:pPr>
    </w:p>
    <w:p>
      <w:pPr>
        <w:ind w:firstLine="443"/>
        <w:spacing w:after="0" w:line="283" w:lineRule="auto"/>
        <w:tabs>
          <w:tab w:leader="none" w:pos="648" w:val="left"/>
        </w:tabs>
        <w:numPr>
          <w:ilvl w:val="1"/>
          <w:numId w:val="91"/>
        </w:numPr>
        <w:rPr>
          <w:rFonts w:ascii="Arial" w:cs="Arial" w:eastAsia="Arial" w:hAnsi="Arial"/>
          <w:sz w:val="16"/>
          <w:szCs w:val="16"/>
          <w:color w:val="auto"/>
        </w:rPr>
      </w:pPr>
      <w:r>
        <w:rPr>
          <w:rFonts w:ascii="Arial" w:cs="Arial" w:eastAsia="Arial" w:hAnsi="Arial"/>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2" w:lineRule="exact"/>
        <w:rPr>
          <w:rFonts w:ascii="Arial" w:cs="Arial" w:eastAsia="Arial" w:hAnsi="Arial"/>
          <w:sz w:val="16"/>
          <w:szCs w:val="16"/>
          <w:color w:val="auto"/>
        </w:rPr>
      </w:pPr>
    </w:p>
    <w:p>
      <w:pPr>
        <w:ind w:firstLine="4"/>
        <w:spacing w:after="0" w:line="287" w:lineRule="auto"/>
        <w:tabs>
          <w:tab w:leader="none" w:pos="25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660" w:hanging="217"/>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9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spacing w:after="0" w:line="2" w:lineRule="exact"/>
        <w:rPr>
          <w:sz w:val="20"/>
          <w:szCs w:val="20"/>
          <w:color w:val="auto"/>
        </w:rPr>
      </w:pPr>
    </w:p>
    <w:p>
      <w:pPr>
        <w:ind w:left="5160" w:right="4680" w:hanging="5156"/>
        <w:spacing w:after="0" w:line="433" w:lineRule="auto"/>
        <w:tabs>
          <w:tab w:leader="none" w:pos="2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the consent of the Required Lenders, the Administrative Agent may, or upon the 50</w:t>
      </w:r>
    </w:p>
    <w:p>
      <w:pPr>
        <w:sectPr>
          <w:pgSz w:w="11900" w:h="16838" w:orient="portrait"/>
          <w:cols w:equalWidth="0" w:num="1">
            <w:col w:w="10940"/>
          </w:cols>
          <w:pgMar w:left="700" w:top="280" w:right="259" w:bottom="1440" w:gutter="0" w:footer="0" w:header="0"/>
        </w:sectPr>
      </w:pPr>
    </w:p>
    <w:bookmarkStart w:id="131" w:name="page132"/>
    <w:bookmarkEnd w:id="131"/>
    <w:p>
      <w:pPr>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(except for its or such Person’s own gross negligence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32" w:name="page133"/>
    <w:bookmarkEnd w:id="132"/>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1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18"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u w:val="single" w:color="auto"/>
          <w:color w:val="auto"/>
        </w:rPr>
        <w:t>Non-Reliance on Administrative Agent</w:t>
      </w:r>
      <w:r>
        <w:rPr>
          <w:rFonts w:ascii="Arial" w:cs="Arial" w:eastAsia="Arial" w:hAnsi="Arial"/>
          <w:sz w:val="15"/>
          <w:szCs w:val="15"/>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33" w:name="page134"/>
    <w:bookmarkEnd w:id="13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creditworthiness of the Company which may come into the possession of the Administrative Agent or any of its officers, directors, employees, agents, attorneys-in-fact or Affiliates.</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1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right="340" w:firstLine="913"/>
        <w:spacing w:after="0" w:line="335"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134" w:name="page135"/>
    <w:bookmarkEnd w:id="134"/>
    <w:p>
      <w:pPr>
        <w:ind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waiver and no such amendment, supplement or modification shall</w:t>
      </w:r>
    </w:p>
    <w:p>
      <w:pPr>
        <w:spacing w:after="0" w:line="1" w:lineRule="exact"/>
        <w:rPr>
          <w:sz w:val="20"/>
          <w:szCs w:val="20"/>
          <w:color w:val="auto"/>
        </w:rPr>
      </w:pPr>
    </w:p>
    <w:p>
      <w:pPr>
        <w:ind w:firstLine="8"/>
        <w:spacing w:after="0" w:line="286"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21"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Global Controller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richard.hittner@lazard.com</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Global Treasurer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35" w:name="page136"/>
    <w:bookmarkEnd w:id="1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Facsimile: (212) 632-6670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robert.starr@lazard.com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Ross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994-0961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(302) 323-5499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Copy to: GLAgentOfficeOps@citi.com</w:t>
      </w:r>
    </w:p>
    <w:p>
      <w:pPr>
        <w:spacing w:after="0" w:line="205" w:lineRule="exact"/>
        <w:rPr>
          <w:sz w:val="20"/>
          <w:szCs w:val="20"/>
          <w:color w:val="auto"/>
        </w:rPr>
      </w:pPr>
    </w:p>
    <w:p>
      <w:pPr>
        <w:ind w:left="1040" w:right="140" w:hanging="1039"/>
        <w:spacing w:after="0" w:line="259" w:lineRule="auto"/>
        <w:tabs>
          <w:tab w:leader="none" w:pos="1020" w:val="left"/>
        </w:tabs>
        <w:rPr>
          <w:sz w:val="20"/>
          <w:szCs w:val="20"/>
          <w:color w:val="auto"/>
        </w:rPr>
      </w:pPr>
      <w:r>
        <w:rPr>
          <w:rFonts w:ascii="Arial" w:cs="Arial" w:eastAsia="Arial" w:hAnsi="Arial"/>
          <w:sz w:val="18"/>
          <w:szCs w:val="18"/>
          <w:color w:val="auto"/>
        </w:rPr>
        <w:t>The Banks:</w:t>
        <w:tab/>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132" w:lineRule="exact"/>
        <w:rPr>
          <w:sz w:val="20"/>
          <w:szCs w:val="20"/>
          <w:color w:val="auto"/>
        </w:rPr>
      </w:pPr>
    </w:p>
    <w:p>
      <w:pPr>
        <w:ind w:firstLine="921"/>
        <w:spacing w:after="0" w:line="288" w:lineRule="auto"/>
        <w:tabs>
          <w:tab w:leader="none" w:pos="1162"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119" w:lineRule="exact"/>
        <w:rPr>
          <w:rFonts w:ascii="Arial" w:cs="Arial" w:eastAsia="Arial" w:hAnsi="Arial"/>
          <w:sz w:val="16"/>
          <w:szCs w:val="16"/>
          <w:color w:val="auto"/>
        </w:rPr>
      </w:pPr>
    </w:p>
    <w:p>
      <w:pPr>
        <w:ind w:right="1180" w:firstLine="921"/>
        <w:spacing w:after="0" w:line="268" w:lineRule="auto"/>
        <w:tabs>
          <w:tab w:leader="none" w:pos="11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Administrative Agent agrees that the receipt of the Communications by the Administrative Agent at its e-mail address set forth in paragraph</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this Section shall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36" w:name="page137"/>
    <w:bookmarkEnd w:id="13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43" w:lineRule="exact"/>
        <w:rPr>
          <w:sz w:val="20"/>
          <w:szCs w:val="20"/>
          <w:color w:val="auto"/>
        </w:rPr>
      </w:pPr>
    </w:p>
    <w:p>
      <w:pPr>
        <w:ind w:right="420" w:firstLine="921"/>
        <w:spacing w:after="0" w:line="268"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3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out-of-pocket costs and expenses incurred in connection with the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37" w:name="page138"/>
    <w:bookmarkEnd w:id="1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any such other documents, and (d) to pay, indemnify, and hold each Bank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are found by a court of competent jurisdiction to have resulted from the gross negligence or willful misconduct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Banks shall not disclose any information that the Company or any of its Subsidiaries furnishes to the Banks, other than</w:t>
      </w:r>
    </w:p>
    <w:p>
      <w:pPr>
        <w:spacing w:after="0" w:line="38" w:lineRule="exact"/>
        <w:rPr>
          <w:sz w:val="20"/>
          <w:szCs w:val="20"/>
          <w:color w:val="auto"/>
        </w:rPr>
      </w:pPr>
    </w:p>
    <w:p>
      <w:pPr>
        <w:ind w:right="540" w:firstLine="8"/>
        <w:spacing w:after="0" w:line="323" w:lineRule="auto"/>
        <w:tabs>
          <w:tab w:leader="none" w:pos="239"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required by any law, rule or regulation or judicial process, (b) as requested by any state, federal or foreign authority or examiner regulating banks or banking, (c) to actual or proposed (with the consent of the Company) assignees, transferees and participants and (d) to its advisors and attorneys.</w:t>
      </w:r>
    </w:p>
    <w:p>
      <w:pPr>
        <w:spacing w:after="0" w:line="9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118" w:lineRule="exact"/>
        <w:rPr>
          <w:sz w:val="20"/>
          <w:szCs w:val="20"/>
          <w:color w:val="auto"/>
        </w:rPr>
      </w:pPr>
    </w:p>
    <w:p>
      <w:pPr>
        <w:ind w:right="300" w:firstLine="921"/>
        <w:spacing w:after="0" w:line="25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80" w:right="299" w:bottom="1440" w:gutter="0" w:footer="0" w:header="0"/>
        </w:sectPr>
      </w:pPr>
    </w:p>
    <w:bookmarkStart w:id="138" w:name="page139"/>
    <w:bookmarkEnd w:id="138"/>
    <w:p>
      <w:pPr>
        <w:ind w:left="460" w:right="120" w:firstLine="443"/>
        <w:spacing w:after="0" w:line="259" w:lineRule="auto"/>
        <w:tabs>
          <w:tab w:leader="none" w:pos="11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(x) for an assignment to a Bank, an affiliate of a Bank, or an Approved Fund (as defined below) or (y) if an Event of Default under Sections 9(a) or (i) has occurred;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55" w:lineRule="auto"/>
        <w:tabs>
          <w:tab w:leader="none" w:pos="118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1" w:lineRule="exact"/>
        <w:rPr>
          <w:rFonts w:ascii="Arial" w:cs="Arial" w:eastAsia="Arial" w:hAnsi="Arial"/>
          <w:sz w:val="18"/>
          <w:szCs w:val="18"/>
          <w:color w:val="auto"/>
        </w:rPr>
      </w:pPr>
    </w:p>
    <w:p>
      <w:pPr>
        <w:ind w:left="460" w:right="120" w:firstLine="443"/>
        <w:spacing w:after="0" w:line="268" w:lineRule="auto"/>
        <w:tabs>
          <w:tab w:leader="none" w:pos="11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right="40" w:firstLine="921"/>
        <w:spacing w:after="0" w:line="290" w:lineRule="auto"/>
        <w:tabs>
          <w:tab w:leader="none" w:pos="1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39" w:name="page140"/>
    <w:bookmarkEnd w:id="139"/>
    <w:p>
      <w:pPr>
        <w:ind w:firstLine="921"/>
        <w:spacing w:after="0" w:line="291" w:lineRule="auto"/>
        <w:tabs>
          <w:tab w:leader="none" w:pos="1210"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120" w:lineRule="exact"/>
        <w:rPr>
          <w:rFonts w:ascii="Arial" w:cs="Arial" w:eastAsia="Arial" w:hAnsi="Arial"/>
          <w:sz w:val="16"/>
          <w:szCs w:val="16"/>
          <w:color w:val="auto"/>
        </w:rPr>
      </w:pPr>
    </w:p>
    <w:p>
      <w:pPr>
        <w:ind w:right="320" w:firstLine="921"/>
        <w:spacing w:after="0" w:line="294" w:lineRule="auto"/>
        <w:tabs>
          <w:tab w:leader="none" w:pos="116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6" w:lineRule="exact"/>
        <w:rPr>
          <w:sz w:val="20"/>
          <w:szCs w:val="20"/>
          <w:color w:val="auto"/>
        </w:rPr>
      </w:pPr>
    </w:p>
    <w:p>
      <w:pPr>
        <w:ind w:right="60" w:firstLine="921"/>
        <w:spacing w:after="0" w:line="285" w:lineRule="auto"/>
        <w:tabs>
          <w:tab w:leader="none" w:pos="11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Any Bank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Bank’s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 entitled to the benefits of Section 12.8(b) as though it were a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Bank and the Administrative Agent shall treat each person whose name is recorded in the Participant Register pursuant to the terms hereof 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owner of such participation for all purposes of this Agreement, notwithstanding notice to the contrary.</w:t>
      </w:r>
    </w:p>
    <w:p>
      <w:pPr>
        <w:spacing w:after="0" w:line="171" w:lineRule="exact"/>
        <w:rPr>
          <w:sz w:val="20"/>
          <w:szCs w:val="20"/>
          <w:color w:val="auto"/>
        </w:rPr>
      </w:pPr>
    </w:p>
    <w:p>
      <w:pPr>
        <w:ind w:firstLine="921"/>
        <w:spacing w:after="0" w:line="306" w:lineRule="auto"/>
        <w:tabs>
          <w:tab w:leader="none" w:pos="117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107" w:lineRule="exact"/>
        <w:rPr>
          <w:sz w:val="20"/>
          <w:szCs w:val="20"/>
          <w:color w:val="auto"/>
        </w:rPr>
      </w:pPr>
    </w:p>
    <w:p>
      <w:pPr>
        <w:ind w:firstLine="921"/>
        <w:spacing w:after="0" w:line="256" w:lineRule="auto"/>
        <w:tabs>
          <w:tab w:leader="none" w:pos="11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131" w:lineRule="exact"/>
        <w:rPr>
          <w:rFonts w:ascii="Arial" w:cs="Arial" w:eastAsia="Arial" w:hAnsi="Arial"/>
          <w:sz w:val="18"/>
          <w:szCs w:val="18"/>
          <w:color w:val="auto"/>
        </w:rPr>
      </w:pPr>
    </w:p>
    <w:p>
      <w:pPr>
        <w:ind w:firstLine="921"/>
        <w:spacing w:after="0" w:line="301" w:lineRule="auto"/>
        <w:tabs>
          <w:tab w:leader="none" w:pos="1132" w:val="left"/>
        </w:tabs>
        <w:numPr>
          <w:ilvl w:val="1"/>
          <w:numId w:val="106"/>
        </w:numPr>
        <w:rPr>
          <w:rFonts w:ascii="Arial" w:cs="Arial" w:eastAsia="Arial" w:hAnsi="Arial"/>
          <w:sz w:val="15"/>
          <w:szCs w:val="15"/>
          <w:color w:val="auto"/>
        </w:rPr>
      </w:pPr>
      <w:r>
        <w:rPr>
          <w:rFonts w:ascii="Arial" w:cs="Arial" w:eastAsia="Arial" w:hAnsi="Arial"/>
          <w:sz w:val="15"/>
          <w:szCs w:val="15"/>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w:t>
      </w:r>
    </w:p>
    <w:p>
      <w:pPr>
        <w:spacing w:after="0" w:line="2" w:lineRule="exact"/>
        <w:rPr>
          <w:rFonts w:ascii="Arial" w:cs="Arial" w:eastAsia="Arial" w:hAnsi="Arial"/>
          <w:sz w:val="15"/>
          <w:szCs w:val="15"/>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assignee agrees that it will perform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their terms all the obligations that by the terms of this Agreement are required to be performed by it as a Bank.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Adjustments; Right of Setoff</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12" w:lineRule="auto"/>
        <w:tabs>
          <w:tab w:leader="none" w:pos="1152"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If any Bank (a “</w:t>
      </w:r>
      <w:r>
        <w:rPr>
          <w:rFonts w:ascii="Arial" w:cs="Arial" w:eastAsia="Arial" w:hAnsi="Arial"/>
          <w:sz w:val="15"/>
          <w:szCs w:val="15"/>
          <w:u w:val="single" w:color="auto"/>
          <w:color w:val="auto"/>
        </w:rPr>
        <w:t>Benefited Bank</w:t>
      </w:r>
      <w:r>
        <w:rPr>
          <w:rFonts w:ascii="Arial" w:cs="Arial" w:eastAsia="Arial" w:hAnsi="Arial"/>
          <w:sz w:val="15"/>
          <w:szCs w:val="15"/>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105" w:lineRule="exact"/>
        <w:rPr>
          <w:rFonts w:ascii="Arial" w:cs="Arial" w:eastAsia="Arial" w:hAnsi="Arial"/>
          <w:sz w:val="15"/>
          <w:szCs w:val="15"/>
          <w:color w:val="auto"/>
        </w:rPr>
      </w:pPr>
    </w:p>
    <w:p>
      <w:pPr>
        <w:ind w:right="60" w:firstLine="921"/>
        <w:spacing w:after="0" w:line="289" w:lineRule="auto"/>
        <w:tabs>
          <w:tab w:leader="none" w:pos="11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Each Bank agrees promptly to notify the Company and the Administrative Agent after any such application made by such Company, provided that the failure to give such notice shall not affect the validity of such application.</w:t>
      </w:r>
    </w:p>
    <w:p>
      <w:pPr>
        <w:spacing w:after="0" w:line="112" w:lineRule="exact"/>
        <w:rPr>
          <w:sz w:val="20"/>
          <w:szCs w:val="20"/>
          <w:color w:val="auto"/>
        </w:rPr>
      </w:pPr>
    </w:p>
    <w:p>
      <w:pPr>
        <w:ind w:right="520" w:firstLine="913"/>
        <w:spacing w:after="0" w:line="26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THE COMPANY AND THE ADMINISTRATIVE AGENT AND THE BANKS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AND UNCONDITIONALLY WAIVE TRIAL BY JURY IN ANY LEGAL ACTION OR PROCEEDING RELATING TO THIS AGREEMENT AND FOR ANY COUNTERCLAIM THEREIN.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1140" w:hanging="237"/>
        <w:spacing w:after="0"/>
        <w:tabs>
          <w:tab w:leader="none" w:pos="11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or for recognition and enforcement of any</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judgment in respect thereof, to the non-exclusive general jurisdiction of the courts of the State of New York, the courts of the United States for the Southern District of New York, and appellate courts from any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42" w:name="page143"/>
    <w:bookmarkEnd w:id="142"/>
    <w:p>
      <w:pPr>
        <w:ind w:left="460" w:right="10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4"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w:t>
      </w:r>
      <w:r>
        <w:rPr>
          <w:rFonts w:ascii="Arial" w:cs="Arial" w:eastAsia="Arial" w:hAnsi="Arial"/>
          <w:sz w:val="18"/>
          <w:szCs w:val="18"/>
          <w:color w:val="auto"/>
        </w:rPr>
        <w:t xml:space="preserve"> </w:t>
      </w:r>
      <w:r>
        <w:rPr>
          <w:rFonts w:ascii="Arial" w:cs="Arial" w:eastAsia="Arial" w:hAnsi="Arial"/>
          <w:sz w:val="18"/>
          <w:szCs w:val="18"/>
          <w:b w:val="1"/>
          <w:bCs w:val="1"/>
          <w:color w:val="auto"/>
        </w:rPr>
        <w:t>be governed by, and construed and interpreted in accordance with, the law of the State of New York.</w:t>
      </w:r>
    </w:p>
    <w:p>
      <w:pPr>
        <w:spacing w:after="0" w:line="12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43" w:name="page144"/>
    <w:bookmarkEnd w:id="143"/>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43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J. Castellano</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Michael J. Castellano</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 and as a Bank</w:t>
      </w:r>
    </w:p>
    <w:p>
      <w:pPr>
        <w:spacing w:after="0" w:line="219"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Maureen R. Maroney</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Maureen R. Maroney</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80" w:right="23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T. Daley</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John T. Daley</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Vice-President</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80" w:right="239" w:bottom="1440" w:gutter="0" w:footer="0" w:header="0"/>
        </w:sectPr>
      </w:pPr>
    </w:p>
    <w:bookmarkStart w:id="146" w:name="page147"/>
    <w:bookmarkEnd w:id="14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Terence Law</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Terence Law</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8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920" w:type="dxa"/>
            <w:vAlign w:val="bottom"/>
            <w:gridSpan w:val="3"/>
          </w:tcPr>
          <w:p>
            <w:pPr>
              <w:jc w:val="right"/>
              <w:ind w:right="2100"/>
              <w:spacing w:after="0"/>
              <w:rPr>
                <w:sz w:val="20"/>
                <w:szCs w:val="20"/>
                <w:color w:val="auto"/>
              </w:rPr>
            </w:pPr>
            <w:r>
              <w:rPr>
                <w:rFonts w:ascii="Arial" w:cs="Arial" w:eastAsia="Arial" w:hAnsi="Arial"/>
                <w:sz w:val="18"/>
                <w:szCs w:val="18"/>
                <w:color w:val="auto"/>
              </w:rPr>
              <w:t>Commitment Amounts</w:t>
            </w:r>
          </w:p>
        </w:tc>
        <w:tc>
          <w:tcPr>
            <w:tcW w:w="980" w:type="dxa"/>
            <w:vAlign w:val="bottom"/>
          </w:tcPr>
          <w:p>
            <w:pPr>
              <w:spacing w:after="0"/>
              <w:rPr>
                <w:sz w:val="17"/>
                <w:szCs w:val="17"/>
                <w:color w:val="auto"/>
              </w:rPr>
            </w:pPr>
          </w:p>
        </w:tc>
      </w:tr>
      <w:tr>
        <w:trPr>
          <w:trHeight w:val="372"/>
        </w:trPr>
        <w:tc>
          <w:tcPr>
            <w:tcW w:w="2860" w:type="dxa"/>
            <w:vAlign w:val="bottom"/>
          </w:tcPr>
          <w:p>
            <w:pPr>
              <w:spacing w:after="0"/>
              <w:rPr>
                <w:sz w:val="20"/>
                <w:szCs w:val="20"/>
                <w:color w:val="auto"/>
              </w:rPr>
            </w:pPr>
            <w:r>
              <w:rPr>
                <w:rFonts w:ascii="Arial" w:cs="Arial" w:eastAsia="Arial" w:hAnsi="Arial"/>
                <w:sz w:val="14"/>
                <w:szCs w:val="14"/>
                <w:b w:val="1"/>
                <w:bCs w:val="1"/>
                <w:color w:val="auto"/>
              </w:rPr>
              <w:t>Bank</w:t>
            </w:r>
          </w:p>
        </w:tc>
        <w:tc>
          <w:tcPr>
            <w:tcW w:w="2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Amount</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60,000,000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3"/>
              </w:rPr>
              <w:t>State Street Bank and Trust Company</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w w:val="95"/>
              </w:rPr>
              <w:t>60,000,000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30,000,000</w:t>
            </w:r>
          </w:p>
        </w:tc>
      </w:t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w w:val="85"/>
              </w:rPr>
              <w:t>150,000,000</w:t>
            </w:r>
          </w:p>
        </w:tc>
      </w:tr>
    </w:tbl>
    <w:p>
      <w:pPr>
        <w:sectPr>
          <w:pgSz w:w="11900" w:h="16838" w:orient="portrait"/>
          <w:cols w:equalWidth="0" w:num="1">
            <w:col w:w="10220"/>
          </w:cols>
          <w:pgMar w:left="144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4.13</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Significant Subsidiaries</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of Subsidiary</w:t>
            </w:r>
          </w:p>
        </w:tc>
        <w:tc>
          <w:tcPr>
            <w:tcW w:w="17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Country of Organization</w:t>
            </w:r>
          </w:p>
        </w:tc>
      </w:tr>
      <w:tr>
        <w:trPr>
          <w:trHeight w:val="203"/>
        </w:trPr>
        <w:tc>
          <w:tcPr>
            <w:tcW w:w="2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Lazard Frères &amp; Co. LLC</w:t>
            </w:r>
          </w:p>
        </w:tc>
        <w:tc>
          <w:tcPr>
            <w:tcW w:w="17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International Holdings, Inc.</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&amp; Co., Holdings Limited</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SAS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Banque SA</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Compagnie Financière Lazard Frères SAS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0220"/>
          </w:cols>
          <w:pgMar w:left="1440" w:top="27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177"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under the Senior Notes, including related contract adjustment payment obligations.</w:t>
      </w:r>
    </w:p>
    <w:p>
      <w:pPr>
        <w:spacing w:after="0" w:line="171" w:lineRule="exact"/>
        <w:rPr>
          <w:rFonts w:ascii="Arial" w:cs="Arial" w:eastAsia="Arial" w:hAnsi="Arial"/>
          <w:sz w:val="18"/>
          <w:szCs w:val="18"/>
          <w:color w:val="auto"/>
        </w:rPr>
      </w:pPr>
    </w:p>
    <w:p>
      <w:pPr>
        <w:ind w:right="420" w:firstLine="8"/>
        <w:spacing w:after="0" w:line="268" w:lineRule="auto"/>
        <w:tabs>
          <w:tab w:leader="none" w:pos="1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Subordinated convertible promissory note, dated March 26, 2003 and amended and restated as of May 15, 2006, in the principal amount of $150,000,000, issued by Lazard Funding Limited LLC in favor of Banca Intesa S.p.A.</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Capital Lease Obligations in an amount of $22,572,000.</w:t>
      </w:r>
    </w:p>
    <w:p>
      <w:pPr>
        <w:sectPr>
          <w:pgSz w:w="11900" w:h="16838" w:orient="portrait"/>
          <w:cols w:equalWidth="0" w:num="1">
            <w:col w:w="11420"/>
          </w:cols>
          <w:pgMar w:left="240" w:top="274" w:right="239" w:bottom="1440" w:gutter="0" w:footer="0" w:header="0"/>
        </w:sectPr>
      </w:pPr>
    </w:p>
    <w:bookmarkStart w:id="150" w:name="page151"/>
    <w:bookmarkEnd w:id="150"/>
    <w:p>
      <w:pPr>
        <w:ind w:left="105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NOTE IS SUBJECT TO THE PROVISIONS OF THE CREDIT AGREEMENT DATED AS OF APRIL 29, 2010 AMONG THE UNDERSIGNED, THE BANKS PARTY THERETO, AND CITIBANK, N.A., AS ADMINISTRATIVE AGENT AND AS BANK.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20" w:type="dxa"/>
            <w:vAlign w:val="bottom"/>
            <w:gridSpan w:val="3"/>
          </w:tcPr>
          <w:p>
            <w:pPr>
              <w:ind w:left="3480"/>
              <w:spacing w:after="0"/>
              <w:rPr>
                <w:sz w:val="20"/>
                <w:szCs w:val="20"/>
                <w:color w:val="auto"/>
              </w:rPr>
            </w:pPr>
            <w:r>
              <w:rPr>
                <w:rFonts w:ascii="Arial" w:cs="Arial" w:eastAsia="Arial" w:hAnsi="Arial"/>
                <w:sz w:val="18"/>
                <w:szCs w:val="18"/>
                <w:color w:val="auto"/>
              </w:rPr>
              <w:t>[FORM OF REVOLVING CREDIT NOTE]</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9"/>
        </w:trPr>
        <w:tc>
          <w:tcPr>
            <w:tcW w:w="160" w:type="dxa"/>
            <w:vAlign w:val="bottom"/>
          </w:tcPr>
          <w:p>
            <w:pPr>
              <w:spacing w:after="0"/>
              <w:rPr>
                <w:sz w:val="20"/>
                <w:szCs w:val="20"/>
                <w:color w:val="auto"/>
              </w:rPr>
            </w:pPr>
            <w:r>
              <w:rPr>
                <w:rFonts w:ascii="Arial" w:cs="Arial" w:eastAsia="Arial" w:hAnsi="Arial"/>
                <w:sz w:val="18"/>
                <w:szCs w:val="18"/>
                <w:color w:val="auto"/>
                <w:w w:val="92"/>
              </w:rPr>
              <w:t>$[</w:t>
            </w:r>
          </w:p>
        </w:tc>
        <w:tc>
          <w:tcPr>
            <w:tcW w:w="4000" w:type="dxa"/>
            <w:vAlign w:val="bottom"/>
            <w:gridSpan w:val="2"/>
          </w:tcPr>
          <w:p>
            <w:pPr>
              <w:jc w:val="right"/>
              <w:ind w:right="3332"/>
              <w:spacing w:after="0"/>
              <w:rPr>
                <w:sz w:val="20"/>
                <w:szCs w:val="20"/>
                <w:color w:val="auto"/>
              </w:rPr>
            </w:pPr>
            <w:r>
              <w:rPr>
                <w:rFonts w:ascii="Arial" w:cs="Arial" w:eastAsia="Arial" w:hAnsi="Arial"/>
                <w:sz w:val="18"/>
                <w:szCs w:val="18"/>
                <w:color w:val="auto"/>
              </w:rPr>
              <w:t>]</w:t>
            </w:r>
          </w:p>
        </w:tc>
        <w:tc>
          <w:tcPr>
            <w:tcW w:w="312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gridSpan w:val="6"/>
          </w:tcPr>
          <w:p>
            <w:pPr>
              <w:jc w:val="right"/>
              <w:spacing w:after="0"/>
              <w:rPr>
                <w:sz w:val="20"/>
                <w:szCs w:val="20"/>
                <w:color w:val="auto"/>
              </w:rPr>
            </w:pPr>
            <w:r>
              <w:rPr>
                <w:rFonts w:ascii="Arial" w:cs="Arial" w:eastAsia="Arial" w:hAnsi="Arial"/>
                <w:sz w:val="18"/>
                <w:szCs w:val="18"/>
                <w:color w:val="auto"/>
              </w:rPr>
              <w:t>New York, New York</w:t>
            </w:r>
          </w:p>
        </w:tc>
      </w:tr>
      <w:tr>
        <w:trPr>
          <w:trHeight w:val="196"/>
        </w:trPr>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  ]</w:t>
            </w: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4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740" w:type="dxa"/>
            <w:vAlign w:val="bottom"/>
            <w:gridSpan w:val="9"/>
          </w:tcPr>
          <w:p>
            <w:pPr>
              <w:jc w:val="right"/>
              <w:ind w:right="160"/>
              <w:spacing w:after="0"/>
              <w:rPr>
                <w:sz w:val="20"/>
                <w:szCs w:val="20"/>
                <w:color w:val="auto"/>
              </w:rPr>
            </w:pPr>
            <w:r>
              <w:rPr>
                <w:rFonts w:ascii="Arial" w:cs="Arial" w:eastAsia="Arial" w:hAnsi="Arial"/>
                <w:sz w:val="18"/>
                <w:szCs w:val="18"/>
                <w:color w:val="auto"/>
                <w:w w:val="92"/>
              </w:rPr>
              <w:t>FOR VALUE RECEIVED, the undersigned, LAZARD GROUP LLC, hereby unconditionally promises to pay on April 29, 2013 or such other date</w:t>
            </w:r>
          </w:p>
        </w:tc>
      </w:tr>
      <w:tr>
        <w:trPr>
          <w:trHeight w:val="184"/>
        </w:trPr>
        <w:tc>
          <w:tcPr>
            <w:tcW w:w="9300" w:type="dxa"/>
            <w:vAlign w:val="bottom"/>
            <w:gridSpan w:val="5"/>
          </w:tcPr>
          <w:p>
            <w:pPr>
              <w:spacing w:after="0" w:line="184" w:lineRule="exact"/>
              <w:rPr>
                <w:sz w:val="20"/>
                <w:szCs w:val="20"/>
                <w:color w:val="auto"/>
              </w:rPr>
            </w:pPr>
            <w:r>
              <w:rPr>
                <w:rFonts w:ascii="Arial" w:cs="Arial" w:eastAsia="Arial" w:hAnsi="Arial"/>
                <w:sz w:val="18"/>
                <w:szCs w:val="18"/>
                <w:color w:val="auto"/>
                <w:w w:val="87"/>
              </w:rPr>
              <w:t>as the amounts hereunder may become due and payable as provided in the Credit Agreement hereinafter referred to, to the order of [</w:t>
            </w: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auto"/>
                <w:w w:val="92"/>
              </w:rPr>
              <w:t>] (the “Bank”), at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office of the Bank specified in the Credit Agreement, in lawful money of the United States of America and in immediately available funds, the principal</w:t>
      </w:r>
    </w:p>
    <w:p>
      <w:pPr>
        <w:spacing w:after="0" w:line="38" w:lineRule="exact"/>
        <w:rPr>
          <w:sz w:val="20"/>
          <w:szCs w:val="20"/>
          <w:color w:val="auto"/>
        </w:rPr>
      </w:pPr>
    </w:p>
    <w:p>
      <w:pPr>
        <w:spacing w:after="0"/>
        <w:tabs>
          <w:tab w:leader="none" w:pos="2820" w:val="left"/>
          <w:tab w:leader="none" w:pos="3480" w:val="left"/>
        </w:tabs>
        <w:rPr>
          <w:sz w:val="20"/>
          <w:szCs w:val="20"/>
          <w:color w:val="auto"/>
        </w:rPr>
      </w:pPr>
      <w:r>
        <w:rPr>
          <w:rFonts w:ascii="Arial" w:cs="Arial" w:eastAsia="Arial" w:hAnsi="Arial"/>
          <w:sz w:val="18"/>
          <w:szCs w:val="18"/>
          <w:color w:val="auto"/>
        </w:rPr>
        <w:t>amount of the lesser of (a)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and (b) the aggregate unpaid principal amount of all loans made by the Bank to the undersigned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-17780</wp:posOffset>
            </wp:positionV>
            <wp:extent cx="9848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Section 2.1 of the Credit Agreement. The undersigned further agrees to pay interest in like money at such office on the unpaid principal amount hereof from time to time from the date hereof at the applicable rates and on the dates provided for in Section 2.3 of the Credit Agreement, until paid in full (both before and after judgment).</w:t>
      </w:r>
    </w:p>
    <w:p>
      <w:pPr>
        <w:spacing w:after="0" w:line="144"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This Note is one of the Notes referred to in the Credit Agreement dated as of April 29, 2010 (as from time to time amended, supplemented or otherwise modified, the “Agreement”) among the undersigned, the Bank, the other financial institutions party thereto, and Citibank, N.A., a national banking association, as Administrative Agent and as a bank, and the terms thereof are incorporated herein by reference and the holder hereof is entitled to the benefits thereof. This Note is subject to optional prepayment in whole or in part only as permitted by Section 2.9 of the Agreement.</w:t>
      </w:r>
    </w:p>
    <w:p>
      <w:pPr>
        <w:spacing w:after="0" w:line="11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case an Event of Default, as defined in the Agreement, shall occur or be continuing, all amounts then remaining unpaid on this Note shall become, or may be declared to be, due and payable in the manner, with the effect and subject to the conditions provided therein.</w:t>
      </w:r>
    </w:p>
    <w:p>
      <w:pPr>
        <w:sectPr>
          <w:pgSz w:w="11900" w:h="16838" w:orient="portrait"/>
          <w:cols w:equalWidth="0" w:num="1">
            <w:col w:w="11420"/>
          </w:cols>
          <w:pgMar w:left="240" w:top="274" w:right="23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and interpreted in accordance with the laws of the State of New York.</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-129540</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6985</wp:posOffset>
            </wp:positionV>
            <wp:extent cx="2546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-129540</wp:posOffset>
            </wp:positionV>
            <wp:extent cx="2546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Note</w:t>
      </w:r>
      <w:r>
        <w:rPr>
          <w:rFonts w:ascii="Arial" w:cs="Arial" w:eastAsia="Arial" w:hAnsi="Arial"/>
          <w:sz w:val="18"/>
          <w:szCs w:val="18"/>
          <w:color w:val="auto"/>
        </w:rPr>
        <w:t>]</w:t>
      </w:r>
    </w:p>
    <w:p>
      <w:pPr>
        <w:sectPr>
          <w:pgSz w:w="11900" w:h="16838" w:orient="portrait"/>
          <w:cols w:equalWidth="0" w:num="1">
            <w:col w:w="9299"/>
          </w:cols>
          <w:pgMar w:left="1160" w:top="279"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Schedule to</w:t>
            </w:r>
          </w:p>
        </w:tc>
      </w:t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Revolving</w:t>
            </w:r>
          </w:p>
        </w:tc>
      </w:tr>
      <w:tr>
        <w:trPr>
          <w:trHeight w:val="184"/>
        </w:trPr>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Credit Note</w:t>
            </w:r>
          </w:p>
        </w:tc>
      </w:tr>
      <w:tr>
        <w:trPr>
          <w:trHeight w:val="35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LOANS AND PAYMENTS OF PRINCIPAL</w:t>
            </w:r>
          </w:p>
        </w:tc>
        <w:tc>
          <w:tcPr>
            <w:tcW w:w="48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Amount of</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Unpaid</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Amount of</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Type/Int.</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Principal</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Principal</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Notation</w:t>
            </w:r>
          </w:p>
        </w:tc>
      </w:tr>
      <w:tr>
        <w:trPr>
          <w:trHeight w:val="179"/>
        </w:trPr>
        <w:tc>
          <w:tcPr>
            <w:tcW w:w="340" w:type="dxa"/>
            <w:vAlign w:val="bottom"/>
          </w:tcPr>
          <w:p>
            <w:pPr>
              <w:spacing w:after="0"/>
              <w:rPr>
                <w:sz w:val="15"/>
                <w:szCs w:val="15"/>
                <w:color w:val="auto"/>
              </w:rPr>
            </w:pPr>
          </w:p>
        </w:tc>
        <w:tc>
          <w:tcPr>
            <w:tcW w:w="2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1"/>
              </w:rPr>
              <w:t>Date</w:t>
            </w:r>
          </w:p>
        </w:tc>
        <w:tc>
          <w:tcPr>
            <w:tcW w:w="960" w:type="dxa"/>
            <w:vAlign w:val="bottom"/>
          </w:tcPr>
          <w:p>
            <w:pPr>
              <w:spacing w:after="0"/>
              <w:rPr>
                <w:sz w:val="15"/>
                <w:szCs w:val="15"/>
                <w:color w:val="auto"/>
              </w:rPr>
            </w:pPr>
          </w:p>
        </w:tc>
        <w:tc>
          <w:tcPr>
            <w:tcW w:w="184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5"/>
              </w:rPr>
              <w:t>Loans Made</w:t>
            </w:r>
          </w:p>
        </w:tc>
        <w:tc>
          <w:tcPr>
            <w:tcW w:w="200" w:type="dxa"/>
            <w:vAlign w:val="bottom"/>
          </w:tcPr>
          <w:p>
            <w:pPr>
              <w:spacing w:after="0"/>
              <w:rPr>
                <w:sz w:val="15"/>
                <w:szCs w:val="15"/>
                <w:color w:val="auto"/>
              </w:rPr>
            </w:pPr>
          </w:p>
        </w:tc>
        <w:tc>
          <w:tcPr>
            <w:tcW w:w="17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3"/>
              </w:rPr>
              <w:t>Period</w:t>
            </w:r>
          </w:p>
        </w:tc>
        <w:tc>
          <w:tcPr>
            <w:tcW w:w="19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Repaid</w:t>
            </w:r>
          </w:p>
        </w:tc>
        <w:tc>
          <w:tcPr>
            <w:tcW w:w="19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6"/>
              </w:rPr>
              <w:t>Balance</w:t>
            </w:r>
          </w:p>
        </w:tc>
        <w:tc>
          <w:tcPr>
            <w:tcW w:w="17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Made by</w:t>
            </w:r>
          </w:p>
        </w:tc>
      </w:tr>
      <w:tr>
        <w:trPr>
          <w:trHeight w:val="195"/>
        </w:trPr>
        <w:tc>
          <w:tcPr>
            <w:tcW w:w="158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87"/>
              </w:rPr>
              <w:t>___________</w:t>
            </w: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6"/>
                <w:szCs w:val="16"/>
                <w:color w:val="auto"/>
              </w:rPr>
            </w:pPr>
          </w:p>
        </w:tc>
        <w:tc>
          <w:tcPr>
            <w:tcW w:w="18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center"/>
              <w:ind w:left="294"/>
              <w:spacing w:after="0" w:line="195" w:lineRule="exact"/>
              <w:rPr>
                <w:sz w:val="20"/>
                <w:szCs w:val="20"/>
                <w:color w:val="auto"/>
              </w:rPr>
            </w:pPr>
            <w:r>
              <w:rPr>
                <w:rFonts w:ascii="Arial" w:cs="Arial" w:eastAsia="Arial" w:hAnsi="Arial"/>
                <w:sz w:val="18"/>
                <w:szCs w:val="18"/>
                <w:color w:val="auto"/>
                <w:w w:val="88"/>
              </w:rPr>
              <w:t>___________</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22"/>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9"/>
                <w:szCs w:val="19"/>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bl>
    <w:p>
      <w:pPr>
        <w:jc w:val="center"/>
        <w:spacing w:after="0"/>
        <w:rPr>
          <w:sz w:val="20"/>
          <w:szCs w:val="20"/>
          <w:color w:val="auto"/>
        </w:rPr>
        <w:sectPr>
          <w:pgSz w:w="11900" w:h="16838" w:orient="portrait"/>
          <w:cols w:equalWidth="0" w:num="1">
            <w:col w:w="10920"/>
          </w:cols>
          <w:pgMar w:left="7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17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[FORM OF OPINION OF CRAVATH, SWAINE &amp; MOORE LLP]</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Lazard Group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 Agreement dated as of April 29,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acted as special New York counsel to Lazard Group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in connection with the Credit Agreement dated as of April 29, 2010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lending institutions party thereto (the “</w:t>
      </w:r>
      <w:r>
        <w:rPr>
          <w:rFonts w:ascii="Arial" w:cs="Arial" w:eastAsia="Arial" w:hAnsi="Arial"/>
          <w:sz w:val="16"/>
          <w:szCs w:val="16"/>
          <w:u w:val="single" w:color="auto"/>
          <w:color w:val="auto"/>
        </w:rPr>
        <w:t>Banks</w:t>
      </w:r>
      <w:r>
        <w:rPr>
          <w:rFonts w:ascii="Arial" w:cs="Arial" w:eastAsia="Arial" w:hAnsi="Arial"/>
          <w:sz w:val="16"/>
          <w:szCs w:val="16"/>
          <w:color w:val="auto"/>
        </w:rPr>
        <w:t>”) and Citibank, N.A., as administrative agent for the Banks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This opinion is being delivered to you pursuant to Section 5.1(d) of the Credit Agreement. Capitalized terms used but not defined herein have the meanings assigned to them in the Credit Agreement.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w:t>
      </w:r>
    </w:p>
    <w:p>
      <w:pPr>
        <w:spacing w:after="0" w:line="51" w:lineRule="exact"/>
        <w:rPr>
          <w:sz w:val="20"/>
          <w:szCs w:val="20"/>
          <w:color w:val="auto"/>
        </w:rPr>
      </w:pPr>
    </w:p>
    <w:p>
      <w:pPr>
        <w:ind w:left="680" w:hanging="21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other documents as we have deemed necessary or appropriate as a basis for the opinions set forth below.</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also relied, with respect to certain factual matters, on the representations and warranties of the Borrower contained in the Credit Agreement and have assumed compliance by the Borrower with the terms of the Credit Agreement.</w:t>
      </w:r>
    </w:p>
    <w:p>
      <w:pPr>
        <w:spacing w:after="0" w:line="13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rendering our opinion, we have assumed (a) the genuineness of all signatures, (b) that each party to the Credit Agreement has been duly organized and is validly existing and in good standing under the laws of the jurisdiction of its organization and has all necessary power, authority and legal right to execute and deliver the Credit Agreement and to perform its obligations thereunder and that the Credit Agreement is a legal, valid and binding obligation of each party thereto (other than the Borrower), (c) the due authorization, execution and delivery of the Credit Agreement by all parties thereto, (d) the authenticity of all documents submitted to us as originals, (e) the conformity to original documents of all documents submitted to us as copies and (f) that insofar as any obligation under the Credit Agreement is to be performed in, or by a party organized under the laws of, any jurisdiction outside the State of New York, its performance will not be illegal or ineffective in any jurisdiction by virtue of the law of that jurisdiction. In rendering our opinion, we also have relied upon the opinion, dated the date</w:t>
      </w:r>
    </w:p>
    <w:p>
      <w:pPr>
        <w:spacing w:after="0"/>
        <w:tabs>
          <w:tab w:leader="none" w:pos="2760" w:val="left"/>
        </w:tabs>
        <w:rPr>
          <w:sz w:val="20"/>
          <w:szCs w:val="20"/>
          <w:color w:val="auto"/>
        </w:rPr>
      </w:pPr>
      <w:r>
        <w:rPr>
          <w:rFonts w:ascii="Arial" w:cs="Arial" w:eastAsia="Arial" w:hAnsi="Arial"/>
          <w:sz w:val="18"/>
          <w:szCs w:val="18"/>
          <w:color w:val="auto"/>
        </w:rPr>
        <w:t>hereof and addressed to you,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-17780</wp:posOffset>
            </wp:positionV>
            <wp:extent cx="3346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qualifications hereinafter set forth, we are of opinion as follows:</w:t>
      </w:r>
    </w:p>
    <w:p>
      <w:pPr>
        <w:sectPr>
          <w:pgSz w:w="11900" w:h="16838" w:orient="portrait"/>
          <w:cols w:equalWidth="0" w:num="1">
            <w:col w:w="11420"/>
          </w:cols>
          <w:pgMar w:left="240" w:top="274" w:right="239" w:bottom="1440" w:gutter="0" w:footer="0" w:header="0"/>
        </w:sectPr>
      </w:pPr>
    </w:p>
    <w:bookmarkStart w:id="154" w:name="page155"/>
    <w:bookmarkEnd w:id="154"/>
    <w:p>
      <w:pPr>
        <w:ind w:right="80" w:firstLine="921"/>
        <w:spacing w:after="0" w:line="283" w:lineRule="auto"/>
        <w:tabs>
          <w:tab w:leader="none" w:pos="1088"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Credit Agreement constitutes a legal, valid and binding obligation of the Borrower, enforceable against the Borrower in accordance with its terms, subject in each case to applicable bankruptcy, insolvency, reorganization, moratorium, fraudulent transfer and other similar laws relating to or affecting creditors’ rights generally from time to time in effect and to general principles of equity (including, without limitation, concepts of materiality, reasonableness, good faith and fair dealing), regardless of whether considered in a proceeding in equity or at law. The foregoing opinion is subject to the following qualifications:</w:t>
      </w:r>
    </w:p>
    <w:p>
      <w:pPr>
        <w:spacing w:after="0" w:line="2" w:lineRule="exact"/>
        <w:rPr>
          <w:rFonts w:ascii="Arial" w:cs="Arial" w:eastAsia="Arial" w:hAnsi="Arial"/>
          <w:sz w:val="16"/>
          <w:szCs w:val="16"/>
          <w:color w:val="auto"/>
        </w:rPr>
      </w:pPr>
    </w:p>
    <w:p>
      <w:pPr>
        <w:ind w:right="40" w:firstLine="8"/>
        <w:spacing w:after="0" w:line="252" w:lineRule="auto"/>
        <w:tabs>
          <w:tab w:leader="none" w:pos="2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or limitations on liability, the enforceability thereof may be limited by public policy considerations, (b) the availability of a decree for specific performance or an injunction is subject to the discretion of the court requested to issue any such decree or injunction, (c) we express no opinion as to the effect of the laws of any jurisdiction other than the State of New York where any Bank may be located or where enforcement of the Credit Agreement may be sought that limit the rates of interest legally chargeable or collectible and (d) we express no opinion herein as to any provision in the Credit Agreement (i) that relates to the subject matter jurisdiction of any Federal court of the United States of America, or any Federal appellate court, to adjudicate any controversy related to the Credit Agreement, (ii) that contains a waiver of an inconvenient forum, (iii) that relates to a right of set-off in respect of purchases of participating interests in Loans or with respect to parties that may not hold mutual debts or (iv) that provides for liquidated damages.</w:t>
      </w:r>
    </w:p>
    <w:p>
      <w:pPr>
        <w:spacing w:after="0" w:line="145" w:lineRule="exact"/>
        <w:rPr>
          <w:rFonts w:ascii="Arial" w:cs="Arial" w:eastAsia="Arial" w:hAnsi="Arial"/>
          <w:sz w:val="18"/>
          <w:szCs w:val="18"/>
          <w:color w:val="auto"/>
        </w:rPr>
      </w:pPr>
    </w:p>
    <w:p>
      <w:pPr>
        <w:jc w:val="both"/>
        <w:ind w:right="120" w:firstLine="921"/>
        <w:spacing w:after="0" w:line="259" w:lineRule="auto"/>
        <w:tabs>
          <w:tab w:leader="none" w:pos="108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Assuming that the Borrower complies with the provisions of the Credit Agreement relating to the use of proceeds of the Loans, the execution and delivery by the Borrower of the Credit Agreement and the performance by the Borrower of its obligations thereunder do not violate any law of the United States of America or of the State of New York.</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understand that you are satisfying yourselves as to the status under Section 548 of the Bankruptcy Code and applicable state fraudulent conveyance laws of the obligations of the Borrower under the Credit Agreement and we express no opinion thereon.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admitted to practice only in the State of New York, and we express no opinion as to matters governed by any laws other than the laws of the State of New York and the Federal law of the United States of America.</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opinion is rendered only to the Administrative Agent and the Banks party to the Credit Agreement as of the date hereof and is solely for their benefit in connection with the Credit Agreement and the transactions thereunder. This opinion may not be relied upon by any other person or for any other purpose or used, circulated, quoted or otherwise referred to for any other purpose without our prior written consent. We are opining as to the matters herein only as of the date hereof, and do not undertake any obligation to update this opinion.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Banks party to the Credit Agreement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care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161S Brett Road, OPS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ectPr>
          <w:pgSz w:w="11900" w:h="16838" w:orient="portrait"/>
          <w:cols w:equalWidth="0" w:num="1">
            <w:col w:w="11420"/>
          </w:cols>
          <w:pgMar w:left="240" w:top="2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[FORM OF OPINION OF GENERAL COUNSEL TO COMPANY]</w:t>
      </w:r>
    </w:p>
    <w:p>
      <w:pPr>
        <w:spacing w:after="0" w:line="212" w:lineRule="exact"/>
        <w:rPr>
          <w:sz w:val="20"/>
          <w:szCs w:val="20"/>
          <w:color w:val="auto"/>
        </w:rPr>
      </w:pPr>
    </w:p>
    <w:p>
      <w:pPr>
        <w:ind w:right="3700"/>
        <w:spacing w:after="0" w:line="438" w:lineRule="auto"/>
        <w:rPr>
          <w:sz w:val="20"/>
          <w:szCs w:val="20"/>
          <w:color w:val="auto"/>
        </w:rPr>
      </w:pPr>
      <w:r>
        <w:rPr>
          <w:rFonts w:ascii="Arial" w:cs="Arial" w:eastAsia="Arial" w:hAnsi="Arial"/>
          <w:sz w:val="18"/>
          <w:szCs w:val="18"/>
          <w:color w:val="auto"/>
        </w:rPr>
        <w:t>To: The Banks and the Administrative Agent referred to below c/o Citibank, N.A., as Administrative Agent Ladies and Gentlemen:</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 am General Counsel of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have acted as counsel to the Company in connection with the Credit Agreement dated as of April [29], 2010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Banks party thereto, and Citibank, N.A. as Administrative Agent. Unless otherwise indicated, capitalized terms used and not defined herein shall have the meaning assigned to them in the Credit Agreement. This opinion is being rendered to you at the request of the Company and pursuant to Section 5.1(d) of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I, or attorneys working under my direction, have reviewed the following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other documents as I have deemed necessary or appropriate as a basis for the opinions set forth below.</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 have examined originals or copies, certified or otherwise identified to my satisfaction, of such documents, corporate records, certificates of public officials and other instruments and have conducted such other investigations of fact and law as I have deemed necessary or advisable for purposes of the opinions expressed below. In such examination, I have assumed the genuineness of all signatures, the authenticity of all documents submitted to me as originals, the conformity to authentic original documents of all documents submitted to me as copies and the legal capacity of all individuals executing such documents. As to questions of fact material to this opinion which I did not independently establish or verify, I have, with your consent, relied upon the statements, certificates and representations of officers and other representatives of the Company. In addition, I have obtained and relied upon such certificates and assurances from public officials as I have deemed necessary.</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 have also assumed the valid authorization, execution and delivery of the Credit Agreement by each party thereto other than the Company, and I have assumed that each such other party has been duly organized and is validly existing and in good standing under its jurisdiction of organization, and that each such other party has the legal capacity, power and authority to perform its obligations thereunder, and that, except as expressly opined to below, the Credit Agreement constitutes the valid and binding obligation of all such other parties, enforceable against them in accordance with its terms.</w:t>
      </w:r>
    </w:p>
    <w:p>
      <w:pPr>
        <w:sectPr>
          <w:pgSz w:w="11900" w:h="16838" w:orient="portrait"/>
          <w:cols w:equalWidth="0" w:num="1">
            <w:col w:w="11420"/>
          </w:cols>
          <w:pgMar w:left="240" w:top="280" w:right="239" w:bottom="1440" w:gutter="0" w:footer="0" w:header="0"/>
        </w:sectPr>
      </w:pPr>
    </w:p>
    <w:bookmarkStart w:id="156" w:name="page157"/>
    <w:bookmarkEnd w:id="156"/>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am a member of the Bar of the State of New York, and I have not considered, and I express no opinion as to, the laws of any jurisdiction other than the laws of the State of New York, the Limited Liability Company Act of the State of Delaware and the federal laws of the United States of America, in each case as in effect on the date hereof. My opinions below as to compliance with certain statutes, rules and regulations are based upon a review of those statutes, rules and regulations which, in my experience, are normally applicable to transactions of the type contemplated by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comments and qualifications set forth below, it is my opinion that:</w:t>
      </w:r>
    </w:p>
    <w:p>
      <w:pPr>
        <w:spacing w:after="0" w:line="90"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color w:val="auto"/>
        </w:rPr>
        <w:t>The Company (a) is a limited liability company duly formed and validly existing and in good standing under the Limited Liability Company Act of the State of Delaware, (b) has the requisite power and authority to conduct its business as now conducted and except where the failure to do so, in the aggregate, would not reasonably be expected to result in a Material Adverse Effect, is qualified to do business in, and is in good standing in, every other jurisdiction where its ownership, lease, or operation of property or the conduct of its business requires such qualification and (c) has the requisite power and authority to execute, deliver and perform the Credit Agreement.</w:t>
      </w:r>
    </w:p>
    <w:p>
      <w:pPr>
        <w:spacing w:after="0" w:line="35"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The execution, delivery and performance of the Credit Agreement by the Company and the borrowings by the Company under the Credit Agreement will not (i) violate the organizational or governing documents of the Company, any other material Requirement of Law or any material Contractual Obligation of the Company or (ii) result in the creation or imposition of any Lien on any of its properties or revenues pursuant to any such Requirement of Law or Contractual Obligation. No consent or authorization of, filing with, or other act by or in respect of any Governmental Authority, is required to be obtained or made by the Company in connection with the borrowings under the Credit Agreement or with the execution, delivery and performance of the Credit Agreement by the Company, or in connection with the validity or enforceability of the Credit Agreement against the Company.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has been duly authorized, executed and delivered by the Company.</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To the best of my knowledge, there is no litigation, proceeding, or governmental investigation pending or threatened against the Company or against any of its properties or revenues (a) with respect to the Credit Agreement or (b) which is reasonably likely to be adversely determined and, if adversely determined, would reasonably be expected to have, a Material Adverse Effect, except as disclosed to the Banks prior to the Effective Date (including, without limitation, any disclosure made in a filing with the Securities and Exchange Commission).</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opinion is rendered only to the Administrative Agent and the Banks party to the Credit Agreement as of the date hereof and is solely for their benefit in connection with the Credit Agreement and the transactions thereunder. This opinion may not be relied upon by any other person or for any other purpose or used, circulated, quoted or otherwise referred to for any</w:t>
      </w:r>
    </w:p>
    <w:p>
      <w:pPr>
        <w:sectPr>
          <w:pgSz w:w="11900" w:h="16838" w:orient="portrait"/>
          <w:cols w:equalWidth="0" w:num="1">
            <w:col w:w="11380"/>
          </w:cols>
          <w:pgMar w:left="240" w:top="280" w:right="279" w:bottom="1440" w:gutter="0" w:footer="0" w:header="0"/>
        </w:sectPr>
      </w:pPr>
    </w:p>
    <w:bookmarkStart w:id="157" w:name="page158"/>
    <w:bookmarkEnd w:id="15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purpose without my prior written consent. I am opining as to the matters herein only as of the date hereof, and do not undertake any obligation to update this opinion.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2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OPINION WILMER CUTLER PICKERING HALE AND DORR LLP</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and Trust Co.,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Citibank, N.A.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Robert Ross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have requested our opinion in connection with the Credit Agreement dated April 29, 2010 (“Credit Agreement”), by and among Lazard Group LLC, a Delaware limited liability company (“Lazard Group”), and Citibank, N.A., State Street Bank and Trust Co., and The Bank of New York Mellon (collectively, “Banks”), relating to Loans (as defined in the Credit Agreement) made by the Banks to Lazard Group, that neither Lazard Group nor any of its Subsidiaries (as defined in the Credit Agreement) is an “investment company”, or a company “controlled” by a registered “investment company” within the meaning of the Investment Company Act of 1940, as amended (“Act”).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examined and relied upon originals, or copies certified to our satisfaction, of such company records, documents, certificates, and other instruments as in our judgment are necessary or appropriate to enable us to render the opinion set forth below. In our examination of the documents described above, we have assumed the genuineness of all signatures, the legal capacity of all individual signatories, the completeness of all corporate records provided to us, the authenticity of all documents submitted to us as originals, the conformity to original documents of all documents submitted to us as copies, and the authenticity of the originals of such latter documents. We also have examined and relied upon the documents filed by Lazard Ltd, a holding company organized under Bermuda law as an exempted Bermuda limited company, and Lazard Group with the Securities and Exchange Commission, including all exhibits thereto and incorporated by reference (“SEC Filings”). We assume, with your permission, that all of the facts included in the SEC Filings are accurate and complete in all material respects, and that the agreements included as exhibits to the SEC Filings contain the substantially final terms of such agreements.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are of the opinion that neither Lazard Group nor any of its Subsidiaries is an “investment company”, or a company “controlled” by a registered “investment company” within the meaning of the Act.</w:t>
      </w:r>
    </w:p>
    <w:p>
      <w:pPr>
        <w:sectPr>
          <w:pgSz w:w="11900" w:h="16838" w:orient="portrait"/>
          <w:cols w:equalWidth="0" w:num="1">
            <w:col w:w="11420"/>
          </w:cols>
          <w:pgMar w:left="240" w:top="280" w:right="239" w:bottom="1440" w:gutter="0" w:footer="0" w:header="0"/>
        </w:sectPr>
      </w:pPr>
    </w:p>
    <w:bookmarkStart w:id="159" w:name="page160"/>
    <w:bookmarkEnd w:id="159"/>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may not be relied upon by or furnished to any other party (other than Lazard and its affiliates and their counsel) without our prior written consent. This opinion is provided to you as a legal opinion only and not as a guaranty or warranty of the matters discussed herein.</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assume no obligation to advise you of changes that may be brought to our attention after the date of this opinion. Our opinion is based on the Act, the regulations thereunder, and administrative decisions and interpretations completed at the date of this opinion, and we do not opine as to any law, regulation, rule, or governmental policy or decision that may be enacted, determined, or adopted after the date hereof, nor assume any responsibility to advise you of future changes in our opinion. We do not express any conclusions as to the effect of any other Federal laws of the United States or of the laws of any other jurisdiction.</w:t>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ASSIGNMENT AND ACCEPTANCE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made to the Credit Agreement, dated as of April 29, 2010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Lazard Group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Banks party thereto and Citibank, N.A., a national banking association, as administrative agent for the Banks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defined herein, terms defined in the Credit Agreement and used herein shall have the meanings given to them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Assignor identified on Schedule l hereto (the “</w:t>
      </w:r>
      <w:r>
        <w:rPr>
          <w:rFonts w:ascii="Arial" w:cs="Arial" w:eastAsia="Arial" w:hAnsi="Arial"/>
          <w:sz w:val="16"/>
          <w:szCs w:val="16"/>
          <w:u w:val="single" w:color="auto"/>
          <w:color w:val="auto"/>
        </w:rPr>
        <w:t>Assignor</w:t>
      </w:r>
      <w:r>
        <w:rPr>
          <w:rFonts w:ascii="Arial" w:cs="Arial" w:eastAsia="Arial" w:hAnsi="Arial"/>
          <w:sz w:val="16"/>
          <w:szCs w:val="16"/>
          <w:color w:val="auto"/>
        </w:rPr>
        <w:t>”) and the Assignee identified on Schedule l hereto (the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194" w:lineRule="exact"/>
        <w:rPr>
          <w:sz w:val="20"/>
          <w:szCs w:val="20"/>
          <w:color w:val="auto"/>
        </w:rPr>
      </w:pPr>
    </w:p>
    <w:p>
      <w:pPr>
        <w:ind w:right="420" w:firstLine="8"/>
        <w:spacing w:after="0" w:line="294" w:lineRule="auto"/>
        <w:tabs>
          <w:tab w:leader="none" w:pos="17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Assignor hereby irrevocably sells and assigns to the Assignee without recourse to the Assignor, and the Assignee hereby irrevocably purchases and assumes from the Assignor without recourse to the Assignor, as of the Effective Date (as defined below), the interest described in Schedule 1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in and to the Assignor’s rights and obligations under the Credit Agreement with respect to those credit facilities contained in the Credit Agreement as are set forth on Schedule 1 hereto (individually, an “</w:t>
      </w:r>
      <w:r>
        <w:rPr>
          <w:rFonts w:ascii="Arial" w:cs="Arial" w:eastAsia="Arial" w:hAnsi="Arial"/>
          <w:sz w:val="16"/>
          <w:szCs w:val="16"/>
          <w:u w:val="single" w:color="auto"/>
          <w:color w:val="auto"/>
        </w:rPr>
        <w:t>Assigned Facility</w:t>
      </w:r>
      <w:r>
        <w:rPr>
          <w:rFonts w:ascii="Arial" w:cs="Arial" w:eastAsia="Arial" w:hAnsi="Arial"/>
          <w:sz w:val="16"/>
          <w:szCs w:val="16"/>
          <w:color w:val="auto"/>
        </w:rPr>
        <w:t>”; collectively, the “</w:t>
      </w:r>
      <w:r>
        <w:rPr>
          <w:rFonts w:ascii="Arial" w:cs="Arial" w:eastAsia="Arial" w:hAnsi="Arial"/>
          <w:sz w:val="16"/>
          <w:szCs w:val="16"/>
          <w:u w:val="single" w:color="auto"/>
          <w:color w:val="auto"/>
        </w:rPr>
        <w:t>Assigned Facilities</w:t>
      </w:r>
      <w:r>
        <w:rPr>
          <w:rFonts w:ascii="Arial" w:cs="Arial" w:eastAsia="Arial" w:hAnsi="Arial"/>
          <w:sz w:val="16"/>
          <w:szCs w:val="16"/>
          <w:color w:val="auto"/>
        </w:rPr>
        <w:t>”), in a principal amount for each Assigned Facility as set forth on Schedule 1 hereto.</w:t>
      </w:r>
    </w:p>
    <w:p>
      <w:pPr>
        <w:spacing w:after="0" w:line="115" w:lineRule="exact"/>
        <w:rPr>
          <w:rFonts w:ascii="Arial" w:cs="Arial" w:eastAsia="Arial" w:hAnsi="Arial"/>
          <w:sz w:val="16"/>
          <w:szCs w:val="16"/>
          <w:color w:val="auto"/>
        </w:rPr>
      </w:pPr>
    </w:p>
    <w:p>
      <w:pPr>
        <w:ind w:right="40" w:firstLine="8"/>
        <w:spacing w:after="0" w:line="290" w:lineRule="auto"/>
        <w:tabs>
          <w:tab w:leader="none" w:pos="17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any other Credit Document or any other instrument or document furnished pursuant thereto, other than that the Assignor has not created any adverse claim upon the interest being assigned by it hereunder and that such interest is free and clear of any such adverse claim and (b) makes no representation or warranty and assumes no responsibility with respect to the financial condition of the Company, any of its Affiliates or any other obligor or the performance or observance by the Company, any of its Affiliates or any other obligor of any of their respective obligations under the Credit Agreement or any other Credit Document or any other instrument or document furnished pursuant hereto or thereto.</w:t>
      </w:r>
    </w:p>
    <w:p>
      <w:pPr>
        <w:spacing w:after="0" w:line="118" w:lineRule="exact"/>
        <w:rPr>
          <w:rFonts w:ascii="Arial" w:cs="Arial" w:eastAsia="Arial" w:hAnsi="Arial"/>
          <w:sz w:val="16"/>
          <w:szCs w:val="16"/>
          <w:color w:val="auto"/>
        </w:rPr>
      </w:pPr>
    </w:p>
    <w:p>
      <w:pPr>
        <w:ind w:right="80" w:firstLine="8"/>
        <w:spacing w:after="0" w:line="290" w:lineRule="auto"/>
        <w:tabs>
          <w:tab w:leader="none" w:pos="17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Assignee (a) represents and warrants that it is legally authorized to enter into this Assignment and Acceptance; (b) confirms that it has received a copy of the Credit Agreement, together with copies of the financial statements delivered pursuant to Section 6.1 thereof and such other documents and information as it has deemed appropriate to make its own credit analysis and decision to enter into this Assignment and Acceptance; (c) agrees that it will, independently and without reliance upon the Assignor, the Administrative Agent or any Bank and based on such documents and information as it shall deem appropriate at the time, continue to make its own credit decisions in taking or not taking action under the Credit Agreement, the other Credit Documents or any other instrument or document furnished pursuant hereto or thereto; (d) appoints and authorizes the Administrative Agent to take such action as agent on its behalf and to exercise such powers and discretion under the Credit Agreement, the other Credit</w:t>
      </w:r>
    </w:p>
    <w:p>
      <w:pPr>
        <w:sectPr>
          <w:pgSz w:w="11900" w:h="16838" w:orient="portrait"/>
          <w:cols w:equalWidth="0" w:num="1">
            <w:col w:w="11420"/>
          </w:cols>
          <w:pgMar w:left="240" w:top="280" w:right="239" w:bottom="1440" w:gutter="0" w:footer="0" w:header="0"/>
        </w:sectPr>
      </w:pPr>
    </w:p>
    <w:bookmarkStart w:id="161" w:name="page162"/>
    <w:bookmarkEnd w:id="161"/>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Bank including, if it is organized under the laws of a jurisdiction outside the United States, its obligation pursuant to Section 2.17(d) of the Credit Agreement.</w:t>
      </w:r>
    </w:p>
    <w:p>
      <w:pPr>
        <w:spacing w:after="0" w:line="113" w:lineRule="exact"/>
        <w:rPr>
          <w:sz w:val="20"/>
          <w:szCs w:val="20"/>
          <w:color w:val="auto"/>
        </w:rPr>
      </w:pPr>
    </w:p>
    <w:p>
      <w:pPr>
        <w:ind w:right="280" w:firstLine="8"/>
        <w:spacing w:after="0" w:line="298" w:lineRule="auto"/>
        <w:tabs>
          <w:tab w:leader="none" w:pos="1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effective date of this Assignment and Acceptance shall be the Effective Date of Assignment described in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 Following the execution of this Assignment and Acceptance,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12" w:lineRule="exact"/>
        <w:rPr>
          <w:rFonts w:ascii="Arial" w:cs="Arial" w:eastAsia="Arial" w:hAnsi="Arial"/>
          <w:sz w:val="16"/>
          <w:szCs w:val="16"/>
          <w:color w:val="auto"/>
        </w:rPr>
      </w:pPr>
    </w:p>
    <w:p>
      <w:pPr>
        <w:ind w:right="80" w:firstLine="8"/>
        <w:spacing w:after="0" w:line="298" w:lineRule="auto"/>
        <w:tabs>
          <w:tab w:leader="none" w:pos="17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12" w:lineRule="exact"/>
        <w:rPr>
          <w:rFonts w:ascii="Arial" w:cs="Arial" w:eastAsia="Arial" w:hAnsi="Arial"/>
          <w:sz w:val="16"/>
          <w:szCs w:val="16"/>
          <w:color w:val="auto"/>
        </w:rPr>
      </w:pPr>
    </w:p>
    <w:p>
      <w:pPr>
        <w:ind w:right="180" w:firstLine="8"/>
        <w:spacing w:after="0" w:line="335" w:lineRule="auto"/>
        <w:tabs>
          <w:tab w:leader="none" w:pos="17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From and after the Effective Date, (a) the Assignee shall be a party to the Credit Agreement and, to the extent provided in this Assignment and Acceptance, have the rights and obligations of a Bank thereunder and under the other Credit Documents and shall be bound by the provisions thereof and (b) the Assignor shall, to the extent provided in this Assignment and Acceptance, relinquish its rights and be released from its obligations under the Credit Agreement.</w:t>
      </w:r>
    </w:p>
    <w:p>
      <w:pPr>
        <w:spacing w:after="0" w:line="88" w:lineRule="exact"/>
        <w:rPr>
          <w:rFonts w:ascii="Arial" w:cs="Arial" w:eastAsia="Arial" w:hAnsi="Arial"/>
          <w:sz w:val="15"/>
          <w:szCs w:val="15"/>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ectPr>
          <w:pgSz w:w="11900" w:h="16838" w:orient="portrait"/>
          <w:cols w:equalWidth="0" w:num="1">
            <w:col w:w="11300"/>
          </w:cols>
          <w:pgMar w:left="240" w:top="280" w:right="359" w:bottom="1440" w:gutter="0" w:footer="0" w:header="0"/>
        </w:sectPr>
      </w:pPr>
    </w:p>
    <w:bookmarkStart w:id="162" w:name="page163"/>
    <w:bookmarkEnd w:id="16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Assignment and Acceptance to be executed as of the date first above written by their respective duly authorized officers on Schedule 1 hereto.</w:t>
      </w:r>
    </w:p>
    <w:p>
      <w:pPr>
        <w:sectPr>
          <w:pgSz w:w="11900" w:h="16838" w:orient="portrait"/>
          <w:cols w:equalWidth="0" w:num="1">
            <w:col w:w="11280"/>
          </w:cols>
          <w:pgMar w:left="240" w:top="280" w:right="3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Assignment and Acceptance with respect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April 29,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Lazard Group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Banks party thereto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Citibank,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-13970</wp:posOffset>
            </wp:positionV>
            <wp:extent cx="20345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-13970</wp:posOffset>
            </wp:positionV>
            <wp:extent cx="20345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-13970</wp:posOffset>
            </wp:positionV>
            <wp:extent cx="18116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4"/>
            <w:vMerge w:val="restart"/>
          </w:tcPr>
          <w:p>
            <w:pPr>
              <w:spacing w:after="0"/>
              <w:rPr>
                <w:sz w:val="20"/>
                <w:szCs w:val="20"/>
                <w:color w:val="auto"/>
              </w:rPr>
            </w:pPr>
            <w:r>
              <w:rPr>
                <w:rFonts w:ascii="Arial" w:cs="Arial" w:eastAsia="Arial" w:hAnsi="Arial"/>
                <w:sz w:val="14"/>
                <w:szCs w:val="14"/>
                <w:color w:val="auto"/>
              </w:rPr>
              <w:t>Credit Facility Assigned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4"/>
                <w:szCs w:val="14"/>
                <w:color w:val="auto"/>
              </w:rPr>
              <w:t>Principal</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80" w:type="dxa"/>
            <w:vAlign w:val="bottom"/>
            <w:gridSpan w:val="4"/>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Amount Assigned</w:t>
            </w:r>
          </w:p>
        </w:tc>
        <w:tc>
          <w:tcPr>
            <w:tcW w:w="188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86"/>
              </w:rPr>
              <w:t>Commitment Percentage Assigned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17"/>
        </w:trPr>
        <w:tc>
          <w:tcPr>
            <w:tcW w:w="53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[Name of Assignee]</w:t>
            </w:r>
          </w:p>
        </w:tc>
        <w:tc>
          <w:tcPr>
            <w:tcW w:w="2560" w:type="dxa"/>
            <w:vAlign w:val="bottom"/>
            <w:tcBorders>
              <w:top w:val="single" w:sz="8" w:color="CCEEFF"/>
            </w:tcBorders>
            <w:gridSpan w:val="4"/>
          </w:tcPr>
          <w:p>
            <w:pPr>
              <w:ind w:left="660"/>
              <w:spacing w:after="0"/>
              <w:rPr>
                <w:sz w:val="20"/>
                <w:szCs w:val="20"/>
                <w:color w:val="auto"/>
              </w:rPr>
            </w:pPr>
            <w:r>
              <w:rPr>
                <w:rFonts w:ascii="Arial" w:cs="Arial" w:eastAsia="Arial" w:hAnsi="Arial"/>
                <w:sz w:val="18"/>
                <w:szCs w:val="18"/>
                <w:color w:val="auto"/>
              </w:rPr>
              <w:t>[Name of Assignor]</w:t>
            </w: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380" w:type="dxa"/>
            <w:vAlign w:val="bottom"/>
            <w:gridSpan w:val="4"/>
          </w:tcPr>
          <w:p>
            <w:pPr>
              <w:spacing w:after="0"/>
              <w:rPr>
                <w:sz w:val="20"/>
                <w:szCs w:val="20"/>
                <w:color w:val="auto"/>
              </w:rPr>
            </w:pPr>
            <w:r>
              <w:rPr>
                <w:rFonts w:ascii="Arial" w:cs="Arial" w:eastAsia="Arial" w:hAnsi="Arial"/>
                <w:sz w:val="18"/>
                <w:szCs w:val="18"/>
                <w:color w:val="auto"/>
              </w:rPr>
              <w:t>By:</w:t>
            </w:r>
          </w:p>
        </w:tc>
        <w:tc>
          <w:tcPr>
            <w:tcW w:w="3960" w:type="dxa"/>
            <w:vAlign w:val="bottom"/>
            <w:gridSpan w:val="6"/>
          </w:tcPr>
          <w:p>
            <w:pPr>
              <w:ind w:left="66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Title:</w:t>
            </w:r>
          </w:p>
        </w:tc>
        <w:tc>
          <w:tcPr>
            <w:tcW w:w="920" w:type="dxa"/>
            <w:vAlign w:val="bottom"/>
          </w:tcPr>
          <w:p>
            <w:pPr>
              <w:spacing w:after="0"/>
              <w:rPr>
                <w:sz w:val="18"/>
                <w:szCs w:val="18"/>
                <w:color w:val="auto"/>
              </w:rPr>
            </w:pPr>
          </w:p>
        </w:tc>
        <w:tc>
          <w:tcPr>
            <w:tcW w:w="304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rPr>
              <w:t>Title:</w:t>
            </w: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380" w:type="dxa"/>
            <w:vAlign w:val="bottom"/>
            <w:gridSpan w:val="4"/>
          </w:tcPr>
          <w:p>
            <w:pPr>
              <w:spacing w:after="0"/>
              <w:rPr>
                <w:sz w:val="20"/>
                <w:szCs w:val="20"/>
                <w:color w:val="auto"/>
              </w:rPr>
            </w:pPr>
            <w:r>
              <w:rPr>
                <w:rFonts w:ascii="Arial" w:cs="Arial" w:eastAsia="Arial" w:hAnsi="Arial"/>
                <w:sz w:val="18"/>
                <w:szCs w:val="18"/>
                <w:color w:val="auto"/>
              </w:rPr>
              <w:t>Accepted for Recordation in the Register:</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Required Consents (if any):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8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LAZARD GROUP LLC</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80" w:type="dxa"/>
            <w:vAlign w:val="bottom"/>
            <w:gridSpan w:val="4"/>
          </w:tcPr>
          <w:p>
            <w:pPr>
              <w:spacing w:after="0"/>
              <w:rPr>
                <w:sz w:val="20"/>
                <w:szCs w:val="20"/>
                <w:color w:val="auto"/>
              </w:rPr>
            </w:pPr>
            <w:r>
              <w:rPr>
                <w:rFonts w:ascii="Arial" w:cs="Arial" w:eastAsia="Arial" w:hAnsi="Arial"/>
                <w:sz w:val="18"/>
                <w:szCs w:val="18"/>
                <w:color w:val="auto"/>
              </w:rPr>
              <w:t>as Administrative Agent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380" w:type="dxa"/>
            <w:vAlign w:val="bottom"/>
            <w:gridSpan w:val="4"/>
          </w:tcPr>
          <w:p>
            <w:pPr>
              <w:spacing w:after="0"/>
              <w:rPr>
                <w:sz w:val="20"/>
                <w:szCs w:val="20"/>
                <w:color w:val="auto"/>
              </w:rPr>
            </w:pPr>
            <w:r>
              <w:rPr>
                <w:rFonts w:ascii="Arial" w:cs="Arial" w:eastAsia="Arial" w:hAnsi="Arial"/>
                <w:sz w:val="18"/>
                <w:szCs w:val="18"/>
                <w:color w:val="auto"/>
              </w:rPr>
              <w:t>By:</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gridSpan w:val="2"/>
          </w:tcPr>
          <w:p>
            <w:pPr>
              <w:spacing w:after="0" w:line="202" w:lineRule="exact"/>
              <w:rPr>
                <w:sz w:val="20"/>
                <w:szCs w:val="20"/>
                <w:color w:val="auto"/>
              </w:rPr>
            </w:pPr>
            <w:r>
              <w:rPr>
                <w:rFonts w:ascii="Arial" w:cs="Arial" w:eastAsia="Arial" w:hAnsi="Arial"/>
                <w:sz w:val="18"/>
                <w:szCs w:val="18"/>
                <w:color w:val="auto"/>
              </w:rPr>
              <w:t>Title:</w:t>
            </w:r>
          </w:p>
        </w:tc>
        <w:tc>
          <w:tcPr>
            <w:tcW w:w="4920" w:type="dxa"/>
            <w:vAlign w:val="bottom"/>
            <w:tcBorders>
              <w:top w:val="single" w:sz="8" w:color="auto"/>
            </w:tcBorders>
            <w:gridSpan w:val="2"/>
          </w:tcPr>
          <w:p>
            <w:pPr>
              <w:spacing w:after="0"/>
              <w:rPr>
                <w:sz w:val="17"/>
                <w:szCs w:val="17"/>
                <w:color w:val="auto"/>
              </w:rPr>
            </w:pPr>
          </w:p>
        </w:tc>
        <w:tc>
          <w:tcPr>
            <w:tcW w:w="11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Title:</w:t>
            </w:r>
          </w:p>
        </w:tc>
        <w:tc>
          <w:tcPr>
            <w:tcW w:w="1400" w:type="dxa"/>
            <w:vAlign w:val="bottom"/>
            <w:tcBorders>
              <w:top w:val="single" w:sz="8" w:color="auto"/>
            </w:tcBorders>
            <w:gridSpan w:val="2"/>
          </w:tcPr>
          <w:p>
            <w:pPr>
              <w:spacing w:after="0"/>
              <w:rPr>
                <w:sz w:val="17"/>
                <w:szCs w:val="17"/>
                <w:color w:val="auto"/>
              </w:rPr>
            </w:pPr>
          </w:p>
        </w:tc>
        <w:tc>
          <w:tcPr>
            <w:tcW w:w="1400" w:type="dxa"/>
            <w:vAlign w:val="bottom"/>
            <w:tcBorders>
              <w:top w:val="single" w:sz="8" w:color="auto"/>
            </w:tcBorders>
            <w:gridSpan w:val="2"/>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CITIBANK, N.A.,</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as Administrative Agent</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Title:</w:t>
            </w: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COMPLIANCE CERTIFICATE]</w:t>
      </w:r>
    </w:p>
    <w:p>
      <w:pPr>
        <w:spacing w:after="0" w:line="17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This Compliance Certificate is delivered pursuant to Section 5.2(c) of the Credit Agreement, dated as of April 29, 2010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party thereto, and Citibank, N.A., a national banking association,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Unless otherwise defined herein, terms defined in the Credit Agreement and used herein shall have the meanings given to them in the Credit Agreement.</w:t>
      </w:r>
    </w:p>
    <w:p>
      <w:pPr>
        <w:spacing w:after="0" w:line="113" w:lineRule="exact"/>
        <w:rPr>
          <w:sz w:val="20"/>
          <w:szCs w:val="20"/>
          <w:color w:val="auto"/>
        </w:rPr>
      </w:pPr>
    </w:p>
    <w:p>
      <w:pPr>
        <w:ind w:left="1100" w:hanging="179"/>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am the duly elected, qualified and acting Chief Financial Officer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and am familiar with the contents of this Certificate.</w:t>
      </w:r>
    </w:p>
    <w:p>
      <w:pPr>
        <w:spacing w:after="0" w:line="171" w:lineRule="exact"/>
        <w:rPr>
          <w:rFonts w:ascii="Arial" w:cs="Arial" w:eastAsia="Arial" w:hAnsi="Arial"/>
          <w:sz w:val="18"/>
          <w:szCs w:val="18"/>
          <w:color w:val="auto"/>
        </w:rPr>
      </w:pPr>
    </w:p>
    <w:p>
      <w:pPr>
        <w:ind w:right="20" w:firstLine="921"/>
        <w:spacing w:after="0" w:line="298" w:lineRule="auto"/>
        <w:tabs>
          <w:tab w:leader="none" w:pos="108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 have reviewed the terms of the Credit Agreement and have made or caused to be made under my supervision, a review in reasonable detail of the transactions and condition of the Company during the accounting period covered by the financial statements attached hereto as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Such review did not disclose the existence during or at the end of the accounting period covered by the Financial Statements, and I have no knowledge of the existence, as of the date of this Certificate, of any condition or event which constitutes a Default or Event of Default.</w:t>
      </w:r>
      <w:r>
        <w:rPr>
          <w:rFonts w:ascii="Arial" w:cs="Arial" w:eastAsia="Arial" w:hAnsi="Arial"/>
          <w:sz w:val="10"/>
          <w:szCs w:val="10"/>
          <w:color w:val="auto"/>
        </w:rPr>
        <w:t>1</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are the computations showing compliance with the covenants set forth in Section 7.1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22"/>
          <w:szCs w:val="22"/>
          <w:color w:val="auto"/>
          <w:vertAlign w:val="superscript"/>
        </w:rPr>
      </w:pPr>
      <w:r>
        <w:rPr>
          <w:rFonts w:ascii="Arial" w:cs="Arial" w:eastAsia="Arial" w:hAnsi="Arial"/>
          <w:sz w:val="18"/>
          <w:szCs w:val="18"/>
          <w:color w:val="auto"/>
        </w:rPr>
        <w:t>NOTE: If Default or Event of Default under Section 7.1 has occurred during such accounting period, explain below.</w:t>
      </w:r>
    </w:p>
    <w:p>
      <w:pPr>
        <w:sectPr>
          <w:pgSz w:w="11900" w:h="16838" w:orient="portrait"/>
          <w:cols w:equalWidth="0" w:num="1">
            <w:col w:w="11420"/>
          </w:cols>
          <w:pgMar w:left="240" w:top="280" w:right="239" w:bottom="1440" w:gutter="0" w:footer="0" w:header="0"/>
        </w:sectPr>
      </w:pPr>
    </w:p>
    <w:bookmarkStart w:id="165" w:name="page166"/>
    <w:bookmarkEnd w:id="165"/>
    <w:p>
      <w:pPr>
        <w:spacing w:after="0"/>
        <w:tabs>
          <w:tab w:leader="none" w:pos="4860" w:val="left"/>
          <w:tab w:leader="none" w:pos="6220" w:val="left"/>
          <w:tab w:leader="none" w:pos="6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 have executed this Certificate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302895</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-13970</wp:posOffset>
            </wp:positionV>
            <wp:extent cx="2228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-13970</wp:posOffset>
            </wp:positionV>
            <wp:extent cx="8362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299"/>
          </w:cols>
          <w:pgMar w:left="1160" w:top="28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Compliance Certificate</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[Attach Financial Statements]</w:t>
      </w:r>
    </w:p>
    <w:p>
      <w:pPr>
        <w:sectPr>
          <w:pgSz w:w="11900" w:h="16838" w:orient="portrait"/>
          <w:cols w:equalWidth="0" w:num="1">
            <w:col w:w="10220"/>
          </w:cols>
          <w:pgMar w:left="1440" w:top="2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Compliance Certificate</w:t>
      </w:r>
    </w:p>
    <w:p>
      <w:pPr>
        <w:spacing w:after="0" w:line="165" w:lineRule="exact"/>
        <w:rPr>
          <w:sz w:val="20"/>
          <w:szCs w:val="20"/>
          <w:color w:val="auto"/>
        </w:rPr>
      </w:pPr>
    </w:p>
    <w:p>
      <w:pPr>
        <w:spacing w:after="0"/>
        <w:tabs>
          <w:tab w:leader="none" w:pos="3440" w:val="left"/>
          <w:tab w:leader="none" w:pos="4060" w:val="left"/>
          <w:tab w:leader="none" w:pos="7060" w:val="left"/>
          <w:tab w:leader="none" w:pos="7620" w:val="left"/>
          <w:tab w:leader="none" w:pos="8860" w:val="left"/>
          <w:tab w:leader="none" w:pos="9480" w:val="left"/>
        </w:tabs>
        <w:rPr>
          <w:sz w:val="20"/>
          <w:szCs w:val="20"/>
          <w:color w:val="auto"/>
        </w:rPr>
      </w:pPr>
      <w:r>
        <w:rPr>
          <w:rFonts w:ascii="Arial" w:cs="Arial" w:eastAsia="Arial" w:hAnsi="Arial"/>
          <w:sz w:val="18"/>
          <w:szCs w:val="18"/>
          <w:color w:val="auto"/>
        </w:rPr>
        <w:t>The information described herein is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pertains to the period from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-13970</wp:posOffset>
            </wp:positionV>
            <wp:extent cx="7245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535" cy="8890"/>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-13970</wp:posOffset>
            </wp:positionV>
            <wp:extent cx="1981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81835" cy="8890"/>
                    </a:xfrm>
                    <a:prstGeom prst="rect">
                      <a:avLst/>
                    </a:prstGeom>
                    <a:noFill/>
                  </pic:spPr>
                </pic:pic>
              </a:graphicData>
            </a:graphic>
          </wp:anchor>
        </w:drawing>
      </w:r>
    </w:p>
    <w:p>
      <w:pPr>
        <w:spacing w:after="0" w:line="15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[Set forth Covenant Calculations]</w:t>
      </w:r>
    </w:p>
    <w:p>
      <w:pPr>
        <w:sectPr>
          <w:pgSz w:w="11900" w:h="16838" w:orient="portrait"/>
          <w:cols w:equalWidth="0" w:num="1">
            <w:col w:w="10960"/>
          </w:cols>
          <w:pgMar w:left="700" w:top="28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Internal Revenue Service Form W-8BEN.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with respect to the extension of credit pursuant to this Credit Agreement or any other Loan Document, neither the undersigned nor any of its partners/members is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(iv) none of its partners/members is a “10-percent shareholder” of the Company within the meaning of Section 871(h)(3)</w:t>
      </w:r>
    </w:p>
    <w:p>
      <w:pPr>
        <w:spacing w:after="0" w:line="2" w:lineRule="exact"/>
        <w:rPr>
          <w:sz w:val="20"/>
          <w:szCs w:val="20"/>
          <w:color w:val="auto"/>
        </w:rPr>
      </w:pPr>
    </w:p>
    <w:p>
      <w:pPr>
        <w:ind w:right="120" w:firstLine="8"/>
        <w:spacing w:after="0" w:line="323"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of the Code, (v) none of its partners/members is a “controlled foreign corporation” related to the Company as described in Section 881(c)(3)(C) of the Code, and (vi) the interest payments in question are not effectively connected with the undersigned’s or its partners/members’ conduct of a U.S. trade or business.</w:t>
      </w:r>
    </w:p>
    <w:p>
      <w:pPr>
        <w:spacing w:after="0" w:line="9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The undersigned has furnished the Administrative Agent and the Company with Internal Revenue Service Form W-8IMY accompanied by an Internal Revenue Service Form W-8BEN (or other applicable form) from each of its partners/members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and beneficial owner of the participation in respect of which it is providing this certificate, (ii) it is not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16"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 undersigned has furnished its participating Non-U.S. Lender with a certificate of its non-U.S. person status on Internal Revenue Service Form W-8BEN. By executing this certificate, the undersigned agrees that (1) if the information provided on this certificate changes, the undersigned shall promptly so inform such Non-U.S. Lender in writing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65"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Reference is made to the Agreement, dated as of April 29, 2010 (as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 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Unless otherwise defined herein, terms defined in the Credit Agreement and used herein shall have the meanings given to them in the Credit Agreement.</w:t>
      </w:r>
    </w:p>
    <w:p>
      <w:pPr>
        <w:spacing w:after="0" w:line="11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owner of the participation in respect of which it is providing this certificate, (ii) its partners/members are the sole beneficial owners of such participation, (iii) with respect to such participation, neither the undersigned nor any of its partners/members is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(iv) none of its partners/members is a “10-percent shareholder” of the Company within the meaning of Section 871(h)(3)(B) of the Code, (v) none of its partners/members is a “controlled foreign corporation” related to the Company as described in Section 881(c)(3)(C) of the Code, and (vi) the interest payments in question are not effectively connected with the undersigned’s or its partners/members’ conduct of a U.S. trade or business.</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undersigned has furnished its participating Non-U.S. Lender with Internal Revenue Service Form W-8IMY accompanied by an Internal Revenue Service Form W-8BEN (or other applicable form) from each of its partners/members claiming the portfolio interest exemption. By executing this certificate, the undersigned agrees that (1) if the information provided on this certificate changes, the undersigned shall promptly so inform such Non-U.S. Lender and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10.55</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First Amendment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August 2,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between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its subsidiaries and affiliates (collectively with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Ashish Bhutani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15, 2005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Firm and the Executive wish to amend the Agreement to (i) make Lazard Ltd, a company incorporated under the laws of Bermuda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PubliCo</w:t>
      </w:r>
      <w:r>
        <w:rPr>
          <w:rFonts w:ascii="Arial" w:cs="Arial" w:eastAsia="Arial" w:hAnsi="Arial"/>
          <w:sz w:val="16"/>
          <w:szCs w:val="16"/>
          <w:color w:val="auto"/>
        </w:rPr>
        <w:t>”), a party to the Agreement, as amended by the First Amendment, through PubliCo’s execution of the First Amendment, and (ii) revise certain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in order to be consistent with certain terms applicable to other executive officers of Lazard and PubliCo.</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Lazard and PubliCo hereby agree as follows: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Effective as of the Effective Date, PubliCo shall become a party to the Agreement and Schedule I of the Agreement shall hereby be amended and restated in the form attached hereto.</w:t>
      </w:r>
    </w:p>
    <w:p>
      <w:pPr>
        <w:sectPr>
          <w:pgSz w:w="11900" w:h="16838" w:orient="portrait"/>
          <w:cols w:equalWidth="0" w:num="1">
            <w:col w:w="11420"/>
          </w:cols>
          <w:pgMar w:left="240" w:top="125" w:right="239" w:bottom="1440" w:gutter="0" w:footer="0" w:header="0"/>
        </w:sectPr>
      </w:pPr>
    </w:p>
    <w:bookmarkStart w:id="173" w:name="page174"/>
    <w:bookmarkEnd w:id="17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Board of Directors of each of Lazard and PubliCo have caused this First Amendment to be executed and delivered on the date first above written.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August 2, 2011</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Ashish Bhutani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Ashish Bhutani</w:t>
      </w:r>
    </w:p>
    <w:p>
      <w:pPr>
        <w:spacing w:after="0" w:line="225"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August 2, 2011</w:t>
      </w:r>
      <w:r>
        <w:rPr>
          <w:sz w:val="20"/>
          <w:szCs w:val="20"/>
          <w:color w:val="auto"/>
        </w:rPr>
        <w:tab/>
      </w:r>
      <w:r>
        <w:rPr>
          <w:rFonts w:ascii="Arial" w:cs="Arial" w:eastAsia="Arial" w:hAnsi="Arial"/>
          <w:sz w:val="16"/>
          <w:szCs w:val="16"/>
          <w:color w:val="auto"/>
        </w:rPr>
        <w:t>LAZARD GROUP LLC,</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(on its behalf, and on behalf of its</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subsidiaries and affiliates)</w:t>
      </w:r>
    </w:p>
    <w:p>
      <w:pPr>
        <w:spacing w:after="0" w:line="23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7760"/>
        <w:spacing w:after="0"/>
        <w:tabs>
          <w:tab w:leader="none" w:pos="8320" w:val="left"/>
        </w:tabs>
        <w:rPr>
          <w:sz w:val="20"/>
          <w:szCs w:val="20"/>
          <w:color w:val="auto"/>
        </w:rPr>
      </w:pPr>
      <w:r>
        <w:rPr>
          <w:rFonts w:ascii="Arial" w:cs="Arial" w:eastAsia="Arial" w:hAnsi="Arial"/>
          <w:sz w:val="18"/>
          <w:szCs w:val="18"/>
          <w:color w:val="auto"/>
        </w:rPr>
        <w:t>Title:</w:t>
        <w:tab/>
        <w:t>Managing Director and</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General Counsel</w:t>
      </w:r>
    </w:p>
    <w:p>
      <w:pPr>
        <w:spacing w:after="0" w:line="232"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August 2, 2011</w:t>
      </w:r>
      <w:r>
        <w:rPr>
          <w:sz w:val="20"/>
          <w:szCs w:val="20"/>
          <w:color w:val="auto"/>
        </w:rPr>
        <w:tab/>
      </w:r>
      <w:r>
        <w:rPr>
          <w:rFonts w:ascii="Arial" w:cs="Arial" w:eastAsia="Arial" w:hAnsi="Arial"/>
          <w:sz w:val="16"/>
          <w:szCs w:val="16"/>
          <w:color w:val="auto"/>
        </w:rPr>
        <w:t>LAZARD LTD,</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7760"/>
        <w:spacing w:after="0"/>
        <w:tabs>
          <w:tab w:leader="none" w:pos="8320" w:val="left"/>
        </w:tabs>
        <w:rPr>
          <w:sz w:val="20"/>
          <w:szCs w:val="20"/>
          <w:color w:val="auto"/>
        </w:rPr>
      </w:pPr>
      <w:r>
        <w:rPr>
          <w:rFonts w:ascii="Arial" w:cs="Arial" w:eastAsia="Arial" w:hAnsi="Arial"/>
          <w:sz w:val="18"/>
          <w:szCs w:val="18"/>
          <w:color w:val="auto"/>
        </w:rPr>
        <w:t>Title:</w:t>
        <w:tab/>
        <w:t>Managing Director and</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320"/>
          </w:cols>
          <w:pgMar w:left="240" w:top="280" w:right="339" w:bottom="1440" w:gutter="0" w:footer="0" w:header="0"/>
        </w:sectPr>
      </w:pPr>
    </w:p>
    <w:bookmarkStart w:id="174" w:name="page175"/>
    <w:bookmarkEnd w:id="17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(as per Preamble):</w:t>
            </w:r>
          </w:p>
        </w:tc>
        <w:tc>
          <w:tcPr>
            <w:tcW w:w="5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Mr. Ashish Bhutani</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Effective upon the effective date of the First Amendment to this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Title</w:t>
      </w:r>
      <w:r>
        <w:rPr>
          <w:rFonts w:ascii="Arial" w:cs="Arial" w:eastAsia="Arial" w:hAnsi="Arial"/>
          <w:sz w:val="16"/>
          <w:szCs w:val="16"/>
          <w:color w:val="auto"/>
        </w:rPr>
        <w:t>. Notwithstanding anything to the contrary contained in Section 3(b) of this Agreement, from the First Amendment Effective Date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23, 2013, the Executive shall serve as a Vice Chairman and Managing Director of Lazard and Chief Executive Officer of Lazard Asset Management LLC.</w:t>
      </w:r>
    </w:p>
    <w:p>
      <w:pPr>
        <w:spacing w:after="0" w:line="188" w:lineRule="exact"/>
        <w:rPr>
          <w:sz w:val="20"/>
          <w:szCs w:val="20"/>
          <w:color w:val="auto"/>
        </w:rPr>
      </w:pPr>
    </w:p>
    <w:p>
      <w:pPr>
        <w:ind w:right="100" w:firstLine="464"/>
        <w:spacing w:after="0" w:line="286" w:lineRule="auto"/>
        <w:tabs>
          <w:tab w:leader="none" w:pos="63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period from the First Amendment Effective Date through March 23, 2013,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an annual bonus to be determined under the terms of the applicable annual bonus plan of Lazard on the same basis as annual bonus is determined for other executive officers of PubliCo, with such bonus to be paid in the same ratio of cash to deferred awards as is applicable to executives of the Firm receiving bonuses at a level comparable to the bonus of the Executive. For purposes hereof, the term Base Salary shall refer to Base Salary as in effect from time to time, including any increases. Notwithstanding anything to the contrary contained in Section 3(c)(iv) of this Agreement, during the portion of the Term commencing on the First Amendment Effective Date, subject to the Executive’s continued employment, the Executive shall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right="40" w:firstLine="464"/>
        <w:spacing w:after="0" w:line="289" w:lineRule="auto"/>
        <w:tabs>
          <w:tab w:leader="none" w:pos="63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period commencing on the First Amendment Effective Date and concluding on March 23, 2013,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in a lump sum in cash within thirty (30) days after the Date of Termination, the aggregate of the following amounts: (i) any unpaid Base Salary through the Date of Termination; (ii) any earned and unpaid cash bonus amounts for fiscal years of Lazard completed prior to the Date of Termination (determined in accordance with paragraph 2 above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 awards based on the grant date value of such equity awards in</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74" w:right="219" w:bottom="1440" w:gutter="0" w:footer="0" w:header="0"/>
        </w:sectPr>
      </w:pPr>
    </w:p>
    <w:bookmarkStart w:id="175" w:name="page176"/>
    <w:bookmarkEnd w:id="1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normal valuation methodology used by Lazard) paid or payable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(i) for a period of months equal to the product of (1) 12 and (2) the Severance Multiple,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efforts to cause such continued coverage to be permitted under the applicable plan for the entire period), which benefits continuation period shall not run concurrently with or reduce the Executive’s right to continued coverage under COBRA and (ii)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in the case of a Qualifying Termination, with respect to the fiscal year of Lazard during which the Date of Termination occurs, the Executive shall receive a pro-rata annual bonus payable in cash determined as follows:</w:t>
      </w:r>
    </w:p>
    <w:p>
      <w:pPr>
        <w:spacing w:after="0" w:line="132" w:lineRule="exact"/>
        <w:rPr>
          <w:sz w:val="20"/>
          <w:szCs w:val="20"/>
          <w:color w:val="auto"/>
        </w:rPr>
      </w:pPr>
    </w:p>
    <w:p>
      <w:pPr>
        <w:ind w:left="680" w:hanging="216"/>
        <w:spacing w:after="0"/>
        <w:tabs>
          <w:tab w:leader="none" w:pos="6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w:t>
      </w:r>
    </w:p>
    <w:p>
      <w:pPr>
        <w:spacing w:after="0" w:line="38" w:lineRule="exact"/>
        <w:rPr>
          <w:rFonts w:ascii="Arial" w:cs="Arial" w:eastAsia="Arial" w:hAnsi="Arial"/>
          <w:sz w:val="16"/>
          <w:szCs w:val="16"/>
          <w:color w:val="auto"/>
        </w:rPr>
      </w:pPr>
    </w:p>
    <w:p>
      <w:pPr>
        <w:ind w:right="20" w:firstLine="8"/>
        <w:spacing w:after="0" w:line="286"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Executive was reasonably expected by Lazard to be a “covered employee” (within the meaning of Section 162(m)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(2) the annual bonus that the Executive was eligible to receive for such year was originally intended by Lazard to satisfy the performance-based exception under Section 162(m) of the Code (without regard to any entitlement to payment upon termination of employment), the Executive’s pro-rata annual bonus shall equal the product of (1) the amount determined by the Compensation Committee based on the Firm’s actual performance for the fiscal year of the Firm in which the Date of Termination occurs on the same basis as annual bonus is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pacing w:after="0" w:line="120" w:lineRule="exact"/>
        <w:rPr>
          <w:rFonts w:ascii="Arial" w:cs="Arial" w:eastAsia="Arial" w:hAnsi="Arial"/>
          <w:sz w:val="16"/>
          <w:szCs w:val="16"/>
          <w:color w:val="auto"/>
        </w:rPr>
      </w:pPr>
    </w:p>
    <w:p>
      <w:pPr>
        <w:ind w:right="20" w:firstLine="464"/>
        <w:spacing w:after="0" w:line="306" w:lineRule="auto"/>
        <w:tabs>
          <w:tab w:leader="none" w:pos="71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the Executive is not reasonably expected by Lazard to be a “covered employee” (within the meaning of Section 162(m) of the Code) prior to his Date of Termination, the pro-rata annual bonus shall equal the product of (1) the Average Bonus and (2) the Pro-Ration Fraction.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all events prior to March 15 of the year following the year in which the Date of Termination occurs).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all purposes of this Agreement, including without limitation, Sections 2(g)(ii) and Section 5(a), a resignation on or prior to March 23, 2013 by the Executive for Good Reason shall be treated as a termination of the Executive by the Firm without Cause.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and such amounts shall not be reduced whether or not the Executive obtains other employment. Except as provided in Section 16(f) of this Agreement, the Firm’s obligation to make the payments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the Agreement and this Schedule I, as applicable, the following terms shall have the following meanings:</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the definition of “Date of Termination” set forth in Section 5 of the Agreement, for purposes of the Agreement, including Section 5, and this Schedule I, “Date of Termination” shall mean (i) if the Executive’s employment is terminated by the Firm for Cause, the date of receipt of the notice of termination from the Firm or any later date specified therein within 30 days of such notice, as the case may be, (ii) if the Executive’s employment is terminated by the Firm other than for Cause or Disability, the date on which the Firm notifies the Executive of such termination, (iii) if the Executive’s employment is voluntarily terminated by the Executive without Good Reason, the date as specified by the Executive in the Notice of Termination, which date shall not be less than three months after the Executive notifies the Firm of such termination, unless waived in writing by the Firm, (iv) if the Executive’s employment is terminated by the Executive for Good Reason, the earlier of (A) the last day of the cure period (assuming no cure has occurred) and (B) the date Lazard formally notifies the Executive that it does not intend to cure, unless Lazard and the Executive agree to a later date, which shall in no event be later than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The Firm and the Executive shall take all steps necessary (including with regard to any post-termination services by the Executive) to ensure that any termination of the Executive’s employment described in the Agreement, including Schedule I, constitutes a “separation from service” within the meaning of Section 409A of the Code, and notwithstanding anything contained herein to the contrary, the date on which such separation from service takes place shall be the “Date of Termination.”</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definition of “Cause” set forth in Section 2(g)(iv) of the Agreement, from and after the First Amendment Effective Date,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77" w:name="page178"/>
    <w:bookmarkEnd w:id="17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Board of Directors of PubliCo.</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as in effect as of the First Amendment Effective Date, or any other action by the Firm which results in a material diminution in such position, authority, duties or responsibilities from the level in effect as of the First Amendment Effective Date,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on the other hand, and (B) such transaction is approved by the Board of Directors of PubliCo, (iii) a material breach by the Firm of the terms of this Agreement, including, without limitation, any material failure by the Firm to comply with paragraph 2 of this Schedule, or</w:t>
      </w:r>
    </w:p>
    <w:p>
      <w:pPr>
        <w:ind w:right="160" w:firstLine="8"/>
        <w:spacing w:after="0" w:line="288" w:lineRule="auto"/>
        <w:tabs>
          <w:tab w:leader="none" w:pos="29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requirement that the Executive’s principal place of employment be relocated to a location that increases the Executive’s commute from his primary residence by more than 30 miles. In the event of a termination for Good Reason, the notice requirements of Section 1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Multiple</w:t>
      </w:r>
      <w:r>
        <w:rPr>
          <w:rFonts w:ascii="Arial" w:cs="Arial" w:eastAsia="Arial" w:hAnsi="Arial"/>
          <w:sz w:val="16"/>
          <w:szCs w:val="16"/>
          <w:color w:val="auto"/>
        </w:rPr>
        <w:t xml:space="preserve">” shall equal one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Termination occurs on or following the date of a Change of Control pursuant to which the Company is acquired by an entity that has an asset management business, the Severance Multiple shall equal three (3).</w:t>
      </w:r>
    </w:p>
    <w:p>
      <w:pPr>
        <w:spacing w:after="0" w:line="85" w:lineRule="exact"/>
        <w:rPr>
          <w:sz w:val="20"/>
          <w:szCs w:val="20"/>
          <w:color w:val="auto"/>
        </w:rPr>
      </w:pPr>
    </w:p>
    <w:p>
      <w:pPr>
        <w:ind w:right="60" w:firstLine="464"/>
        <w:spacing w:after="0" w:line="290"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in connection with termination of employment under this Agreement comply with or are exempt from the definition of “nonqualified deferred compensation” under Section 409A of the Code. In this regard, notwithstanding anything in this Agreement to the contrary, all cash amounts that become payable under Section 3 of this Schedule I on account of the Executive’s termination of employment shall be paid no later than March 15 of the year following the year in which the Date of Termination occurs. In the event the parties determine that the terms of this Agreement, including this Schedule I, do not comply with Section 409A, they will negotiate reasonably and in good faith to amend the terms of this Agreement and/or Schedule I such that they comply (in a manner that attempts to minimize the economic impact of such amendment on the Executive and the Firm) within the time period permitted by the applicable Treasury Regulations.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8" w:name="page179"/>
    <w:bookmarkEnd w:id="178"/>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HoldCo Interests (as per Section 2(b)) are 0.75% and your Profit Interests (as per Section 2(d)) are 0.75%.</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Section 5(a) of the Agreement is hereby amended and restated in its entirety to read as follows: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29"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u w:val="single" w:color="auto"/>
          <w:color w:val="auto"/>
        </w:rPr>
        <w:t>Section 6</w:t>
      </w:r>
      <w:r>
        <w:rPr>
          <w:rFonts w:ascii="Arial" w:cs="Arial" w:eastAsia="Arial" w:hAnsi="Arial"/>
          <w:sz w:val="15"/>
          <w:szCs w:val="15"/>
          <w:color w:val="auto"/>
        </w:rPr>
        <w:t>. Section 6 of the Agreement is hereby amended to replace the definition of “Client” with the following definition: “</w:t>
      </w:r>
      <w:r>
        <w:rPr>
          <w:rFonts w:ascii="Arial" w:cs="Arial" w:eastAsia="Arial" w:hAnsi="Arial"/>
          <w:sz w:val="15"/>
          <w:szCs w:val="15"/>
          <w:u w:val="single" w:color="auto"/>
          <w:color w:val="auto"/>
        </w:rPr>
        <w:t>Client</w:t>
      </w:r>
      <w:r>
        <w:rPr>
          <w:rFonts w:ascii="Arial" w:cs="Arial" w:eastAsia="Arial" w:hAnsi="Arial"/>
          <w:sz w:val="15"/>
          <w:szCs w:val="15"/>
          <w:color w:val="auto"/>
        </w:rPr>
        <w:t xml:space="preserve">” means any client or prospective client of the Firm, whether or not the Firm has been engaged by such Client pursuant to a written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9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Section 12 of this Agreement is hereby amended to replace all references to “the New York Stock Exchange, Inc.” and the “</w:t>
      </w:r>
      <w:r>
        <w:rPr>
          <w:rFonts w:ascii="Arial" w:cs="Arial" w:eastAsia="Arial" w:hAnsi="Arial"/>
          <w:sz w:val="18"/>
          <w:szCs w:val="18"/>
          <w:u w:val="single" w:color="auto"/>
          <w:color w:val="auto"/>
        </w:rPr>
        <w:t>NYSE</w:t>
      </w:r>
      <w:r>
        <w:rPr>
          <w:rFonts w:ascii="Arial" w:cs="Arial" w:eastAsia="Arial" w:hAnsi="Arial"/>
          <w:sz w:val="18"/>
          <w:szCs w:val="18"/>
          <w:color w:val="auto"/>
        </w:rPr>
        <w:t>” with references to the “Financial Industry Regulatory Authority” and “</w:t>
      </w:r>
      <w:r>
        <w:rPr>
          <w:rFonts w:ascii="Arial" w:cs="Arial" w:eastAsia="Arial" w:hAnsi="Arial"/>
          <w:sz w:val="18"/>
          <w:szCs w:val="18"/>
          <w:u w:val="single" w:color="auto"/>
          <w:color w:val="auto"/>
        </w:rPr>
        <w:t>FINRA</w:t>
      </w:r>
      <w:r>
        <w:rPr>
          <w:rFonts w:ascii="Arial" w:cs="Arial" w:eastAsia="Arial" w:hAnsi="Arial"/>
          <w:sz w:val="18"/>
          <w:szCs w:val="18"/>
          <w:color w:val="auto"/>
        </w:rPr>
        <w:t>”, as applicable.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16(b)</w:t>
      </w:r>
      <w:r>
        <w:rPr>
          <w:rFonts w:ascii="Arial" w:cs="Arial" w:eastAsia="Arial" w:hAnsi="Arial"/>
          <w:sz w:val="18"/>
          <w:szCs w:val="18"/>
          <w:color w:val="auto"/>
        </w:rPr>
        <w:t>. Paragraphs 2, 3, 4 and 5 of this Schedule I are hereby added to the list of Sections in Section 16(b) of this Agreement.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12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Initialed by the Executive</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SDH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Initialed by Lazard</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SDH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Initialed by PubliCo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180" w:name="page181"/>
    <w:bookmarkEnd w:id="18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Six</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Months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gridSpan w:val="5"/>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tcPr>
          <w:p>
            <w:pPr>
              <w:jc w:val="right"/>
              <w:ind w:right="9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164,348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$246,809</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(181,988)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42,029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$436,064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58,530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121,656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5"/>
              </w:rPr>
              <w:t>132,785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2"/>
              </w:rPr>
              <w:t>161,665</w:t>
            </w:r>
          </w:p>
        </w:tc>
        <w:tc>
          <w:tcPr>
            <w:tcW w:w="680" w:type="dxa"/>
            <w:vAlign w:val="bottom"/>
          </w:tcPr>
          <w:p>
            <w:pPr>
              <w:jc w:val="right"/>
              <w:spacing w:after="0"/>
              <w:rPr>
                <w:sz w:val="20"/>
                <w:szCs w:val="20"/>
                <w:color w:val="auto"/>
              </w:rPr>
            </w:pPr>
            <w:r>
              <w:rPr>
                <w:rFonts w:ascii="Arial" w:cs="Arial" w:eastAsia="Arial" w:hAnsi="Arial"/>
                <w:sz w:val="18"/>
                <w:szCs w:val="18"/>
                <w:color w:val="auto"/>
              </w:rPr>
              <w:t>154,790</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222,878</w:t>
            </w:r>
          </w:p>
        </w:tc>
        <w:tc>
          <w:tcPr>
            <w:tcW w:w="4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368,465</w:t>
            </w:r>
          </w:p>
        </w:tc>
        <w:tc>
          <w:tcPr>
            <w:tcW w:w="40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(49,203)</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w w:val="82"/>
              </w:rPr>
              <w:t>203,694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590,854</w:t>
            </w:r>
          </w:p>
        </w:tc>
        <w:tc>
          <w:tcPr>
            <w:tcW w:w="4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$102,249</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113,280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141,413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$136,529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19,505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20,252</w:t>
            </w:r>
          </w:p>
        </w:tc>
        <w:tc>
          <w:tcPr>
            <w:tcW w:w="680" w:type="dxa"/>
            <w:vAlign w:val="bottom"/>
          </w:tcPr>
          <w:p>
            <w:pPr>
              <w:jc w:val="right"/>
              <w:spacing w:after="0"/>
              <w:rPr>
                <w:sz w:val="20"/>
                <w:szCs w:val="20"/>
                <w:color w:val="auto"/>
              </w:rPr>
            </w:pPr>
            <w:r>
              <w:rPr>
                <w:rFonts w:ascii="Arial" w:cs="Arial" w:eastAsia="Arial" w:hAnsi="Arial"/>
                <w:sz w:val="18"/>
                <w:szCs w:val="18"/>
                <w:color w:val="auto"/>
              </w:rPr>
              <w:t>18,261</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132,785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161,665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154,790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24"/>
                <w:szCs w:val="24"/>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3.03(d)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 (e)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1.26(f)</w:t>
            </w: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Deficiency in the coverage of operating income (loss) before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312"/>
              <w:spacing w:after="0"/>
              <w:rPr>
                <w:sz w:val="20"/>
                <w:szCs w:val="20"/>
                <w:color w:val="auto"/>
              </w:rPr>
            </w:pPr>
            <w:r>
              <w:rPr>
                <w:rFonts w:ascii="Arial" w:cs="Arial" w:eastAsia="Arial" w:hAnsi="Arial"/>
                <w:sz w:val="18"/>
                <w:szCs w:val="18"/>
                <w:color w:val="auto"/>
                <w:w w:val="95"/>
              </w:rPr>
              <w:t>181,988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and (ii) a charge of</w:t>
      </w:r>
    </w:p>
    <w:p>
      <w:pPr>
        <w:spacing w:after="0" w:line="38"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$24,860 relating to the amendment of Lazard’s retirement policy with respect to RSU awards. Excluding the impact of such items, the ratio of earnings to fixed charges would have been 3.95.</w:t>
      </w:r>
    </w:p>
    <w:p>
      <w:pPr>
        <w:spacing w:after="0" w:line="43"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lowerRoman"/>
      <w:start w:val="1"/>
    </w:lvl>
  </w:abstractNum>
  <w:abstractNum w:abstractNumId="6">
    <w:nsid w:val="1381823A"/>
    <w:multiLevelType w:val="hybridMultilevel"/>
    <w:lvl w:ilvl="0">
      <w:lvlJc w:val="left"/>
      <w:lvlText w:val="(%1)"/>
      <w:numFmt w:val="lowerLetter"/>
      <w:start w:val="1"/>
    </w:lvl>
  </w:abstractNum>
  <w:abstractNum w:abstractNumId="7">
    <w:nsid w:val="5DB70AE5"/>
    <w:multiLevelType w:val="hybridMultilevel"/>
    <w:lvl w:ilvl="0">
      <w:lvlJc w:val="left"/>
      <w:lvlText w:val="%1."/>
      <w:numFmt w:val="decimal"/>
      <w:start w:val="6"/>
    </w:lvl>
  </w:abstractNum>
  <w:abstractNum w:abstractNumId="8">
    <w:nsid w:val="100F8FCA"/>
    <w:multiLevelType w:val="hybridMultilevel"/>
    <w:lvl w:ilvl="0">
      <w:lvlJc w:val="left"/>
      <w:lvlText w:val="(%1)"/>
      <w:numFmt w:val="lowerLetter"/>
      <w:start w:val="1"/>
    </w:lvl>
  </w:abstractNum>
  <w:abstractNum w:abstractNumId="9">
    <w:nsid w:val="6590700B"/>
    <w:multiLevelType w:val="hybridMultilevel"/>
    <w:lvl w:ilvl="0">
      <w:lvlJc w:val="left"/>
      <w:lvlText w:val="%1."/>
      <w:numFmt w:val="decimal"/>
      <w:start w:val="1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1)"/>
      <w:numFmt w:val="lowerLetter"/>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1)"/>
      <w:numFmt w:val="lowerLetter"/>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1)"/>
      <w:numFmt w:val="lowerLetter"/>
      <w:start w:val="1"/>
    </w:lvl>
  </w:abstractNum>
  <w:abstractNum w:abstractNumId="20">
    <w:nsid w:val="540A471C"/>
    <w:multiLevelType w:val="hybridMultilevel"/>
    <w:lvl w:ilvl="0">
      <w:lvlJc w:val="left"/>
      <w:lvlText w:val="(%1)"/>
      <w:numFmt w:val="lowerLetter"/>
      <w:start w:val="1"/>
    </w:lvl>
  </w:abstractNum>
  <w:abstractNum w:abstractNumId="21">
    <w:nsid w:val="7BD3EE7B"/>
    <w:multiLevelType w:val="hybridMultilevel"/>
    <w:lvl w:ilvl="0">
      <w:lvlJc w:val="left"/>
      <w:lvlText w:val="(%1)"/>
      <w:numFmt w:val="lowerLetter"/>
      <w:start w:val="1"/>
    </w:lvl>
  </w:abstractNum>
  <w:abstractNum w:abstractNumId="22">
    <w:nsid w:val="51D9C564"/>
    <w:multiLevelType w:val="hybridMultilevel"/>
    <w:lvl w:ilvl="0">
      <w:lvlJc w:val="left"/>
      <w:lvlText w:val="(%1)"/>
      <w:numFmt w:val="lowerLetter"/>
      <w:start w:val="1"/>
    </w:lvl>
  </w:abstractNum>
  <w:abstractNum w:abstractNumId="23">
    <w:nsid w:val="613EFDC5"/>
    <w:multiLevelType w:val="hybridMultilevel"/>
    <w:lvl w:ilvl="0">
      <w:lvlJc w:val="left"/>
      <w:lvlText w:val="(%1)"/>
      <w:numFmt w:val="lowerLetter"/>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1"/>
    </w:lvl>
  </w:abstractNum>
  <w:abstractNum w:abstractNumId="27">
    <w:nsid w:val="A0382C5"/>
    <w:multiLevelType w:val="hybridMultilevel"/>
    <w:lvl w:ilvl="0">
      <w:lvlJc w:val="left"/>
      <w:lvlText w:val="(%1)"/>
      <w:numFmt w:val="lowerLetter"/>
      <w:start w:val="2"/>
    </w:lvl>
  </w:abstractNum>
  <w:abstractNum w:abstractNumId="28">
    <w:nsid w:val="8F2B15E"/>
    <w:multiLevelType w:val="hybridMultilevel"/>
    <w:lvl w:ilvl="0">
      <w:lvlJc w:val="left"/>
      <w:lvlText w:val="(%1)"/>
      <w:numFmt w:val="lowerLetter"/>
      <w:start w:val="1"/>
    </w:lvl>
  </w:abstractNum>
  <w:abstractNum w:abstractNumId="29">
    <w:nsid w:val="1A32234B"/>
    <w:multiLevelType w:val="hybridMultilevel"/>
    <w:lvl w:ilvl="0">
      <w:lvlJc w:val="left"/>
      <w:lvlText w:val="(%1)"/>
      <w:numFmt w:val="lowerLetter"/>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3"/>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1)"/>
      <w:numFmt w:val="decimal"/>
      <w:start w:val="3"/>
    </w:lvl>
  </w:abstractNum>
  <w:abstractNum w:abstractNumId="36">
    <w:nsid w:val="7FFFCA11"/>
    <w:multiLevelType w:val="hybridMultilevel"/>
    <w:lvl w:ilvl="0">
      <w:lvlJc w:val="left"/>
      <w:lvlText w:val="(%1)"/>
      <w:numFmt w:val="lowerLetter"/>
      <w:start w:val="2"/>
    </w:lvl>
  </w:abstractNum>
  <w:abstractNum w:abstractNumId="37">
    <w:nsid w:val="1A27709E"/>
    <w:multiLevelType w:val="hybridMultilevel"/>
    <w:lvl w:ilvl="0">
      <w:lvlJc w:val="left"/>
      <w:lvlText w:val="(%1)"/>
      <w:numFmt w:val="lowerLetter"/>
      <w:start w:val="2"/>
    </w:lvl>
  </w:abstractNum>
  <w:abstractNum w:abstractNumId="38">
    <w:nsid w:val="71EA1109"/>
    <w:multiLevelType w:val="hybridMultilevel"/>
    <w:lvl w:ilvl="0">
      <w:lvlJc w:val="left"/>
      <w:lvlText w:val="(%1)"/>
      <w:numFmt w:val="lowerLetter"/>
      <w:start w:val="1"/>
    </w:lvl>
  </w:abstractNum>
  <w:abstractNum w:abstractNumId="39">
    <w:nsid w:val="100F59DC"/>
    <w:multiLevelType w:val="hybridMultilevel"/>
    <w:lvl w:ilvl="0">
      <w:lvlJc w:val="left"/>
      <w:lvlText w:val="(%1)"/>
      <w:numFmt w:val="decimal"/>
      <w:start w:val="3"/>
    </w:lvl>
  </w:abstractNum>
  <w:abstractNum w:abstractNumId="40">
    <w:nsid w:val="7FB7E0AA"/>
    <w:multiLevelType w:val="hybridMultilevel"/>
    <w:lvl w:ilvl="0">
      <w:lvlJc w:val="left"/>
      <w:lvlText w:val="(%1)"/>
      <w:numFmt w:val="decimal"/>
      <w:start w:val="3"/>
    </w:lvl>
  </w:abstractNum>
  <w:abstractNum w:abstractNumId="41">
    <w:nsid w:val="6EB5BD4"/>
    <w:multiLevelType w:val="hybridMultilevel"/>
    <w:lvl w:ilvl="0">
      <w:lvlJc w:val="left"/>
      <w:lvlText w:val="(%1)"/>
      <w:numFmt w:val="lowerRoman"/>
      <w:start w:val="2"/>
    </w:lvl>
  </w:abstractNum>
  <w:abstractNum w:abstractNumId="42">
    <w:nsid w:val="6F6DD9AC"/>
    <w:multiLevelType w:val="hybridMultilevel"/>
    <w:lvl w:ilvl="0">
      <w:lvlJc w:val="left"/>
      <w:lvlText w:val="(%1)"/>
      <w:numFmt w:val="lowerRoman"/>
      <w:start w:val="1"/>
    </w:lvl>
  </w:abstractNum>
  <w:abstractNum w:abstractNumId="43">
    <w:nsid w:val="94211F2"/>
    <w:multiLevelType w:val="hybridMultilevel"/>
    <w:lvl w:ilvl="0">
      <w:lvlJc w:val="left"/>
      <w:lvlText w:val="(%1)"/>
      <w:numFmt w:val="lowerLetter"/>
      <w:start w:val="3"/>
    </w:lvl>
  </w:abstractNum>
  <w:abstractNum w:abstractNumId="44">
    <w:nsid w:val="885E1B"/>
    <w:multiLevelType w:val="hybridMultilevel"/>
    <w:lvl w:ilvl="0">
      <w:lvlJc w:val="left"/>
      <w:lvlText w:val="(%1)"/>
      <w:numFmt w:val="lowerLetter"/>
      <w:start w:val="6"/>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1)"/>
      <w:numFmt w:val="lowerRoman"/>
      <w:start w:val="1"/>
    </w:lvl>
  </w:abstractNum>
  <w:abstractNum w:abstractNumId="47">
    <w:nsid w:val="1716703B"/>
    <w:multiLevelType w:val="hybridMultilevel"/>
    <w:lvl w:ilvl="0">
      <w:lvlJc w:val="left"/>
      <w:lvlText w:val="(%1)"/>
      <w:numFmt w:val="lowerLetter"/>
      <w:start w:val="1"/>
    </w:lvl>
  </w:abstractNum>
  <w:abstractNum w:abstractNumId="48">
    <w:nsid w:val="14E17E33"/>
    <w:multiLevelType w:val="hybridMultilevel"/>
    <w:lvl w:ilvl="0">
      <w:lvlJc w:val="left"/>
      <w:lvlText w:val="&gt;"/>
      <w:numFmt w:val="bullet"/>
      <w:start w:val="1"/>
    </w:lvl>
  </w:abstractNum>
  <w:abstractNum w:abstractNumId="49">
    <w:nsid w:val="3222E7CD"/>
    <w:multiLevelType w:val="hybridMultilevel"/>
    <w:lvl w:ilvl="0">
      <w:lvlJc w:val="left"/>
      <w:lvlText w:val="(%1)"/>
      <w:numFmt w:val="lowerLetter"/>
      <w:start w:val="1"/>
    </w:lvl>
  </w:abstractNum>
  <w:abstractNum w:abstractNumId="50">
    <w:nsid w:val="74DE0EE3"/>
    <w:multiLevelType w:val="hybridMultilevel"/>
    <w:lvl w:ilvl="0">
      <w:lvlJc w:val="left"/>
      <w:lvlText w:val="(%1)"/>
      <w:numFmt w:val="lowerLetter"/>
      <w:start w:val="3"/>
    </w:lvl>
  </w:abstractNum>
  <w:abstractNum w:abstractNumId="51">
    <w:nsid w:val="68EBC550"/>
    <w:multiLevelType w:val="hybridMultilevel"/>
    <w:lvl w:ilvl="0">
      <w:lvlJc w:val="left"/>
      <w:lvlText w:val="(%1)"/>
      <w:numFmt w:val="lowerLetter"/>
      <w:start w:val="3"/>
    </w:lvl>
  </w:abstractNum>
  <w:abstractNum w:abstractNumId="52">
    <w:nsid w:val="2DF6D648"/>
    <w:multiLevelType w:val="hybridMultilevel"/>
    <w:lvl w:ilvl="0">
      <w:lvlJc w:val="left"/>
      <w:lvlText w:val="%1"/>
      <w:numFmt w:val="lowerRoman"/>
      <w:start w:val="1"/>
    </w:lvl>
    <w:lvl w:ilvl="1">
      <w:lvlJc w:val="left"/>
      <w:lvlText w:val="(%2)"/>
      <w:numFmt w:val="lowerLetter"/>
      <w:start w:val="2"/>
    </w:lvl>
  </w:abstractNum>
  <w:abstractNum w:abstractNumId="53">
    <w:nsid w:val="46B7D447"/>
    <w:multiLevelType w:val="hybridMultilevel"/>
    <w:lvl w:ilvl="0">
      <w:lvlJc w:val="left"/>
      <w:lvlText w:val="(%1)"/>
      <w:numFmt w:val="lowerRoman"/>
      <w:start w:val="4"/>
    </w:lvl>
    <w:lvl w:ilvl="1">
      <w:lvlJc w:val="left"/>
      <w:lvlText w:val="%2"/>
      <w:numFmt w:val="lowerLetter"/>
      <w:start w:val="1"/>
    </w:lvl>
  </w:abstractNum>
  <w:abstractNum w:abstractNumId="54">
    <w:nsid w:val="4A2AC315"/>
    <w:multiLevelType w:val="hybridMultilevel"/>
    <w:lvl w:ilvl="0">
      <w:lvlJc w:val="left"/>
      <w:lvlText w:val="(%1)"/>
      <w:numFmt w:val="lowerLetter"/>
      <w:start w:val="2"/>
    </w:lvl>
  </w:abstractNum>
  <w:abstractNum w:abstractNumId="55">
    <w:nsid w:val="39EE015C"/>
    <w:multiLevelType w:val="hybridMultilevel"/>
    <w:lvl w:ilvl="0">
      <w:lvlJc w:val="left"/>
      <w:lvlText w:val="(%1)"/>
      <w:numFmt w:val="lowerLetter"/>
      <w:start w:val="3"/>
    </w:lvl>
  </w:abstractNum>
  <w:abstractNum w:abstractNumId="56">
    <w:nsid w:val="57FC4FBB"/>
    <w:multiLevelType w:val="hybridMultilevel"/>
    <w:lvl w:ilvl="0">
      <w:lvlJc w:val="left"/>
      <w:lvlText w:val="(%1)"/>
      <w:numFmt w:val="lowerLetter"/>
      <w:start w:val="2"/>
    </w:lvl>
  </w:abstractNum>
  <w:abstractNum w:abstractNumId="57">
    <w:nsid w:val="CC1016F"/>
    <w:multiLevelType w:val="hybridMultilevel"/>
    <w:lvl w:ilvl="0">
      <w:lvlJc w:val="left"/>
      <w:lvlText w:val="(%1)"/>
      <w:numFmt w:val="lowerLetter"/>
      <w:start w:val="2"/>
    </w:lvl>
  </w:abstractNum>
  <w:abstractNum w:abstractNumId="58">
    <w:nsid w:val="43F18422"/>
    <w:multiLevelType w:val="hybridMultilevel"/>
    <w:lvl w:ilvl="0">
      <w:lvlJc w:val="left"/>
      <w:lvlText w:val="(%1)"/>
      <w:numFmt w:val="lowerLetter"/>
      <w:start w:val="2"/>
    </w:lvl>
  </w:abstractNum>
  <w:abstractNum w:abstractNumId="59">
    <w:nsid w:val="60EF0119"/>
    <w:multiLevelType w:val="hybridMultilevel"/>
    <w:lvl w:ilvl="0">
      <w:lvlJc w:val="left"/>
      <w:lvlText w:val="(%1)"/>
      <w:numFmt w:val="lowerLetter"/>
      <w:start w:val="2"/>
    </w:lvl>
  </w:abstractNum>
  <w:abstractNum w:abstractNumId="60">
    <w:nsid w:val="26F324BA"/>
    <w:multiLevelType w:val="hybridMultilevel"/>
    <w:lvl w:ilvl="0">
      <w:lvlJc w:val="left"/>
      <w:lvlText w:val="(%1)"/>
      <w:numFmt w:val="lowerLetter"/>
      <w:start w:val="2"/>
    </w:lvl>
  </w:abstractNum>
  <w:abstractNum w:abstractNumId="61">
    <w:nsid w:val="7F01579B"/>
    <w:multiLevelType w:val="hybridMultilevel"/>
    <w:lvl w:ilvl="0">
      <w:lvlJc w:val="left"/>
      <w:lvlText w:val="(%1)"/>
      <w:numFmt w:val="lowerLetter"/>
      <w:start w:val="2"/>
    </w:lvl>
  </w:abstractNum>
  <w:abstractNum w:abstractNumId="62">
    <w:nsid w:val="49DA307D"/>
    <w:multiLevelType w:val="hybridMultilevel"/>
    <w:lvl w:ilvl="0">
      <w:lvlJc w:val="left"/>
      <w:lvlText w:val="(%1)"/>
      <w:numFmt w:val="lowerRoman"/>
      <w:start w:val="1"/>
    </w:lvl>
  </w:abstractNum>
  <w:abstractNum w:abstractNumId="63">
    <w:nsid w:val="7055A5F5"/>
    <w:multiLevelType w:val="hybridMultilevel"/>
    <w:lvl w:ilvl="0">
      <w:lvlJc w:val="left"/>
      <w:lvlText w:val="(%1)"/>
      <w:numFmt w:val="lowerLetter"/>
      <w:start w:val="2"/>
    </w:lvl>
  </w:abstractNum>
  <w:abstractNum w:abstractNumId="64">
    <w:nsid w:val="5FB8370B"/>
    <w:multiLevelType w:val="hybridMultilevel"/>
    <w:lvl w:ilvl="0">
      <w:lvlJc w:val="left"/>
      <w:lvlText w:val="(%1)"/>
      <w:numFmt w:val="lowerLetter"/>
      <w:start w:val="2"/>
    </w:lvl>
  </w:abstractNum>
  <w:abstractNum w:abstractNumId="65">
    <w:nsid w:val="50801EE1"/>
    <w:multiLevelType w:val="hybridMultilevel"/>
    <w:lvl w:ilvl="0">
      <w:lvlJc w:val="left"/>
      <w:lvlText w:val="(%1)"/>
      <w:numFmt w:val="lowerLetter"/>
      <w:start w:val="5"/>
    </w:lvl>
  </w:abstractNum>
  <w:abstractNum w:abstractNumId="66">
    <w:nsid w:val="488AC1A"/>
    <w:multiLevelType w:val="hybridMultilevel"/>
    <w:lvl w:ilvl="0">
      <w:lvlJc w:val="left"/>
      <w:lvlText w:val="%1"/>
      <w:numFmt w:val="lowerLetter"/>
      <w:start w:val="1"/>
    </w:lvl>
    <w:lvl w:ilvl="1">
      <w:lvlJc w:val="left"/>
      <w:lvlText w:val="(%2)"/>
      <w:numFmt w:val="lowerLetter"/>
      <w:start w:val="1"/>
    </w:lvl>
  </w:abstractNum>
  <w:abstractNum w:abstractNumId="67">
    <w:nsid w:val="5FB8011C"/>
    <w:multiLevelType w:val="hybridMultilevel"/>
    <w:lvl w:ilvl="0">
      <w:lvlJc w:val="left"/>
      <w:lvlText w:val="(%1)"/>
      <w:numFmt w:val="lowerLetter"/>
      <w:start w:val="9"/>
    </w:lvl>
    <w:lvl w:ilvl="1">
      <w:lvlJc w:val="left"/>
      <w:lvlText w:val="%2"/>
      <w:numFmt w:val="lowerLetter"/>
      <w:start w:val="1"/>
    </w:lvl>
  </w:abstractNum>
  <w:abstractNum w:abstractNumId="68">
    <w:nsid w:val="6AA78F7F"/>
    <w:multiLevelType w:val="hybridMultilevel"/>
    <w:lvl w:ilvl="0">
      <w:lvlJc w:val="left"/>
      <w:lvlText w:val="(%1)"/>
      <w:numFmt w:val="lowerLetter"/>
      <w:start w:val="61"/>
    </w:lvl>
    <w:lvl w:ilvl="1">
      <w:lvlJc w:val="left"/>
      <w:lvlText w:val="%2"/>
      <w:numFmt w:val="lowerLetter"/>
      <w:start w:val="1"/>
    </w:lvl>
  </w:abstractNum>
  <w:abstractNum w:abstractNumId="69">
    <w:nsid w:val="7672BD23"/>
    <w:multiLevelType w:val="hybridMultilevel"/>
    <w:lvl w:ilvl="0">
      <w:lvlJc w:val="left"/>
      <w:lvlText w:val="(%1)"/>
      <w:numFmt w:val="lowerLetter"/>
      <w:start w:val="2"/>
    </w:lvl>
  </w:abstractNum>
  <w:abstractNum w:abstractNumId="70">
    <w:nsid w:val="6FC75AF8"/>
    <w:multiLevelType w:val="hybridMultilevel"/>
    <w:lvl w:ilvl="0">
      <w:lvlJc w:val="left"/>
      <w:lvlText w:val="(%1)"/>
      <w:numFmt w:val="lowerLetter"/>
      <w:start w:val="6"/>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4"/>
    </w:lvl>
  </w:abstractNum>
  <w:abstractNum w:abstractNumId="73">
    <w:nsid w:val="5F3534A4"/>
    <w:multiLevelType w:val="hybridMultilevel"/>
    <w:lvl w:ilvl="0">
      <w:lvlJc w:val="left"/>
      <w:lvlText w:val="(%1)"/>
      <w:numFmt w:val="lowerLetter"/>
      <w:start w:val="1"/>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lowerLetter"/>
      <w:start w:val="3"/>
    </w:lvl>
  </w:abstractNum>
  <w:abstractNum w:abstractNumId="77">
    <w:nsid w:val="3FA62ACA"/>
    <w:multiLevelType w:val="hybridMultilevel"/>
    <w:lvl w:ilvl="0">
      <w:lvlJc w:val="left"/>
      <w:lvlText w:val="(%1)"/>
      <w:numFmt w:val="lowerLetter"/>
      <w:start w:val="1"/>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1"/>
    </w:lvl>
  </w:abstractNum>
  <w:abstractNum w:abstractNumId="80">
    <w:nsid w:val="71C91298"/>
    <w:multiLevelType w:val="hybridMultilevel"/>
    <w:lvl w:ilvl="0">
      <w:lvlJc w:val="left"/>
      <w:lvlText w:val="(%1)"/>
      <w:numFmt w:val="lowerLetter"/>
      <w:start w:val="7"/>
    </w:lvl>
  </w:abstractNum>
  <w:abstractNum w:abstractNumId="81">
    <w:nsid w:val="9DAF632"/>
    <w:multiLevelType w:val="hybridMultilevel"/>
    <w:lvl w:ilvl="0">
      <w:lvlJc w:val="left"/>
      <w:lvlText w:val="(%1)"/>
      <w:numFmt w:val="lowerLetter"/>
      <w:start w:val="1"/>
    </w:lvl>
  </w:abstractNum>
  <w:abstractNum w:abstractNumId="82">
    <w:nsid w:val="53299938"/>
    <w:multiLevelType w:val="hybridMultilevel"/>
    <w:lvl w:ilvl="0">
      <w:lvlJc w:val="left"/>
      <w:lvlText w:val="(%1)"/>
      <w:numFmt w:val="lowerLetter"/>
      <w:start w:val="10"/>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3"/>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1)"/>
      <w:numFmt w:val="lowerLetter"/>
      <w:start w:val="7"/>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lowerLetter"/>
      <w:start w:val="4"/>
    </w:lvl>
    <w:lvl w:ilvl="1">
      <w:lvlJc w:val="left"/>
      <w:lvlText w:val="(%2)"/>
      <w:numFmt w:val="lowerLetter"/>
      <w:start w:val="6"/>
    </w:lvl>
  </w:abstractNum>
  <w:abstractNum w:abstractNumId="89">
    <w:nsid w:val="1D9F6E5F"/>
    <w:multiLevelType w:val="hybridMultilevel"/>
    <w:lvl w:ilvl="0">
      <w:lvlJc w:val="left"/>
      <w:lvlText w:val="(%1)"/>
      <w:numFmt w:val="lowerLetter"/>
      <w:start w:val="61"/>
    </w:lvl>
    <w:lvl w:ilvl="1">
      <w:lvlJc w:val="left"/>
      <w:lvlText w:val="%2"/>
      <w:numFmt w:val="lowerLetter"/>
      <w:start w:val="1"/>
    </w:lvl>
  </w:abstractNum>
  <w:abstractNum w:abstractNumId="90">
    <w:nsid w:val="97E1B4E"/>
    <w:multiLevelType w:val="hybridMultilevel"/>
    <w:lvl w:ilvl="0">
      <w:lvlJc w:val="left"/>
      <w:lvlText w:val="%1"/>
      <w:numFmt w:val="lowerLetter"/>
      <w:start w:val="1"/>
    </w:lvl>
    <w:lvl w:ilvl="1">
      <w:lvlJc w:val="left"/>
      <w:lvlText w:val="(%2)"/>
      <w:numFmt w:val="lowerLetter"/>
      <w:start w:val="8"/>
    </w:lvl>
  </w:abstractNum>
  <w:abstractNum w:abstractNumId="91">
    <w:nsid w:val="51088277"/>
    <w:multiLevelType w:val="hybridMultilevel"/>
    <w:lvl w:ilvl="0">
      <w:lvlJc w:val="left"/>
      <w:lvlText w:val="(%1)"/>
      <w:numFmt w:val="lowerLetter"/>
      <w:start w:val="35"/>
    </w:lvl>
    <w:lvl w:ilvl="1">
      <w:lvlJc w:val="left"/>
      <w:lvlText w:val="(%2)"/>
      <w:numFmt w:val="lowerLetter"/>
      <w:start w:val="10"/>
    </w:lvl>
  </w:abstractNum>
  <w:abstractNum w:abstractNumId="92">
    <w:nsid w:val="1CA0C5FA"/>
    <w:multiLevelType w:val="hybridMultilevel"/>
    <w:lvl w:ilvl="0">
      <w:lvlJc w:val="left"/>
      <w:lvlText w:val="(%1)"/>
      <w:numFmt w:val="lowerRoman"/>
      <w:start w:val="2"/>
    </w:lvl>
  </w:abstractNum>
  <w:abstractNum w:abstractNumId="93">
    <w:nsid w:val="53584BCB"/>
    <w:multiLevelType w:val="hybridMultilevel"/>
    <w:lvl w:ilvl="0">
      <w:lvlJc w:val="left"/>
      <w:lvlText w:val="(%1)"/>
      <w:numFmt w:val="lowerRoman"/>
      <w:start w:val="1"/>
    </w:lvl>
  </w:abstractNum>
  <w:abstractNum w:abstractNumId="94">
    <w:nsid w:val="415E286C"/>
    <w:multiLevelType w:val="hybridMultilevel"/>
    <w:lvl w:ilvl="0">
      <w:lvlJc w:val="left"/>
      <w:lvlText w:val="%1"/>
      <w:numFmt w:val="lowerLetter"/>
      <w:start w:val="1"/>
    </w:lvl>
    <w:lvl w:ilvl="1">
      <w:lvlJc w:val="left"/>
      <w:lvlText w:val="(%2)"/>
      <w:numFmt w:val="lowerLetter"/>
      <w:start w:val="2"/>
    </w:lvl>
  </w:abstractNum>
  <w:abstractNum w:abstractNumId="95">
    <w:nsid w:val="7C58FD05"/>
    <w:multiLevelType w:val="hybridMultilevel"/>
    <w:lvl w:ilvl="0">
      <w:lvlJc w:val="left"/>
      <w:lvlText w:val="(%1)"/>
      <w:numFmt w:val="lowerLetter"/>
      <w:start w:val="2"/>
    </w:lvl>
    <w:lvl w:ilvl="1">
      <w:lvlJc w:val="left"/>
      <w:lvlText w:val="%2"/>
      <w:numFmt w:val="lowerLetter"/>
      <w:start w:val="1"/>
    </w:lvl>
  </w:abstractNum>
  <w:abstractNum w:abstractNumId="96">
    <w:nsid w:val="23D86AAC"/>
    <w:multiLevelType w:val="hybridMultilevel"/>
    <w:lvl w:ilvl="0">
      <w:lvlJc w:val="left"/>
      <w:lvlText w:val="(%1)"/>
      <w:numFmt w:val="lowerLetter"/>
      <w:start w:val="5"/>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2"/>
    </w:lvl>
  </w:abstractNum>
  <w:abstractNum w:abstractNumId="99">
    <w:nsid w:val="E7FFA2B"/>
    <w:multiLevelType w:val="hybridMultilevel"/>
    <w:lvl w:ilvl="0">
      <w:lvlJc w:val="left"/>
      <w:lvlText w:val="(%1)"/>
      <w:numFmt w:val="upperLetter"/>
      <w:start w:val="1"/>
    </w:lvl>
  </w:abstractNum>
  <w:abstractNum w:abstractNumId="100">
    <w:nsid w:val="3C5991AA"/>
    <w:multiLevelType w:val="hybridMultilevel"/>
    <w:lvl w:ilvl="0">
      <w:lvlJc w:val="left"/>
      <w:lvlText w:val="(%1)"/>
      <w:numFmt w:val="upperLetter"/>
      <w:start w:val="1"/>
    </w:lvl>
  </w:abstractNum>
  <w:abstractNum w:abstractNumId="101">
    <w:nsid w:val="4BD8591A"/>
    <w:multiLevelType w:val="hybridMultilevel"/>
    <w:lvl w:ilvl="0">
      <w:lvlJc w:val="left"/>
      <w:lvlText w:val="(%1)"/>
      <w:numFmt w:val="lowerRoman"/>
      <w:start w:val="3"/>
    </w:lvl>
  </w:abstractNum>
  <w:abstractNum w:abstractNumId="102">
    <w:nsid w:val="78DF6A55"/>
    <w:multiLevelType w:val="hybridMultilevel"/>
    <w:lvl w:ilvl="0">
      <w:lvlJc w:val="left"/>
      <w:lvlText w:val="(%1)"/>
      <w:numFmt w:val="lowerRoman"/>
      <w:start w:val="4"/>
    </w:lvl>
  </w:abstractNum>
  <w:abstractNum w:abstractNumId="103">
    <w:nsid w:val="39B7AAA2"/>
    <w:multiLevelType w:val="hybridMultilevel"/>
    <w:lvl w:ilvl="0">
      <w:lvlJc w:val="left"/>
      <w:lvlText w:val="(%1)"/>
      <w:numFmt w:val="lowerLetter"/>
      <w:start w:val="3"/>
    </w:lvl>
  </w:abstractNum>
  <w:abstractNum w:abstractNumId="104">
    <w:nsid w:val="2B0D8DBE"/>
    <w:multiLevelType w:val="hybridMultilevel"/>
    <w:lvl w:ilvl="0">
      <w:lvlJc w:val="left"/>
      <w:lvlText w:val="(%1)"/>
      <w:numFmt w:val="lowerRoman"/>
      <w:start w:val="2"/>
    </w:lvl>
  </w:abstractNum>
  <w:abstractNum w:abstractNumId="105">
    <w:nsid w:val="6C80EC70"/>
    <w:multiLevelType w:val="hybridMultilevel"/>
    <w:lvl w:ilvl="0">
      <w:lvlJc w:val="left"/>
      <w:lvlText w:val="%1"/>
      <w:numFmt w:val="lowerRoman"/>
      <w:start w:val="1"/>
    </w:lvl>
    <w:lvl w:ilvl="1">
      <w:lvlJc w:val="left"/>
      <w:lvlText w:val="(%2)"/>
      <w:numFmt w:val="lowerLetter"/>
      <w:start w:val="4"/>
    </w:lvl>
  </w:abstractNum>
  <w:abstractNum w:abstractNumId="106">
    <w:nsid w:val="379E21B5"/>
    <w:multiLevelType w:val="hybridMultilevel"/>
    <w:lvl w:ilvl="0">
      <w:lvlJc w:val="left"/>
      <w:lvlText w:val="(%1)"/>
      <w:numFmt w:val="lowerRoman"/>
      <w:start w:val="7"/>
    </w:lvl>
    <w:lvl w:ilvl="1">
      <w:lvlJc w:val="left"/>
      <w:lvlText w:val="%2"/>
      <w:numFmt w:val="lowerLetter"/>
      <w:start w:val="1"/>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1"/>
    </w:lvl>
  </w:abstractNum>
  <w:abstractNum w:abstractNumId="109">
    <w:nsid w:val="4C9B0904"/>
    <w:multiLevelType w:val="hybridMultilevel"/>
    <w:lvl w:ilvl="0">
      <w:lvlJc w:val="left"/>
      <w:lvlText w:val="(%1)"/>
      <w:numFmt w:val="lowerLetter"/>
      <w:start w:val="2"/>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1)"/>
      <w:numFmt w:val="lowerRoman"/>
      <w:start w:val="1"/>
    </w:lvl>
  </w:abstractNum>
  <w:abstractNum w:abstractNumId="112">
    <w:nsid w:val="5675FF36"/>
    <w:multiLevelType w:val="hybridMultilevel"/>
    <w:lvl w:ilvl="0">
      <w:lvlJc w:val="left"/>
      <w:lvlText w:val="%1"/>
      <w:numFmt w:val="lowerLetter"/>
      <w:start w:val="1"/>
    </w:lvl>
    <w:lvl w:ilvl="1">
      <w:lvlJc w:val="left"/>
      <w:lvlText w:val="%2."/>
      <w:numFmt w:val="decimal"/>
      <w:start w:val="1"/>
    </w:lvl>
  </w:abstractNum>
  <w:abstractNum w:abstractNumId="113">
    <w:nsid w:val="3DD15094"/>
    <w:multiLevelType w:val="hybridMultilevel"/>
    <w:lvl w:ilvl="0">
      <w:lvlJc w:val="left"/>
      <w:lvlText w:val="(%1)"/>
      <w:numFmt w:val="lowerLetter"/>
      <w:start w:val="1"/>
    </w:lvl>
    <w:lvl w:ilvl="1">
      <w:lvlJc w:val="left"/>
      <w:lvlText w:val="%2."/>
      <w:numFmt w:val="decimal"/>
      <w:start w:val="2"/>
    </w:lvl>
  </w:abstractNum>
  <w:abstractNum w:abstractNumId="114">
    <w:nsid w:val="3DB012B3"/>
    <w:multiLevelType w:val="hybridMultilevel"/>
    <w:lvl w:ilvl="0">
      <w:lvlJc w:val="left"/>
      <w:lvlText w:val="%1."/>
      <w:numFmt w:val="decimal"/>
      <w:start w:val="1"/>
    </w:lvl>
  </w:abstractNum>
  <w:abstractNum w:abstractNumId="115">
    <w:nsid w:val="2708C9AF"/>
    <w:multiLevelType w:val="hybridMultilevel"/>
    <w:lvl w:ilvl="0">
      <w:lvlJc w:val="left"/>
      <w:lvlText w:val="%1."/>
      <w:numFmt w:val="decimal"/>
      <w:start w:val="4"/>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bullet"/>
      <w:start w:val="1"/>
    </w:lvl>
  </w:abstractNum>
  <w:abstractNum w:abstractNumId="118">
    <w:nsid w:val="4F97E3E4"/>
    <w:multiLevelType w:val="hybridMultilevel"/>
    <w:lvl w:ilvl="0">
      <w:lvlJc w:val="left"/>
      <w:lvlText w:val="(%1)"/>
      <w:numFmt w:val="upperLetter"/>
      <w:start w:val="2"/>
    </w:lvl>
  </w:abstractNum>
  <w:abstractNum w:abstractNumId="119">
    <w:nsid w:val="53B0A9E"/>
    <w:multiLevelType w:val="hybridMultilevel"/>
    <w:lvl w:ilvl="0">
      <w:lvlJc w:val="left"/>
      <w:lvlText w:val="%1."/>
      <w:numFmt w:val="decimal"/>
      <w:start w:val="2"/>
    </w:lvl>
  </w:abstractNum>
  <w:abstractNum w:abstractNumId="120">
    <w:nsid w:val="34FD6B4F"/>
    <w:multiLevelType w:val="hybridMultilevel"/>
    <w:lvl w:ilvl="0">
      <w:lvlJc w:val="left"/>
      <w:lvlText w:val="%1"/>
      <w:numFmt w:val="decimal"/>
      <w:start w:val="1"/>
    </w:lvl>
    <w:lvl w:ilvl="1">
      <w:lvlJc w:val="left"/>
      <w:lvlText w:val="(%2)"/>
      <w:numFmt w:val="lowerRoman"/>
      <w:start w:val="1"/>
    </w:lvl>
  </w:abstractNum>
  <w:abstractNum w:abstractNumId="121">
    <w:nsid w:val="5915FF32"/>
    <w:multiLevelType w:val="hybridMultilevel"/>
    <w:lvl w:ilvl="0">
      <w:lvlJc w:val="left"/>
      <w:lvlText w:val="(%1)"/>
      <w:numFmt w:val="decimal"/>
      <w:start w:val="1"/>
    </w:lvl>
    <w:lvl w:ilvl="1">
      <w:lvlJc w:val="left"/>
      <w:lvlText w:val="(%2)"/>
      <w:numFmt w:val="lowerRoman"/>
      <w:start w:val="2"/>
    </w:lvl>
  </w:abstractNum>
  <w:abstractNum w:abstractNumId="122">
    <w:nsid w:val="56438D15"/>
    <w:multiLevelType w:val="hybridMultilevel"/>
    <w:lvl w:ilvl="0">
      <w:lvlJc w:val="left"/>
      <w:lvlText w:val="(%1)"/>
      <w:numFmt w:val="lowerRoman"/>
      <w:start w:val="4"/>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decimal"/>
      <w:start w:val="6"/>
    </w:lvl>
  </w:abstractNum>
  <w:abstractNum w:abstractNumId="125">
    <w:nsid w:val="17A1B582"/>
    <w:multiLevelType w:val="hybridMultilevel"/>
    <w:lvl w:ilvl="0">
      <w:lvlJc w:val="left"/>
      <w:lvlText w:val="(%1)"/>
      <w:numFmt w:val="lowerLetter"/>
      <w:start w:val="1"/>
    </w:lvl>
    <w:lvl w:ilvl="1">
      <w:lvlJc w:val="left"/>
      <w:lvlText w:val="•"/>
      <w:numFmt w:val="bullet"/>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2019-12-11T01:22:03Z</dcterms:created>
  <dcterms:modified xsi:type="dcterms:W3CDTF">2019-12-11T01:22:03Z</dcterms:modified>
</cp:coreProperties>
</file>