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22225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43180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7" w:lineRule="exact"/>
        <w:rPr>
          <w:sz w:val="24"/>
          <w:szCs w:val="24"/>
          <w:color w:val="auto"/>
        </w:rPr>
      </w:pPr>
    </w:p>
    <w:p>
      <w:pPr>
        <w:ind w:left="760" w:right="4680" w:hanging="752"/>
        <w:spacing w:after="0" w:line="283" w:lineRule="auto"/>
        <w:tabs>
          <w:tab w:leader="none" w:pos="74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40" w:lineRule="exact"/>
        <w:rPr>
          <w:sz w:val="24"/>
          <w:szCs w:val="24"/>
          <w:color w:val="auto"/>
        </w:rPr>
      </w:pPr>
    </w:p>
    <w:p>
      <w:pPr>
        <w:ind w:left="760" w:right="4360" w:hanging="752"/>
        <w:spacing w:after="0" w:line="328" w:lineRule="auto"/>
        <w:tabs>
          <w:tab w:leader="none" w:pos="757"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4220" w:type="dxa"/>
        <w:tblCellMar>
          <w:top w:w="0" w:type="dxa"/>
          <w:left w:w="0" w:type="dxa"/>
          <w:bottom w:w="0" w:type="dxa"/>
          <w:right w:w="0" w:type="dxa"/>
        </w:tblCellMar>
      </w:tblPr>
      <w:tr>
        <w:trPr>
          <w:trHeight w:val="159"/>
        </w:trPr>
        <w:tc>
          <w:tcPr>
            <w:tcW w:w="276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For the transition period from</w:t>
            </w:r>
          </w:p>
        </w:tc>
        <w:tc>
          <w:tcPr>
            <w:tcW w:w="98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to</w:t>
            </w:r>
          </w:p>
        </w:tc>
      </w:tr>
      <w:tr>
        <w:trPr>
          <w:trHeight w:val="173"/>
        </w:trPr>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333-126751</w:t>
            </w: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186"/>
        </w:trPr>
        <w:tc>
          <w:tcPr>
            <w:tcW w:w="276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3"/>
              </w:rPr>
              <w:t>(Commission File Number)</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50800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93"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LAZARD GROUP LLC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55880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26" w:lineRule="exact"/>
        <w:rPr>
          <w:sz w:val="24"/>
          <w:szCs w:val="24"/>
          <w:color w:val="auto"/>
        </w:rPr>
      </w:pPr>
    </w:p>
    <w:tbl>
      <w:tblPr>
        <w:tblLayout w:type="fixed"/>
        <w:tblInd w:w="600" w:type="dxa"/>
        <w:tblCellMar>
          <w:top w:w="0" w:type="dxa"/>
          <w:left w:w="0" w:type="dxa"/>
          <w:bottom w:w="0" w:type="dxa"/>
          <w:right w:w="0" w:type="dxa"/>
        </w:tblCellMar>
      </w:tblPr>
      <w:tr>
        <w:trPr>
          <w:trHeight w:val="163"/>
        </w:trPr>
        <w:tc>
          <w:tcPr>
            <w:tcW w:w="686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4"/>
              </w:rPr>
              <w:t>Delaware</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408"/>
              <w:spacing w:after="0"/>
              <w:rPr>
                <w:sz w:val="20"/>
                <w:szCs w:val="20"/>
                <w:color w:val="auto"/>
              </w:rPr>
            </w:pPr>
            <w:r>
              <w:rPr>
                <w:rFonts w:ascii="Arial" w:cs="Arial" w:eastAsia="Arial" w:hAnsi="Arial"/>
                <w:sz w:val="14"/>
                <w:szCs w:val="14"/>
                <w:b w:val="1"/>
                <w:bCs w:val="1"/>
                <w:color w:val="auto"/>
              </w:rPr>
              <w:t>51-0278097</w:t>
            </w:r>
          </w:p>
        </w:tc>
      </w:tr>
      <w:tr>
        <w:trPr>
          <w:trHeight w:val="135"/>
        </w:trPr>
        <w:tc>
          <w:tcPr>
            <w:tcW w:w="6860" w:type="dxa"/>
            <w:vAlign w:val="bottom"/>
            <w:gridSpan w:val="3"/>
          </w:tcPr>
          <w:p>
            <w:pPr>
              <w:jc w:val="center"/>
              <w:ind w:right="2340"/>
              <w:spacing w:after="0" w:line="135" w:lineRule="exact"/>
              <w:rPr>
                <w:sz w:val="20"/>
                <w:szCs w:val="20"/>
                <w:color w:val="auto"/>
              </w:rPr>
            </w:pPr>
            <w:r>
              <w:rPr>
                <w:rFonts w:ascii="Arial" w:cs="Arial" w:eastAsia="Arial" w:hAnsi="Arial"/>
                <w:sz w:val="12"/>
                <w:szCs w:val="12"/>
                <w:b w:val="1"/>
                <w:bCs w:val="1"/>
                <w:color w:val="auto"/>
                <w:w w:val="89"/>
              </w:rPr>
              <w:t>(State or Other Jurisdiction of Incorporation</w:t>
            </w:r>
          </w:p>
        </w:tc>
        <w:tc>
          <w:tcPr>
            <w:tcW w:w="2000" w:type="dxa"/>
            <w:vAlign w:val="bottom"/>
            <w:gridSpan w:val="3"/>
          </w:tcPr>
          <w:p>
            <w:pPr>
              <w:jc w:val="right"/>
              <w:spacing w:after="0" w:line="135" w:lineRule="exact"/>
              <w:rPr>
                <w:sz w:val="20"/>
                <w:szCs w:val="20"/>
                <w:color w:val="auto"/>
              </w:rPr>
            </w:pPr>
            <w:r>
              <w:rPr>
                <w:rFonts w:ascii="Arial" w:cs="Arial" w:eastAsia="Arial" w:hAnsi="Arial"/>
                <w:sz w:val="12"/>
                <w:szCs w:val="12"/>
                <w:b w:val="1"/>
                <w:bCs w:val="1"/>
                <w:color w:val="auto"/>
              </w:rPr>
              <w:t>(I.R.S. Employer Identification No.)</w:t>
            </w:r>
          </w:p>
        </w:tc>
      </w:tr>
      <w:tr>
        <w:trPr>
          <w:trHeight w:val="150"/>
        </w:trPr>
        <w:tc>
          <w:tcPr>
            <w:tcW w:w="6860" w:type="dxa"/>
            <w:vAlign w:val="bottom"/>
            <w:gridSpan w:val="3"/>
          </w:tcPr>
          <w:p>
            <w:pPr>
              <w:jc w:val="center"/>
              <w:ind w:right="2340"/>
              <w:spacing w:after="0"/>
              <w:rPr>
                <w:sz w:val="20"/>
                <w:szCs w:val="20"/>
                <w:color w:val="auto"/>
              </w:rPr>
            </w:pPr>
            <w:r>
              <w:rPr>
                <w:rFonts w:ascii="Arial" w:cs="Arial" w:eastAsia="Arial" w:hAnsi="Arial"/>
                <w:sz w:val="12"/>
                <w:szCs w:val="12"/>
                <w:b w:val="1"/>
                <w:bCs w:val="1"/>
                <w:color w:val="auto"/>
                <w:w w:val="90"/>
              </w:rPr>
              <w:t>or Organization)</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3"/>
        </w:trPr>
        <w:tc>
          <w:tcPr>
            <w:tcW w:w="3800" w:type="dxa"/>
            <w:vAlign w:val="bottom"/>
          </w:tcPr>
          <w:p>
            <w:pPr>
              <w:spacing w:after="0"/>
              <w:rPr>
                <w:sz w:val="15"/>
                <w:szCs w:val="15"/>
                <w:color w:val="auto"/>
              </w:rPr>
            </w:pPr>
          </w:p>
        </w:tc>
        <w:tc>
          <w:tcPr>
            <w:tcW w:w="3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30 Rockefeller Plaza</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49"/>
        </w:trPr>
        <w:tc>
          <w:tcPr>
            <w:tcW w:w="3800" w:type="dxa"/>
            <w:vAlign w:val="bottom"/>
          </w:tcPr>
          <w:p>
            <w:pPr>
              <w:spacing w:after="0"/>
              <w:rPr>
                <w:sz w:val="12"/>
                <w:szCs w:val="12"/>
                <w:color w:val="auto"/>
              </w:rPr>
            </w:pPr>
          </w:p>
        </w:tc>
        <w:tc>
          <w:tcPr>
            <w:tcW w:w="3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New York, NY 10112</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86"/>
        </w:trPr>
        <w:tc>
          <w:tcPr>
            <w:tcW w:w="3800" w:type="dxa"/>
            <w:vAlign w:val="bottom"/>
          </w:tcPr>
          <w:p>
            <w:pPr>
              <w:spacing w:after="0"/>
              <w:rPr>
                <w:sz w:val="16"/>
                <w:szCs w:val="16"/>
                <w:color w:val="auto"/>
              </w:rPr>
            </w:pPr>
          </w:p>
        </w:tc>
        <w:tc>
          <w:tcPr>
            <w:tcW w:w="3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3"/>
        </w:trPr>
        <w:tc>
          <w:tcPr>
            <w:tcW w:w="6860" w:type="dxa"/>
            <w:vAlign w:val="bottom"/>
            <w:gridSpan w:val="3"/>
          </w:tcPr>
          <w:p>
            <w:pPr>
              <w:jc w:val="center"/>
              <w:ind w:left="3311"/>
              <w:spacing w:after="0"/>
              <w:rPr>
                <w:sz w:val="20"/>
                <w:szCs w:val="20"/>
                <w:color w:val="auto"/>
              </w:rPr>
            </w:pPr>
            <w:r>
              <w:rPr>
                <w:rFonts w:ascii="Arial" w:cs="Arial" w:eastAsia="Arial" w:hAnsi="Arial"/>
                <w:sz w:val="14"/>
                <w:szCs w:val="14"/>
                <w:b w:val="1"/>
                <w:bCs w:val="1"/>
                <w:color w:val="auto"/>
                <w:w w:val="92"/>
              </w:rPr>
              <w:t>Registrant’s telephone number: (212) 632-6000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6"/>
        </w:trPr>
        <w:tc>
          <w:tcPr>
            <w:tcW w:w="3800" w:type="dxa"/>
            <w:vAlign w:val="bottom"/>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72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25"/>
        </w:trPr>
        <w:tc>
          <w:tcPr>
            <w:tcW w:w="7160" w:type="dxa"/>
            <w:vAlign w:val="bottom"/>
            <w:gridSpan w:val="4"/>
          </w:tcPr>
          <w:p>
            <w:pPr>
              <w:jc w:val="center"/>
              <w:ind w:left="3011"/>
              <w:spacing w:after="0"/>
              <w:rPr>
                <w:sz w:val="20"/>
                <w:szCs w:val="20"/>
                <w:color w:val="auto"/>
              </w:rPr>
            </w:pPr>
            <w:r>
              <w:rPr>
                <w:rFonts w:ascii="Arial" w:cs="Arial" w:eastAsia="Arial" w:hAnsi="Arial"/>
                <w:sz w:val="14"/>
                <w:szCs w:val="14"/>
                <w:color w:val="auto"/>
                <w:w w:val="92"/>
              </w:rPr>
              <w:t>Securities Registered Pursuant to Section 12(b) of the Act: None</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57"/>
        </w:trPr>
        <w:tc>
          <w:tcPr>
            <w:tcW w:w="7160" w:type="dxa"/>
            <w:vAlign w:val="bottom"/>
            <w:gridSpan w:val="4"/>
          </w:tcPr>
          <w:p>
            <w:pPr>
              <w:jc w:val="center"/>
              <w:ind w:left="3011"/>
              <w:spacing w:after="0"/>
              <w:rPr>
                <w:sz w:val="20"/>
                <w:szCs w:val="20"/>
                <w:color w:val="auto"/>
              </w:rPr>
            </w:pPr>
            <w:r>
              <w:rPr>
                <w:rFonts w:ascii="Arial" w:cs="Arial" w:eastAsia="Arial" w:hAnsi="Arial"/>
                <w:sz w:val="14"/>
                <w:szCs w:val="14"/>
                <w:color w:val="auto"/>
                <w:w w:val="92"/>
              </w:rPr>
              <w:t>Securities Registered Pursuant to Section 12(g) of the Act: None</w:t>
            </w: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367"/>
        </w:trPr>
        <w:tc>
          <w:tcPr>
            <w:tcW w:w="6860" w:type="dxa"/>
            <w:vAlign w:val="bottom"/>
            <w:gridSpan w:val="3"/>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00" w:type="dxa"/>
            <w:vAlign w:val="bottom"/>
          </w:tcPr>
          <w:p>
            <w:pPr>
              <w:ind w:left="80"/>
              <w:spacing w:after="0"/>
              <w:rPr>
                <w:sz w:val="20"/>
                <w:szCs w:val="20"/>
                <w:color w:val="auto"/>
              </w:rPr>
            </w:pPr>
            <w:r>
              <w:rPr>
                <w:rFonts w:ascii="Arial" w:cs="Arial" w:eastAsia="Arial" w:hAnsi="Arial"/>
                <w:sz w:val="14"/>
                <w:szCs w:val="14"/>
                <w:color w:val="auto"/>
                <w:w w:val="82"/>
              </w:rPr>
              <w:t>Yes</w:t>
            </w:r>
          </w:p>
        </w:tc>
        <w:tc>
          <w:tcPr>
            <w:tcW w:w="22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1480" w:type="dxa"/>
            <w:vAlign w:val="bottom"/>
          </w:tcPr>
          <w:p>
            <w:pPr>
              <w:jc w:val="right"/>
              <w:ind w:right="908"/>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30"/>
        </w:trPr>
        <w:tc>
          <w:tcPr>
            <w:tcW w:w="6860" w:type="dxa"/>
            <w:vAlign w:val="bottom"/>
            <w:gridSpan w:val="3"/>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No</w:t>
            </w:r>
          </w:p>
        </w:tc>
        <w:tc>
          <w:tcPr>
            <w:tcW w:w="1480" w:type="dxa"/>
            <w:vAlign w:val="bottom"/>
          </w:tcPr>
          <w:p>
            <w:pPr>
              <w:jc w:val="right"/>
              <w:ind w:right="1248"/>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4" w:lineRule="exact"/>
        <w:rPr>
          <w:sz w:val="24"/>
          <w:szCs w:val="24"/>
          <w:color w:val="auto"/>
        </w:rPr>
      </w:pPr>
    </w:p>
    <w:p>
      <w:pPr>
        <w:ind w:right="100" w:firstLine="59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120" w:firstLine="598"/>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firstLine="59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 w:lineRule="exact"/>
        <w:rPr>
          <w:sz w:val="24"/>
          <w:szCs w:val="24"/>
          <w:color w:val="auto"/>
        </w:rPr>
      </w:pPr>
    </w:p>
    <w:p>
      <w:pPr>
        <w:ind w:right="120" w:firstLine="59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301" w:right="299" w:bottom="1440" w:gutter="0" w:footer="0" w:header="0"/>
        </w:sectPr>
      </w:pPr>
    </w:p>
    <w:p>
      <w:pPr>
        <w:spacing w:after="0" w:line="39" w:lineRule="exact"/>
        <w:rPr>
          <w:sz w:val="24"/>
          <w:szCs w:val="24"/>
          <w:color w:val="auto"/>
        </w:rPr>
      </w:pPr>
    </w:p>
    <w:p>
      <w:pPr>
        <w:ind w:left="60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12"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4">
            <w:col w:w="1900" w:space="60"/>
            <w:col w:w="2000" w:space="720"/>
            <w:col w:w="960" w:space="80"/>
            <w:col w:w="5640"/>
          </w:cols>
          <w:pgMar w:left="240" w:top="301" w:right="299" w:bottom="1440" w:gutter="0" w:footer="0" w:header="0"/>
          <w:type w:val="continuous"/>
        </w:sectPr>
      </w:pPr>
    </w:p>
    <w:p>
      <w:pPr>
        <w:ind w:left="60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4">
            <w:col w:w="1820" w:space="80"/>
            <w:col w:w="2060" w:space="720"/>
            <w:col w:w="1580" w:space="60"/>
            <w:col w:w="5040"/>
          </w:cols>
          <w:pgMar w:left="240" w:top="301" w:right="299" w:bottom="1440" w:gutter="0" w:footer="0" w:header="0"/>
          <w:type w:val="continuous"/>
        </w:sectPr>
      </w:pPr>
    </w:p>
    <w:p>
      <w:pPr>
        <w:ind w:right="80" w:firstLine="598"/>
        <w:spacing w:after="0" w:line="191" w:lineRule="exact"/>
        <w:rPr>
          <w:sz w:val="20"/>
          <w:szCs w:val="20"/>
          <w:color w:val="auto"/>
        </w:rPr>
      </w:pPr>
      <w:r>
        <w:rPr>
          <w:rFonts w:ascii="Arial" w:cs="Arial" w:eastAsia="Arial" w:hAnsi="Arial"/>
          <w:sz w:val="14"/>
          <w:szCs w:val="14"/>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3060"/>
        <w:spacing w:after="0" w:line="19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June 30, 2018, none of the Registrant’s common membership interests were held by non-affiliates.</w:t>
      </w:r>
    </w:p>
    <w:p>
      <w:pPr>
        <w:spacing w:after="0" w:line="7" w:lineRule="exact"/>
        <w:rPr>
          <w:sz w:val="24"/>
          <w:szCs w:val="24"/>
          <w:color w:val="auto"/>
        </w:rPr>
      </w:pPr>
    </w:p>
    <w:p>
      <w:pPr>
        <w:ind w:left="600"/>
        <w:spacing w:after="0"/>
        <w:rPr>
          <w:sz w:val="20"/>
          <w:szCs w:val="20"/>
          <w:color w:val="auto"/>
        </w:rPr>
      </w:pPr>
      <w:r>
        <w:rPr>
          <w:rFonts w:ascii="Arial" w:cs="Arial" w:eastAsia="Arial" w:hAnsi="Arial"/>
          <w:sz w:val="14"/>
          <w:szCs w:val="14"/>
          <w:color w:val="auto"/>
        </w:rPr>
        <w:t>As of January 30, 2019, in addition to profit participation interests, there were two managing member interests outstanding.</w:t>
      </w:r>
    </w:p>
    <w:p>
      <w:pPr>
        <w:spacing w:after="0" w:line="21" w:lineRule="exact"/>
        <w:rPr>
          <w:sz w:val="24"/>
          <w:szCs w:val="24"/>
          <w:color w:val="auto"/>
        </w:rPr>
      </w:pPr>
    </w:p>
    <w:p>
      <w:pPr>
        <w:ind w:right="120" w:firstLine="598"/>
        <w:spacing w:after="0" w:line="254" w:lineRule="auto"/>
        <w:rPr>
          <w:sz w:val="20"/>
          <w:szCs w:val="20"/>
          <w:color w:val="auto"/>
        </w:rPr>
      </w:pPr>
      <w:r>
        <w:rPr>
          <w:rFonts w:ascii="Arial" w:cs="Arial" w:eastAsia="Arial" w:hAnsi="Arial"/>
          <w:sz w:val="13"/>
          <w:szCs w:val="13"/>
          <w:color w:val="auto"/>
        </w:rPr>
        <w:t>The Registrant meets the conditions set forth in General Instructions (I)(1)(a) and (b) of Form 10-K and is therefore filing this Form with the reduced disclosure format by omitting the information called for by the following items of Form 10-K: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ind w:left="600"/>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638810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01" w:right="299" w:bottom="1440" w:gutter="0" w:footer="0" w:header="0"/>
          <w:type w:val="continuous"/>
        </w:sectPr>
      </w:pPr>
    </w:p>
    <w:bookmarkStart w:id="1" w:name="page2"/>
    <w:bookmarkEnd w:id="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gridSpan w:val="29"/>
            <w:vMerge w:val="restart"/>
          </w:tcPr>
          <w:p>
            <w:pPr>
              <w:spacing w:after="0"/>
              <w:rPr>
                <w:sz w:val="20"/>
                <w:szCs w:val="20"/>
                <w:color w:val="auto"/>
              </w:rPr>
            </w:pPr>
            <w:r>
              <w:rPr>
                <w:rFonts w:ascii="Arial" w:cs="Arial" w:eastAsia="Arial" w:hAnsi="Arial"/>
                <w:sz w:val="14"/>
                <w:szCs w:val="14"/>
                <w:b w:val="1"/>
                <w:bCs w:val="1"/>
                <w:color w:val="auto"/>
              </w:rPr>
              <w:t>Form 10-K Item Number</w:t>
            </w:r>
          </w:p>
        </w:tc>
        <w:tc>
          <w:tcPr>
            <w:tcW w:w="940" w:type="dxa"/>
            <w:vAlign w:val="bottom"/>
          </w:tcPr>
          <w:p>
            <w:pPr>
              <w:jc w:val="right"/>
              <w:ind w:right="2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0480" w:type="dxa"/>
            <w:vAlign w:val="bottom"/>
            <w:gridSpan w:val="29"/>
            <w:vMerge w:val="continue"/>
          </w:tcPr>
          <w:p>
            <w:pPr>
              <w:spacing w:after="0"/>
              <w:rPr>
                <w:sz w:val="14"/>
                <w:szCs w:val="14"/>
                <w:color w:val="auto"/>
              </w:rPr>
            </w:pPr>
          </w:p>
        </w:tc>
        <w:tc>
          <w:tcPr>
            <w:tcW w:w="940" w:type="dxa"/>
            <w:vAlign w:val="bottom"/>
          </w:tcPr>
          <w:p>
            <w:pPr>
              <w:jc w:val="right"/>
              <w:ind w:right="271"/>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91"/>
        </w:trPr>
        <w:tc>
          <w:tcPr>
            <w:tcW w:w="920" w:type="dxa"/>
            <w:vAlign w:val="bottom"/>
            <w:tcBorders>
              <w:top w:val="single" w:sz="8" w:color="auto"/>
            </w:tcBorders>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920" w:type="dxa"/>
            <w:vAlign w:val="bottom"/>
            <w:gridSpan w:val="21"/>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Executive Officers of the Registrant</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5">
              <w:r>
                <w:rPr>
                  <w:rFonts w:ascii="Arial" w:cs="Arial" w:eastAsia="Arial" w:hAnsi="Arial"/>
                  <w:sz w:val="18"/>
                  <w:szCs w:val="18"/>
                  <w:color w:val="0000EE"/>
                  <w:w w:val="87"/>
                </w:rPr>
                <w:t>Risk Factors</w:t>
              </w:r>
            </w:hyperlink>
          </w:p>
        </w:tc>
        <w:tc>
          <w:tcPr>
            <w:tcW w:w="1680" w:type="dxa"/>
            <w:vAlign w:val="bottom"/>
            <w:tcBorders>
              <w:top w:val="single" w:sz="8" w:color="0000EE"/>
            </w:tcBorders>
            <w:gridSpan w:val="7"/>
          </w:tcPr>
          <w:p>
            <w:pPr>
              <w:spacing w:after="0"/>
              <w:rPr>
                <w:sz w:val="24"/>
                <w:szCs w:val="24"/>
                <w:color w:val="auto"/>
              </w:rPr>
            </w:pPr>
          </w:p>
        </w:tc>
        <w:tc>
          <w:tcPr>
            <w:tcW w:w="6980" w:type="dxa"/>
            <w:vAlign w:val="bottom"/>
            <w:gridSpan w:val="1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Unresolved Staff Comments</w:t>
              </w:r>
            </w:hyperlink>
          </w:p>
        </w:tc>
        <w:tc>
          <w:tcPr>
            <w:tcW w:w="7520" w:type="dxa"/>
            <w:vAlign w:val="bottom"/>
            <w:gridSpan w:val="1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9560" w:type="dxa"/>
            <w:vAlign w:val="bottom"/>
            <w:gridSpan w:val="2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Properties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9560" w:type="dxa"/>
            <w:vAlign w:val="bottom"/>
            <w:gridSpan w:val="2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9560" w:type="dxa"/>
            <w:vAlign w:val="bottom"/>
            <w:gridSpan w:val="2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92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PART II</w:t>
              </w:r>
            </w:hyperlink>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5.</w:t>
            </w:r>
          </w:p>
        </w:tc>
        <w:tc>
          <w:tcPr>
            <w:tcW w:w="664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Market for Registrant’s Common Equity, Related Stockholder Matters and Issuer Purchases</w:t>
              </w:r>
            </w:hyperlink>
          </w:p>
        </w:tc>
        <w:tc>
          <w:tcPr>
            <w:tcW w:w="292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40" w:type="dxa"/>
            <w:vAlign w:val="bottom"/>
            <w:gridSpan w:val="2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of Equity Securities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956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Management’s Discussion and Analysis of Financial Condition and Results of Operations</w:t>
              </w:r>
            </w:hyperlink>
          </w:p>
        </w:tc>
        <w:tc>
          <w:tcPr>
            <w:tcW w:w="3100" w:type="dxa"/>
            <w:vAlign w:val="bottom"/>
            <w:gridSpan w:val="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Quantitative and Qualitative Disclosures About Market Risk</w:t>
              </w:r>
            </w:hyperlink>
          </w:p>
        </w:tc>
        <w:tc>
          <w:tcPr>
            <w:tcW w:w="5200" w:type="dxa"/>
            <w:vAlign w:val="bottom"/>
            <w:gridSpan w:val="7"/>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9560" w:type="dxa"/>
            <w:vAlign w:val="bottom"/>
            <w:gridSpan w:val="2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Financial Statements and Supplementary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125">
              <w:r>
                <w:rPr>
                  <w:rFonts w:ascii="Arial" w:cs="Arial" w:eastAsia="Arial" w:hAnsi="Arial"/>
                  <w:sz w:val="18"/>
                  <w:szCs w:val="18"/>
                  <w:color w:val="0000EE"/>
                  <w:w w:val="90"/>
                </w:rPr>
                <w:t>Changes in and Disagreements with Accountants on Accounting and Financial Disclosure</w:t>
              </w:r>
            </w:hyperlink>
          </w:p>
        </w:tc>
        <w:tc>
          <w:tcPr>
            <w:tcW w:w="3080" w:type="dxa"/>
            <w:vAlign w:val="bottom"/>
            <w:gridSpan w:val="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9560" w:type="dxa"/>
            <w:vAlign w:val="bottom"/>
            <w:gridSpan w:val="24"/>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Controls and Procedures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9"/>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Other Information</w:t>
              </w:r>
            </w:hyperlink>
          </w:p>
        </w:tc>
        <w:tc>
          <w:tcPr>
            <w:tcW w:w="7800" w:type="dxa"/>
            <w:vAlign w:val="bottom"/>
            <w:gridSpan w:val="15"/>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318"/>
        </w:trPr>
        <w:tc>
          <w:tcPr>
            <w:tcW w:w="920" w:type="dxa"/>
            <w:vAlign w:val="bottom"/>
            <w:gridSpan w:val="5"/>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PART III</w:t>
              </w:r>
            </w:hyperlink>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9560" w:type="dxa"/>
            <w:vAlign w:val="bottom"/>
            <w:gridSpan w:val="24"/>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Directors, Executive Officers and Corporate Governance</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127">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6"/>
          </w:tcPr>
          <w:p>
            <w:pPr>
              <w:spacing w:after="0"/>
              <w:rPr>
                <w:sz w:val="24"/>
                <w:szCs w:val="24"/>
                <w:color w:val="auto"/>
              </w:rPr>
            </w:pPr>
          </w:p>
        </w:tc>
        <w:tc>
          <w:tcPr>
            <w:tcW w:w="5480" w:type="dxa"/>
            <w:vAlign w:val="bottom"/>
            <w:gridSpan w:val="8"/>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582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127">
              <w:r>
                <w:rPr>
                  <w:rFonts w:ascii="Arial" w:cs="Arial" w:eastAsia="Arial" w:hAnsi="Arial"/>
                  <w:sz w:val="18"/>
                  <w:szCs w:val="18"/>
                  <w:color w:val="0000EE"/>
                  <w:w w:val="91"/>
                </w:rPr>
                <w:t>Security Ownership of Certain Beneficial Owners and Management and Related</w:t>
              </w:r>
            </w:hyperlink>
          </w:p>
        </w:tc>
        <w:tc>
          <w:tcPr>
            <w:tcW w:w="3740" w:type="dxa"/>
            <w:vAlign w:val="bottom"/>
            <w:gridSpan w:val="5"/>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Stockholder Matters</w:t>
              </w:r>
            </w:hyperlink>
          </w:p>
        </w:tc>
        <w:tc>
          <w:tcPr>
            <w:tcW w:w="7860" w:type="dxa"/>
            <w:vAlign w:val="bottom"/>
            <w:gridSpan w:val="16"/>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9560" w:type="dxa"/>
            <w:vAlign w:val="bottom"/>
            <w:gridSpan w:val="24"/>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Certain Relationships and Related Transactions, and Director Independence</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8"/>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Principal Accounting Fees and Services</w:t>
              </w:r>
            </w:hyperlink>
          </w:p>
        </w:tc>
        <w:tc>
          <w:tcPr>
            <w:tcW w:w="4120" w:type="dxa"/>
            <w:vAlign w:val="bottom"/>
            <w:gridSpan w:val="6"/>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318"/>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29">
              <w:r>
                <w:rPr>
                  <w:rFonts w:ascii="Arial" w:cs="Arial" w:eastAsia="Arial" w:hAnsi="Arial"/>
                  <w:sz w:val="18"/>
                  <w:szCs w:val="18"/>
                  <w:color w:val="0000EE"/>
                  <w:w w:val="94"/>
                </w:rPr>
                <w:t>PART IV</w:t>
              </w:r>
            </w:hyperlink>
          </w:p>
        </w:tc>
        <w:tc>
          <w:tcPr>
            <w:tcW w:w="2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29">
              <w:r>
                <w:rPr>
                  <w:rFonts w:ascii="Arial" w:cs="Arial" w:eastAsia="Arial" w:hAnsi="Arial"/>
                  <w:sz w:val="18"/>
                  <w:szCs w:val="18"/>
                  <w:color w:val="0000EE"/>
                  <w:w w:val="89"/>
                </w:rPr>
                <w:t>Exhibits and Financial Statement Schedules</w:t>
              </w:r>
            </w:hyperlink>
          </w:p>
        </w:tc>
        <w:tc>
          <w:tcPr>
            <w:tcW w:w="6400" w:type="dxa"/>
            <w:vAlign w:val="bottom"/>
            <w:gridSpan w:val="10"/>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31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Index to Financial Statements and Financial Statement Schedule Items 15(a)(1) and 15(a)(2)</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920" w:type="dxa"/>
            <w:vAlign w:val="bottom"/>
            <w:gridSpan w:val="5"/>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60" w:type="dxa"/>
            <w:vAlign w:val="bottom"/>
            <w:gridSpan w:val="21"/>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80" w:type="dxa"/>
            <w:vAlign w:val="bottom"/>
            <w:gridSpan w:val="29"/>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SIGNATURES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Ltd’s primary operating asset is its indirect ownership as of December 31, 2018 of all of the common membership interests in Lazard Group. Lazard Ltd controls Lazard Group through two of its indirect wholly-owned subsidiaries that are co-managing members of Lazard Group.</w:t>
      </w:r>
    </w:p>
    <w:p>
      <w:pPr>
        <w:spacing w:after="0" w:line="193"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 Lazard Group has also granted profits interest participation rights to certain of its managing directors. See Note 15 of Notes to Consolidated Financial Statements.</w:t>
      </w:r>
    </w:p>
    <w:p>
      <w:pPr>
        <w:spacing w:after="0" w:line="29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2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Lines</w:t>
      </w:r>
    </w:p>
    <w:p>
      <w:pPr>
        <w:spacing w:after="0" w:line="121"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We focus primarily on two business segments: Financial Advisory and Asset Management. We believe that the mix of our activities across business segments, geographic regions, industries and investment strategies helps to diversify and stabilize our revenue stream.</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Our Financial Advisory business offers corporate, partnership, institutional, government, sovereign and individual clients across the globe a wide array of financial advisory services regarding mergers and acquisitions (“M&amp;A”) and other strategic matters, restructurings, capital structure, shareholder advisory, capital raising and various other financial matters. We focus on solving our clients’ most complex issues, providing advice to key decision-makers, senior management, boards of directors and business owners, as well as governments and governmental agencies, in transactions that typically are of significant strategic and financial importance to them.</w:t>
      </w:r>
    </w:p>
    <w:p>
      <w:pPr>
        <w:spacing w:after="0" w:line="188" w:lineRule="exact"/>
        <w:rPr>
          <w:sz w:val="20"/>
          <w:szCs w:val="20"/>
          <w:color w:val="auto"/>
        </w:rPr>
      </w:pPr>
    </w:p>
    <w:p>
      <w:pPr>
        <w:ind w:right="320" w:firstLine="598"/>
        <w:spacing w:after="0" w:line="279" w:lineRule="auto"/>
        <w:rPr>
          <w:sz w:val="20"/>
          <w:szCs w:val="20"/>
          <w:color w:val="auto"/>
        </w:rPr>
      </w:pPr>
      <w:r>
        <w:rPr>
          <w:rFonts w:ascii="Arial" w:cs="Arial" w:eastAsia="Arial" w:hAnsi="Arial"/>
          <w:sz w:val="17"/>
          <w:szCs w:val="17"/>
          <w:color w:val="auto"/>
        </w:rPr>
        <w:t>We continue to build our Financial Advisory business by fostering long-term, senior level relationships with existing and new clients as their independent advisor on strategic transactions and other matters. We seek to build and sustain long-term relationships with our clients rather than focusing simply on individual transactions, a practice that we believe enhances our access to senior management of major corporations and institutions around the world. We emphasize providing clients with senior level focus during all phases of transaction analysis and execution.</w:t>
      </w:r>
    </w:p>
    <w:p>
      <w:pPr>
        <w:spacing w:after="0" w:line="171"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merger of a client, a change in a client’s senior management, competition from other investment banks and other causes.</w:t>
      </w:r>
    </w:p>
    <w:p>
      <w:pPr>
        <w:spacing w:after="0" w:line="225" w:lineRule="exact"/>
        <w:rPr>
          <w:sz w:val="20"/>
          <w:szCs w:val="20"/>
          <w:color w:val="auto"/>
        </w:rPr>
      </w:pPr>
    </w:p>
    <w:p>
      <w:pPr>
        <w:ind w:right="100" w:firstLine="598"/>
        <w:spacing w:after="0" w:line="312" w:lineRule="auto"/>
        <w:rPr>
          <w:sz w:val="20"/>
          <w:szCs w:val="20"/>
          <w:color w:val="auto"/>
        </w:rPr>
      </w:pPr>
      <w:r>
        <w:rPr>
          <w:rFonts w:ascii="Arial" w:cs="Arial" w:eastAsia="Arial" w:hAnsi="Arial"/>
          <w:sz w:val="16"/>
          <w:szCs w:val="16"/>
          <w:color w:val="auto"/>
        </w:rPr>
        <w:t>We earned $1 million or more from 287 clients, 304 clients and 276 clients for the years ended December 31, 2018, 2017 and 2016, respectively. For the years ended December 31, 2018, 2017 and 2016, the ten largest fee paying clients constituted approximately 19%, 22% and 23%, respectively, of our Financial Advisory segment net revenue, with no client individually contributing more than 10% of segment net revenue during any of these years.</w:t>
      </w:r>
    </w:p>
    <w:p>
      <w:pPr>
        <w:spacing w:after="0" w:line="14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believe that we have been pioneers in offering financial advisory services on an international basis, with the establishment of our New York, Paris and London offices dating back to the nineteenth century. We maintain a major local presence in the United States (the “U.S.”), the United Kingdom (the “U.K.”) and France, including a network of regional branch offices in the U.S., as well as a presence in Argentina, Australia, Belgium, Brazil, Canada, Chile, China, Colombia, Germany, Hong Kong, India, Italy, Japan, Mexico, the Netherlands, Panama, Peru, Singapore, Spain, Sweden, Switzerland and the Middle East region.</w:t>
      </w:r>
    </w:p>
    <w:p>
      <w:pPr>
        <w:spacing w:after="0" w:line="188"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In addition to seeking business centered in the regions described above, we historically have focused in particular on advising clients with respect to cross-border transactions. We believe that we are particularly well known for our legacy of offering broad teams of professionals who are indigenous to their respective regions, who have long-term client relationships, capabilities and know-how in their respective regions, and who will coordinate with our professionals who have global sector expertise. We also believe that this positioning affords us insight around the globe into key industry, economic, governmental and regulatory issues and developments, which we can bring to bear on behalf of our clients.</w:t>
      </w:r>
    </w:p>
    <w:p>
      <w:pPr>
        <w:spacing w:after="0" w:line="173" w:lineRule="exact"/>
        <w:rPr>
          <w:sz w:val="20"/>
          <w:szCs w:val="20"/>
          <w:color w:val="auto"/>
        </w:rPr>
      </w:pPr>
    </w:p>
    <w:p>
      <w:pPr>
        <w:jc w:val="both"/>
        <w:ind w:right="60" w:firstLine="598"/>
        <w:spacing w:after="0" w:line="286" w:lineRule="auto"/>
        <w:rPr>
          <w:sz w:val="20"/>
          <w:szCs w:val="20"/>
          <w:color w:val="auto"/>
        </w:rPr>
      </w:pPr>
      <w:r>
        <w:rPr>
          <w:rFonts w:ascii="Arial" w:cs="Arial" w:eastAsia="Arial" w:hAnsi="Arial"/>
          <w:sz w:val="17"/>
          <w:szCs w:val="17"/>
          <w:color w:val="auto"/>
        </w:rPr>
        <w:t>Our Financial Advisory business has made certain business acquisitions and entered into other strategic business relationships. For example, in 2016, Lazard Ltd expanded its North American Financial Advisory business through the acquisition of an independent financial advisory firm based in Canada, and we acquired the portion of MBA Lazard that we did not previously own, thereby fully integrating our Latin American operations.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Services Offered</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advise clients on a wide range of strategic and financial issues. When we advise clients on the potential acquisition of another company, business or certain assets, our services include evaluating potential acquisition targets, providing valuation analyses, evaluating and proposing financial and structural alternatives, and rendering, if appropriate, fairness opinions. We also may advise as to the timing,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188"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When we advise clients that are contemplating the sale of certain businesses, assets or an entire company, our services include advising on the sale process for the situation, providing valuation analyses, assisting in preparing an information memorandum or other appropriate sale materials and rendering, if appropriate, fairness opinions. We also identify and contact selected qualified acquirors and assist in negotiating and closing the proposed sale. As appropriate, we also advise our clients regarding potential financial and strategic alternatives to a sale, including recapitalizations, spin-offs, carve-outs and split-offs. We frequently provide advice with respect to the structure, timing and pricing of these alternatives.</w:t>
      </w:r>
    </w:p>
    <w:p>
      <w:pPr>
        <w:spacing w:after="0" w:line="173"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For companies in financial distress, our services may include reviewing and analyzing the business, operations, properties, financial condition and prospects of the company, evaluating debt capacity, assisting in the determination of an appropriate capital structure and evaluating financial and strategic alternatives.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certain aspects of the implementation of such a plan, including advising and assisting in structuring and effecting the financial aspects of a sale or recapitalization, structuring new securities, exchange offers, other consideration or other inducements to be offered or issued, as well as assisting and participating in negotiations with affected entities or groups.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ind w:right="80" w:firstLine="598"/>
        <w:spacing w:after="0" w:line="259" w:lineRule="auto"/>
        <w:rPr>
          <w:sz w:val="20"/>
          <w:szCs w:val="20"/>
          <w:color w:val="auto"/>
        </w:rPr>
      </w:pPr>
      <w:r>
        <w:rPr>
          <w:rFonts w:ascii="Arial" w:cs="Arial" w:eastAsia="Arial" w:hAnsi="Arial"/>
          <w:sz w:val="18"/>
          <w:szCs w:val="18"/>
          <w:color w:val="auto"/>
        </w:rPr>
        <w:t>When we assist clients in connection with shareholder advisory and corporate preparedness matters, our services may include reviewing and analyzing the business and financial condition of the company, providing insights on the company’s shareholders, assisting in the evaluation of corporate governance matters, and advising on defense measures and strategic alternatives potentially available to the company. Our advice may relate to a broad range of matters including M&amp;A, capital markets, corporate governance and data analytics.</w:t>
      </w:r>
    </w:p>
    <w:p>
      <w:pPr>
        <w:spacing w:after="0" w:line="18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When we assist clients in connection with their capital structure, we typically review and analyze structural alternatives, assist in long-term capital planning and advise and assist with respect to rating agency discussions and relationships, among other things.</w:t>
      </w:r>
    </w:p>
    <w:p>
      <w:pPr>
        <w:spacing w:after="0" w:line="170"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When we assist clients in raising private or public market financing or capital, our services include assisting clients in connection with securing, refinancing or restructuring bank loans or other debt, originating and executing, or participating in, public underwritings and private placements of securities, and originating and executing private placements of partnership and similar interests in alternative investment funds such as leveraged buyout, mezzanine or real estate focused funds.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are at the forefront of providing independent advice to governments and governmental agencies in connection with economic developments.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Lazard’s Sovereign Advisory Group has advised a number of countries and institutions with respect to sovereign debt and other financial matters.</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Staffing</w:t>
      </w:r>
    </w:p>
    <w:p>
      <w:pPr>
        <w:spacing w:after="0" w:line="117"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We staff each of our assignments with a team of quality professionals who have appropriate product, industry and geographic expertise. We pride ourselves on, and we believe we differentiate ourselves from our competitors by, being able to offer a high level of attention from senior personnel to our clients and organizing ourselves in such a way that managing directors who are responsible for securing and maintaining client relationships also actively participate in providing related advice and services. Our managing directors have significant experience, and many of them are able to use this experience to advise on M&amp;A, financings, restructurings, capital structure, shareholder advisory and other transactions or financial matters, depending on our clients’ needs. Many of our managing directors and senior employees come from diverse backgrounds, such as senior leadership positions in corporations, government, law and strategic consulting, which we believe enhances our ability to offer sophisticated advice and customized solutions to our clients. As of December 31, 2018, our Financial Advisory segment had 163 managing directors and 1,300 other professionals and support staff.</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Industries Served</w:t>
      </w:r>
    </w:p>
    <w:p>
      <w:pPr>
        <w:spacing w:after="0" w:line="117" w:lineRule="exact"/>
        <w:rPr>
          <w:sz w:val="20"/>
          <w:szCs w:val="20"/>
          <w:color w:val="auto"/>
        </w:rPr>
      </w:pPr>
    </w:p>
    <w:p>
      <w:pPr>
        <w:ind w:right="740" w:firstLine="598"/>
        <w:spacing w:after="0" w:line="342" w:lineRule="auto"/>
        <w:rPr>
          <w:sz w:val="20"/>
          <w:szCs w:val="20"/>
          <w:color w:val="auto"/>
        </w:rPr>
      </w:pPr>
      <w:r>
        <w:rPr>
          <w:rFonts w:ascii="Arial" w:cs="Arial" w:eastAsia="Arial" w:hAnsi="Arial"/>
          <w:sz w:val="16"/>
          <w:szCs w:val="16"/>
          <w:color w:val="auto"/>
        </w:rPr>
        <w:t>We seek to offer our services across most major industry groups, including, in many cases, sub-industry specialties. Managing directors and professionals in our Mergers and Acquisitions practice are organized to provide advice in the following major industry practice areas:</w:t>
      </w:r>
    </w:p>
    <w:p>
      <w:pPr>
        <w:spacing w:after="0" w:line="16" w:lineRule="exact"/>
        <w:rPr>
          <w:sz w:val="20"/>
          <w:szCs w:val="20"/>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 care and life sciences;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and energy/infrastructure;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225"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scope and the quality of the advice that we can offer, which improves our ability to market our capabilities to clients.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right="220" w:firstLine="598"/>
        <w:spacing w:after="0" w:line="277" w:lineRule="auto"/>
        <w:rPr>
          <w:sz w:val="20"/>
          <w:szCs w:val="20"/>
          <w:color w:val="auto"/>
        </w:rPr>
      </w:pPr>
      <w:r>
        <w:rPr>
          <w:rFonts w:ascii="Arial" w:cs="Arial" w:eastAsia="Arial" w:hAnsi="Arial"/>
          <w:sz w:val="18"/>
          <w:szCs w:val="18"/>
          <w:color w:val="auto"/>
        </w:rPr>
        <w:t>In addition to our Mergers and Acquisitions and Restructuring practices, we also maintain specialties in the following distinct practice areas within our Financial Advisory business:</w:t>
      </w:r>
    </w:p>
    <w:p>
      <w:pPr>
        <w:spacing w:after="0" w:line="62" w:lineRule="exact"/>
        <w:rPr>
          <w:sz w:val="20"/>
          <w:szCs w:val="20"/>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and sovereign advisory;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structure and debt advisory;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shareholder and corporate preparedness advisory;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fund-raising for alternative investment funds; and</w:t>
      </w:r>
    </w:p>
    <w:p>
      <w:pPr>
        <w:spacing w:after="0" w:line="117"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finance and other services, including private placements, underwritten offerings related to our Financial Advisory business and transactions involving the exchange or issuance of securities.</w:t>
      </w:r>
    </w:p>
    <w:p>
      <w:pPr>
        <w:spacing w:after="0" w:line="170"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focus in our Financial Advisory business is on:</w:t>
      </w:r>
    </w:p>
    <w:p>
      <w:pPr>
        <w:spacing w:after="0" w:line="117" w:lineRule="exact"/>
        <w:rPr>
          <w:sz w:val="20"/>
          <w:szCs w:val="20"/>
          <w:color w:val="auto"/>
        </w:rPr>
      </w:pPr>
    </w:p>
    <w:p>
      <w:pPr>
        <w:ind w:left="1200" w:hanging="598"/>
        <w:spacing w:after="0"/>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investing in our intellectual capital through senior professionals who we believe have strong client relationships and industry expertise;</w:t>
      </w:r>
    </w:p>
    <w:p>
      <w:pPr>
        <w:spacing w:after="0" w:line="128" w:lineRule="exact"/>
        <w:rPr>
          <w:rFonts w:ascii="Arial" w:cs="Arial" w:eastAsia="Arial" w:hAnsi="Arial"/>
          <w:sz w:val="17"/>
          <w:szCs w:val="17"/>
          <w:color w:val="auto"/>
        </w:rPr>
      </w:pPr>
    </w:p>
    <w:p>
      <w:pPr>
        <w:ind w:left="1200" w:right="76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our contacts with existing clients to further enhance our long-term relationships and our efforts in developing new client relationships;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new client relationships;</w:t>
      </w:r>
    </w:p>
    <w:p>
      <w:pPr>
        <w:spacing w:after="0" w:line="117"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the breadth and depth of our industry expertise and selectively adding or reinforcing practice areas, such as our Capital Advisory, Shareholder Advisory and Sovereign Advisory groups;</w:t>
      </w:r>
    </w:p>
    <w:p>
      <w:pPr>
        <w:spacing w:after="0" w:line="62" w:lineRule="exact"/>
        <w:rPr>
          <w:rFonts w:ascii="Arial" w:cs="Arial" w:eastAsia="Arial" w:hAnsi="Arial"/>
          <w:sz w:val="18"/>
          <w:szCs w:val="18"/>
          <w:color w:val="auto"/>
        </w:rPr>
      </w:pPr>
    </w:p>
    <w:p>
      <w:pPr>
        <w:ind w:left="1200" w:right="76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coordinating our industry specialty activities on a global basis and increasing the integration of our industry experts in Mergers and Acquisitions with our other professionals;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selectively bolstering our existing presence in certain local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broadening our geographic presence by adding new offices;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investing in our technology infrastructure and data science capabilities to enhance our business;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deploying our intellectual capital, strong client relationships and other assets to generate new revenue streams.</w:t>
      </w:r>
    </w:p>
    <w:p>
      <w:pPr>
        <w:spacing w:after="0" w:line="22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In addition to the investments made as part of this strategy, we believe that our Financial Advisory business may benefit from external market factors, including:</w:t>
      </w:r>
    </w:p>
    <w:p>
      <w:pPr>
        <w:spacing w:after="0" w:line="62" w:lineRule="exact"/>
        <w:rPr>
          <w:sz w:val="20"/>
          <w:szCs w:val="20"/>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independent, sophisticated financial advice;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recapitalization and related activities in developed and emerging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relatively low interest rates and high corporate cash balances;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favorable levels of cross-border M&amp;A and large capitalization M&amp;A, two of our areas of historical specialization;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M&amp;A activity that may result from tax, regulatory and similar reform in certain regions, including the U.S.</w:t>
      </w:r>
    </w:p>
    <w:p>
      <w:pPr>
        <w:spacing w:after="0" w:line="225"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Going forward, our strategic emphasis in our Financial Advisory business is to leverage the investments we have made to grow our business and drive our productivity. We continue to seek to opportunistically attract outstanding individuals to our business. We routinely reassess our strategic position and may in the future seek opportunities to further enhance our competitive position.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ind w:left="30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Our Asset Management business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 Our goal in our Asset Management business is to produce superior risk-adjusted investment returns and provide customized investment solutions for our clients through the active management of their portfolios. Our investment teams construct and manage portfolios using various techniques and investment philosophies, including traditional fundamental research and analysis and quantitative tools.</w:t>
      </w:r>
    </w:p>
    <w:p>
      <w:pPr>
        <w:spacing w:after="0" w:line="158"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Our top ten clients accounted for 26%, 25% and 21% of our total assets under management (“AUM”) for the years ended December 31, 2018, 2017 and 2016, respectively, with no client individually contributing more than 10% of our Asset Management segment net revenue during any of the respective years. Approximately 88% of our AUM as of December 31, 2018 was managed on behalf of institutional clients, including corporations, labor unions, public pension funds, insurance companies and banks, and through sub-advisory relationships, mutual fund sponsors, broker-dealers and registered advisors, and approximately 12% of our AUM was managed on behalf of individual client relationships, which are principally with family offices and high-net worth individuals.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charts below illustrate the mix of our AUM as of December 31, 2018, measured by broad product strategy and by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152400</wp:posOffset>
            </wp:positionV>
            <wp:extent cx="4725035" cy="132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2503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80" w:firstLine="598"/>
        <w:spacing w:after="0" w:line="259" w:lineRule="auto"/>
        <w:rPr>
          <w:sz w:val="20"/>
          <w:szCs w:val="20"/>
          <w:color w:val="auto"/>
        </w:rPr>
      </w:pPr>
      <w:r>
        <w:rPr>
          <w:rFonts w:ascii="Arial" w:cs="Arial" w:eastAsia="Arial" w:hAnsi="Arial"/>
          <w:sz w:val="18"/>
          <w:szCs w:val="18"/>
          <w:color w:val="auto"/>
        </w:rPr>
        <w:t>Our Asset Management business maintains offices in New York, Amsterdam, Bordeaux, Boston, Brussels, Chicago, Dubai, Dublin, Frankfurt, Geneva, Hamburg, Hong Kong, London, Lyon, Madrid, Melbourne, Milan, Montreal, Nantes, Paris, San Francisco, Seoul, Singapore, Sydney, Tokyo, Toronto and Zurich. These operations, with 102 managing directors and 1,014 other professionals and support staff as of December 31, 2018, provide our Asset Management business with both a global presence and a local identity.</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Primary distinguishing features of these operations include:</w:t>
      </w:r>
    </w:p>
    <w:p>
      <w:pPr>
        <w:spacing w:after="0" w:line="117" w:lineRule="exact"/>
        <w:rPr>
          <w:sz w:val="20"/>
          <w:szCs w:val="20"/>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global footprint with global research, global mandates and global clients;</w:t>
      </w:r>
    </w:p>
    <w:p>
      <w:pPr>
        <w:spacing w:after="0" w:line="117"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broad-based team of investment professionals, including focused, in-house investment analysts across all products and platforms, many of whom have substantial industry or sector specific expertise;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world-wide brand recognition and multi-channel distribution capabilities.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Our Investment Philosophy, Process and Research</w:t>
      </w:r>
    </w:p>
    <w:p>
      <w:pPr>
        <w:spacing w:after="0" w:line="225" w:lineRule="exact"/>
        <w:rPr>
          <w:sz w:val="20"/>
          <w:szCs w:val="20"/>
          <w:color w:val="auto"/>
        </w:rPr>
      </w:pPr>
    </w:p>
    <w:p>
      <w:pPr>
        <w:ind w:right="240" w:firstLine="549"/>
        <w:spacing w:after="0" w:line="277" w:lineRule="auto"/>
        <w:rPr>
          <w:sz w:val="20"/>
          <w:szCs w:val="20"/>
          <w:color w:val="auto"/>
        </w:rPr>
      </w:pPr>
      <w:r>
        <w:rPr>
          <w:rFonts w:ascii="Arial" w:cs="Arial" w:eastAsia="Arial" w:hAnsi="Arial"/>
          <w:sz w:val="18"/>
          <w:szCs w:val="18"/>
          <w:color w:val="auto"/>
        </w:rPr>
        <w:t>Our investment philosophy is generally based upon a fundamental security selection approach to investing. Across many of our products, we apply three key principles to investment portfolios:</w:t>
      </w:r>
    </w:p>
    <w:p>
      <w:pPr>
        <w:spacing w:after="0" w:line="62" w:lineRule="exact"/>
        <w:rPr>
          <w:sz w:val="20"/>
          <w:szCs w:val="20"/>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 securities, not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 a company’s financial position, outlook, opportunities and risks, together with its valuation;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 risk.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7" w:name="page8"/>
    <w:bookmarkEnd w:id="7"/>
    <w:p>
      <w:pPr>
        <w:ind w:right="1100" w:firstLine="598"/>
        <w:spacing w:after="0" w:line="277" w:lineRule="auto"/>
        <w:rPr>
          <w:sz w:val="20"/>
          <w:szCs w:val="20"/>
          <w:color w:val="auto"/>
        </w:rPr>
      </w:pPr>
      <w:r>
        <w:rPr>
          <w:rFonts w:ascii="Arial" w:cs="Arial" w:eastAsia="Arial" w:hAnsi="Arial"/>
          <w:sz w:val="18"/>
          <w:szCs w:val="18"/>
          <w:color w:val="auto"/>
        </w:rPr>
        <w:t>In searching for investment opportunities, many of our investment professionals follow an investment process that incorporates several interconnected components that may include:</w:t>
      </w:r>
    </w:p>
    <w:p>
      <w:pPr>
        <w:spacing w:after="0" w:line="62" w:lineRule="exact"/>
        <w:rPr>
          <w:sz w:val="20"/>
          <w:szCs w:val="20"/>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fundamental analysis;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quantitative analysis;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accounting analysis;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security selection and portfolio construction;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management;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social and governance factors.</w:t>
      </w:r>
    </w:p>
    <w:p>
      <w:pPr>
        <w:spacing w:after="0" w:line="225" w:lineRule="exact"/>
        <w:rPr>
          <w:sz w:val="20"/>
          <w:szCs w:val="20"/>
          <w:color w:val="auto"/>
        </w:rPr>
      </w:pPr>
    </w:p>
    <w:p>
      <w:pPr>
        <w:ind w:right="100" w:firstLine="598"/>
        <w:spacing w:after="0" w:line="342" w:lineRule="auto"/>
        <w:rPr>
          <w:sz w:val="20"/>
          <w:szCs w:val="20"/>
          <w:color w:val="auto"/>
        </w:rPr>
      </w:pPr>
      <w:r>
        <w:rPr>
          <w:rFonts w:ascii="Arial" w:cs="Arial" w:eastAsia="Arial" w:hAnsi="Arial"/>
          <w:sz w:val="16"/>
          <w:szCs w:val="16"/>
          <w:color w:val="auto"/>
        </w:rPr>
        <w:t>In our Asset Management business, we conduct investment research on a global basis to develop market, industry and company specific insights and evaluate investment opportunities. Many of our global equity analysts, located in our worldwide offices, are organized around global industry sectors.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Investment Strategies</w:t>
      </w:r>
    </w:p>
    <w:p>
      <w:pPr>
        <w:spacing w:after="0" w:line="117" w:lineRule="exact"/>
        <w:rPr>
          <w:sz w:val="20"/>
          <w:szCs w:val="20"/>
          <w:color w:val="auto"/>
        </w:rPr>
      </w:pPr>
    </w:p>
    <w:p>
      <w:pPr>
        <w:ind w:right="300" w:firstLine="549"/>
        <w:spacing w:after="0" w:line="308" w:lineRule="auto"/>
        <w:rPr>
          <w:sz w:val="20"/>
          <w:szCs w:val="20"/>
          <w:color w:val="auto"/>
        </w:rPr>
      </w:pPr>
      <w:r>
        <w:rPr>
          <w:rFonts w:ascii="Arial" w:cs="Arial" w:eastAsia="Arial" w:hAnsi="Arial"/>
          <w:sz w:val="17"/>
          <w:szCs w:val="17"/>
          <w:color w:val="auto"/>
        </w:rPr>
        <w:t>Our Asset Management business provides equity, fixed income, cash management and alternative investment strategies to our clients, paying close attention to our clients’ varying and expanding investment needs. We offer the following product platform of investment strategies: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80" w:type="dxa"/>
            <w:vAlign w:val="bottom"/>
            <w:vMerge w:val="restart"/>
          </w:tcPr>
          <w:p>
            <w:pPr>
              <w:spacing w:after="0"/>
              <w:rPr>
                <w:sz w:val="20"/>
                <w:szCs w:val="20"/>
                <w:color w:val="auto"/>
              </w:rPr>
            </w:pPr>
            <w:r>
              <w:rPr>
                <w:rFonts w:ascii="Arial" w:cs="Arial" w:eastAsia="Arial" w:hAnsi="Arial"/>
                <w:sz w:val="16"/>
                <w:szCs w:val="16"/>
                <w:b w:val="1"/>
                <w:bCs w:val="1"/>
                <w:color w:val="auto"/>
              </w:rPr>
              <w:t>Equity</w:t>
            </w:r>
          </w:p>
        </w:tc>
        <w:tc>
          <w:tcPr>
            <w:tcW w:w="2420" w:type="dxa"/>
            <w:vAlign w:val="bottom"/>
            <w:gridSpan w:val="2"/>
          </w:tcPr>
          <w:p>
            <w:pPr>
              <w:ind w:left="980"/>
              <w:spacing w:after="0"/>
              <w:rPr>
                <w:sz w:val="20"/>
                <w:szCs w:val="20"/>
                <w:color w:val="auto"/>
              </w:rPr>
            </w:pPr>
            <w:r>
              <w:rPr>
                <w:rFonts w:ascii="Arial" w:cs="Arial" w:eastAsia="Arial" w:hAnsi="Arial"/>
                <w:sz w:val="16"/>
                <w:szCs w:val="16"/>
                <w:b w:val="1"/>
                <w:bCs w:val="1"/>
                <w:color w:val="auto"/>
              </w:rPr>
              <w:t>Global</w:t>
            </w:r>
          </w:p>
        </w:tc>
        <w:tc>
          <w:tcPr>
            <w:tcW w:w="2420" w:type="dxa"/>
            <w:vAlign w:val="bottom"/>
            <w:gridSpan w:val="2"/>
          </w:tcPr>
          <w:p>
            <w:pPr>
              <w:ind w:left="680"/>
              <w:spacing w:after="0"/>
              <w:rPr>
                <w:sz w:val="20"/>
                <w:szCs w:val="20"/>
                <w:color w:val="auto"/>
              </w:rPr>
            </w:pPr>
            <w:r>
              <w:rPr>
                <w:rFonts w:ascii="Arial" w:cs="Arial" w:eastAsia="Arial" w:hAnsi="Arial"/>
                <w:sz w:val="16"/>
                <w:szCs w:val="16"/>
                <w:b w:val="1"/>
                <w:bCs w:val="1"/>
                <w:color w:val="auto"/>
              </w:rPr>
              <w:t>Multi-Regional</w:t>
            </w:r>
          </w:p>
        </w:tc>
        <w:tc>
          <w:tcPr>
            <w:tcW w:w="2440" w:type="dxa"/>
            <w:vAlign w:val="bottom"/>
            <w:gridSpan w:val="2"/>
          </w:tcPr>
          <w:p>
            <w:pPr>
              <w:ind w:left="1020"/>
              <w:spacing w:after="0"/>
              <w:rPr>
                <w:sz w:val="20"/>
                <w:szCs w:val="20"/>
                <w:color w:val="auto"/>
              </w:rPr>
            </w:pPr>
            <w:r>
              <w:rPr>
                <w:rFonts w:ascii="Arial" w:cs="Arial" w:eastAsia="Arial" w:hAnsi="Arial"/>
                <w:sz w:val="16"/>
                <w:szCs w:val="16"/>
                <w:b w:val="1"/>
                <w:bCs w:val="1"/>
                <w:color w:val="auto"/>
              </w:rPr>
              <w:t>Local</w:t>
            </w:r>
          </w:p>
        </w:tc>
        <w:tc>
          <w:tcPr>
            <w:tcW w:w="2260" w:type="dxa"/>
            <w:vAlign w:val="bottom"/>
          </w:tcPr>
          <w:p>
            <w:pPr>
              <w:ind w:left="540"/>
              <w:spacing w:after="0"/>
              <w:rPr>
                <w:sz w:val="20"/>
                <w:szCs w:val="20"/>
                <w:color w:val="auto"/>
              </w:rPr>
            </w:pPr>
            <w:r>
              <w:rPr>
                <w:rFonts w:ascii="Arial" w:cs="Arial" w:eastAsia="Arial" w:hAnsi="Arial"/>
                <w:sz w:val="16"/>
                <w:szCs w:val="16"/>
                <w:b w:val="1"/>
                <w:bCs w:val="1"/>
                <w:color w:val="auto"/>
              </w:rPr>
              <w:t>Emerging Markets</w:t>
            </w:r>
          </w:p>
        </w:tc>
        <w:tc>
          <w:tcPr>
            <w:tcW w:w="0" w:type="dxa"/>
            <w:vAlign w:val="bottom"/>
          </w:tcPr>
          <w:p>
            <w:pPr>
              <w:spacing w:after="0"/>
              <w:rPr>
                <w:sz w:val="1"/>
                <w:szCs w:val="1"/>
                <w:color w:val="auto"/>
              </w:rPr>
            </w:pPr>
          </w:p>
        </w:tc>
      </w:tr>
      <w:tr>
        <w:trPr>
          <w:trHeight w:val="189"/>
        </w:trPr>
        <w:tc>
          <w:tcPr>
            <w:tcW w:w="1880" w:type="dxa"/>
            <w:vAlign w:val="bottom"/>
            <w:vMerge w:val="continue"/>
          </w:tcPr>
          <w:p>
            <w:pPr>
              <w:spacing w:after="0"/>
              <w:rPr>
                <w:sz w:val="16"/>
                <w:szCs w:val="16"/>
                <w:color w:val="auto"/>
              </w:rPr>
            </w:pPr>
          </w:p>
        </w:tc>
        <w:tc>
          <w:tcPr>
            <w:tcW w:w="22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140" w:type="dxa"/>
            <w:vAlign w:val="bottom"/>
          </w:tcPr>
          <w:p>
            <w:pPr>
              <w:spacing w:after="0"/>
              <w:rPr>
                <w:sz w:val="16"/>
                <w:szCs w:val="16"/>
                <w:color w:val="auto"/>
              </w:rPr>
            </w:pPr>
          </w:p>
        </w:tc>
        <w:tc>
          <w:tcPr>
            <w:tcW w:w="22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Pan-European</w:t>
            </w:r>
          </w:p>
        </w:tc>
        <w:tc>
          <w:tcPr>
            <w:tcW w:w="140" w:type="dxa"/>
            <w:vAlign w:val="bottom"/>
          </w:tcPr>
          <w:p>
            <w:pPr>
              <w:spacing w:after="0"/>
              <w:rPr>
                <w:sz w:val="16"/>
                <w:szCs w:val="16"/>
                <w:color w:val="auto"/>
              </w:rPr>
            </w:pPr>
          </w:p>
        </w:tc>
        <w:tc>
          <w:tcPr>
            <w:tcW w:w="22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U.S.</w:t>
            </w:r>
          </w:p>
        </w:tc>
        <w:tc>
          <w:tcPr>
            <w:tcW w:w="160" w:type="dxa"/>
            <w:vAlign w:val="bottom"/>
          </w:tcPr>
          <w:p>
            <w:pPr>
              <w:spacing w:after="0"/>
              <w:rPr>
                <w:sz w:val="16"/>
                <w:szCs w:val="16"/>
                <w:color w:val="auto"/>
              </w:rPr>
            </w:pPr>
          </w:p>
        </w:tc>
        <w:tc>
          <w:tcPr>
            <w:tcW w:w="22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Large Capitalization</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Mid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Small Capitalization</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Thematic</w:t>
            </w: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Multi-Capitalization  Value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Small/Mid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Quantitative</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Convertibles</w:t>
            </w: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Multi Strategies</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Listed Infrastructure</w:t>
            </w: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Multi-Capitalization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Managed Volatility</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Real Estate</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Trend</w:t>
            </w:r>
          </w:p>
        </w:tc>
        <w:tc>
          <w:tcPr>
            <w:tcW w:w="242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Eurozone</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Latin America</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Real Estate</w:t>
            </w: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Other</w:t>
            </w:r>
          </w:p>
        </w:tc>
        <w:tc>
          <w:tcPr>
            <w:tcW w:w="2260" w:type="dxa"/>
            <w:vAlign w:val="bottom"/>
          </w:tcPr>
          <w:p>
            <w:pPr>
              <w:ind w:left="100"/>
              <w:spacing w:after="0"/>
              <w:rPr>
                <w:sz w:val="20"/>
                <w:szCs w:val="20"/>
                <w:color w:val="auto"/>
              </w:rPr>
            </w:pPr>
            <w:r>
              <w:rPr>
                <w:rFonts w:ascii="Arial" w:cs="Arial" w:eastAsia="Arial" w:hAnsi="Arial"/>
                <w:sz w:val="16"/>
                <w:szCs w:val="16"/>
                <w:color w:val="auto"/>
              </w:rPr>
              <w:t>Latin America</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Multi Strategies</w:t>
            </w: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(Large Capitalization)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Managed Volatility</w:t>
            </w: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(Small Capitalization)</w:t>
            </w: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Middle East North Africa</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Real Assets</w:t>
            </w:r>
          </w:p>
        </w:tc>
        <w:tc>
          <w:tcPr>
            <w:tcW w:w="242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Continental European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Quantitative</w:t>
            </w:r>
          </w:p>
        </w:tc>
        <w:tc>
          <w:tcPr>
            <w:tcW w:w="2260" w:type="dxa"/>
            <w:vAlign w:val="bottom"/>
          </w:tcPr>
          <w:p>
            <w:pPr>
              <w:ind w:left="100"/>
              <w:spacing w:after="0"/>
              <w:rPr>
                <w:sz w:val="20"/>
                <w:szCs w:val="20"/>
                <w:color w:val="auto"/>
              </w:rPr>
            </w:pPr>
            <w:r>
              <w:rPr>
                <w:rFonts w:ascii="Arial" w:cs="Arial" w:eastAsia="Arial" w:hAnsi="Arial"/>
                <w:sz w:val="16"/>
                <w:szCs w:val="16"/>
                <w:color w:val="auto"/>
              </w:rPr>
              <w:t>Middle East North Africa</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Multi-Factor</w:t>
            </w: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Australia</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Multi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France (Large Capitalization)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Global Ex</w:t>
            </w: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Eurozone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France (Small Capitalization)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Global Ex-U.K.</w:t>
            </w: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Euro-Trend (Thematic)</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Japan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Global Ex-Japan</w:t>
            </w: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Korea</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Global Ex-Australia</w:t>
            </w:r>
          </w:p>
        </w:tc>
        <w:tc>
          <w:tcPr>
            <w:tcW w:w="242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Asian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Asia Ex-Japan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8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Europe, Australasia and Far</w:t>
            </w: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East</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Multi-Capitalization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3"/>
        </w:trPr>
        <w:tc>
          <w:tcPr>
            <w:tcW w:w="1920" w:type="dxa"/>
            <w:vAlign w:val="bottom"/>
            <w:vMerge w:val="restart"/>
          </w:tcPr>
          <w:p>
            <w:pPr>
              <w:spacing w:after="0"/>
              <w:rPr>
                <w:sz w:val="20"/>
                <w:szCs w:val="20"/>
                <w:color w:val="auto"/>
              </w:rPr>
            </w:pPr>
            <w:r>
              <w:rPr>
                <w:rFonts w:ascii="Arial" w:cs="Arial" w:eastAsia="Arial" w:hAnsi="Arial"/>
                <w:sz w:val="16"/>
                <w:szCs w:val="16"/>
                <w:b w:val="1"/>
                <w:bCs w:val="1"/>
                <w:color w:val="auto"/>
              </w:rPr>
              <w:t>Fixed Income and Cash</w:t>
            </w:r>
          </w:p>
        </w:tc>
        <w:tc>
          <w:tcPr>
            <w:tcW w:w="2400" w:type="dxa"/>
            <w:vAlign w:val="bottom"/>
            <w:gridSpan w:val="2"/>
          </w:tcPr>
          <w:p>
            <w:pPr>
              <w:ind w:left="960"/>
              <w:spacing w:after="0"/>
              <w:rPr>
                <w:sz w:val="20"/>
                <w:szCs w:val="20"/>
                <w:color w:val="auto"/>
              </w:rPr>
            </w:pPr>
            <w:r>
              <w:rPr>
                <w:rFonts w:ascii="Arial" w:cs="Arial" w:eastAsia="Arial" w:hAnsi="Arial"/>
                <w:sz w:val="16"/>
                <w:szCs w:val="16"/>
                <w:b w:val="1"/>
                <w:bCs w:val="1"/>
                <w:color w:val="auto"/>
              </w:rPr>
              <w:t>Global</w:t>
            </w:r>
          </w:p>
        </w:tc>
        <w:tc>
          <w:tcPr>
            <w:tcW w:w="2420" w:type="dxa"/>
            <w:vAlign w:val="bottom"/>
            <w:gridSpan w:val="2"/>
          </w:tcPr>
          <w:p>
            <w:pPr>
              <w:ind w:left="680"/>
              <w:spacing w:after="0"/>
              <w:rPr>
                <w:sz w:val="20"/>
                <w:szCs w:val="20"/>
                <w:color w:val="auto"/>
              </w:rPr>
            </w:pPr>
            <w:r>
              <w:rPr>
                <w:rFonts w:ascii="Arial" w:cs="Arial" w:eastAsia="Arial" w:hAnsi="Arial"/>
                <w:sz w:val="16"/>
                <w:szCs w:val="16"/>
                <w:b w:val="1"/>
                <w:bCs w:val="1"/>
                <w:color w:val="auto"/>
              </w:rPr>
              <w:t>Multi-Regional</w:t>
            </w:r>
          </w:p>
        </w:tc>
        <w:tc>
          <w:tcPr>
            <w:tcW w:w="2420" w:type="dxa"/>
            <w:vAlign w:val="bottom"/>
            <w:gridSpan w:val="2"/>
          </w:tcPr>
          <w:p>
            <w:pPr>
              <w:ind w:left="1000"/>
              <w:spacing w:after="0"/>
              <w:rPr>
                <w:sz w:val="20"/>
                <w:szCs w:val="20"/>
                <w:color w:val="auto"/>
              </w:rPr>
            </w:pPr>
            <w:r>
              <w:rPr>
                <w:rFonts w:ascii="Arial" w:cs="Arial" w:eastAsia="Arial" w:hAnsi="Arial"/>
                <w:sz w:val="16"/>
                <w:szCs w:val="16"/>
                <w:b w:val="1"/>
                <w:bCs w:val="1"/>
                <w:color w:val="auto"/>
              </w:rPr>
              <w:t>Local</w:t>
            </w:r>
          </w:p>
        </w:tc>
        <w:tc>
          <w:tcPr>
            <w:tcW w:w="2260" w:type="dxa"/>
            <w:vAlign w:val="bottom"/>
          </w:tcPr>
          <w:p>
            <w:pPr>
              <w:ind w:left="540"/>
              <w:spacing w:after="0"/>
              <w:rPr>
                <w:sz w:val="20"/>
                <w:szCs w:val="20"/>
                <w:color w:val="auto"/>
              </w:rPr>
            </w:pPr>
            <w:r>
              <w:rPr>
                <w:rFonts w:ascii="Arial" w:cs="Arial" w:eastAsia="Arial" w:hAnsi="Arial"/>
                <w:sz w:val="16"/>
                <w:szCs w:val="16"/>
                <w:b w:val="1"/>
                <w:bCs w:val="1"/>
                <w:color w:val="auto"/>
              </w:rPr>
              <w:t>Emerging Markets</w:t>
            </w:r>
          </w:p>
        </w:tc>
        <w:tc>
          <w:tcPr>
            <w:tcW w:w="0" w:type="dxa"/>
            <w:vAlign w:val="bottom"/>
          </w:tcPr>
          <w:p>
            <w:pPr>
              <w:spacing w:after="0"/>
              <w:rPr>
                <w:sz w:val="1"/>
                <w:szCs w:val="1"/>
                <w:color w:val="auto"/>
              </w:rPr>
            </w:pPr>
          </w:p>
        </w:tc>
      </w:tr>
      <w:tr>
        <w:trPr>
          <w:trHeight w:val="172"/>
        </w:trPr>
        <w:tc>
          <w:tcPr>
            <w:tcW w:w="1920" w:type="dxa"/>
            <w:vAlign w:val="bottom"/>
            <w:vMerge w:val="continue"/>
          </w:tcPr>
          <w:p>
            <w:pPr>
              <w:spacing w:after="0"/>
              <w:rPr>
                <w:sz w:val="14"/>
                <w:szCs w:val="14"/>
                <w:color w:val="auto"/>
              </w:rPr>
            </w:pPr>
          </w:p>
        </w:tc>
        <w:tc>
          <w:tcPr>
            <w:tcW w:w="2260" w:type="dxa"/>
            <w:vAlign w:val="bottom"/>
            <w:tcBorders>
              <w:top w:val="single" w:sz="8" w:color="auto"/>
            </w:tcBorders>
          </w:tcPr>
          <w:p>
            <w:pPr>
              <w:ind w:left="100"/>
              <w:spacing w:after="0" w:line="172" w:lineRule="exact"/>
              <w:rPr>
                <w:sz w:val="20"/>
                <w:szCs w:val="20"/>
                <w:color w:val="auto"/>
              </w:rPr>
            </w:pPr>
            <w:r>
              <w:rPr>
                <w:rFonts w:ascii="Arial" w:cs="Arial" w:eastAsia="Arial" w:hAnsi="Arial"/>
                <w:sz w:val="16"/>
                <w:szCs w:val="16"/>
                <w:b w:val="1"/>
                <w:bCs w:val="1"/>
                <w:i w:val="1"/>
                <w:iCs w:val="1"/>
                <w:color w:val="auto"/>
              </w:rPr>
              <w:t>Global</w:t>
            </w:r>
          </w:p>
        </w:tc>
        <w:tc>
          <w:tcPr>
            <w:tcW w:w="140" w:type="dxa"/>
            <w:vAlign w:val="bottom"/>
          </w:tcPr>
          <w:p>
            <w:pPr>
              <w:spacing w:after="0"/>
              <w:rPr>
                <w:sz w:val="14"/>
                <w:szCs w:val="14"/>
                <w:color w:val="auto"/>
              </w:rPr>
            </w:pPr>
          </w:p>
        </w:tc>
        <w:tc>
          <w:tcPr>
            <w:tcW w:w="2280" w:type="dxa"/>
            <w:vAlign w:val="bottom"/>
            <w:tcBorders>
              <w:top w:val="single" w:sz="8" w:color="auto"/>
            </w:tcBorders>
          </w:tcPr>
          <w:p>
            <w:pPr>
              <w:ind w:left="120"/>
              <w:spacing w:after="0" w:line="172" w:lineRule="exact"/>
              <w:rPr>
                <w:sz w:val="20"/>
                <w:szCs w:val="20"/>
                <w:color w:val="auto"/>
              </w:rPr>
            </w:pPr>
            <w:r>
              <w:rPr>
                <w:rFonts w:ascii="Arial" w:cs="Arial" w:eastAsia="Arial" w:hAnsi="Arial"/>
                <w:sz w:val="16"/>
                <w:szCs w:val="16"/>
                <w:b w:val="1"/>
                <w:bCs w:val="1"/>
                <w:i w:val="1"/>
                <w:iCs w:val="1"/>
                <w:color w:val="auto"/>
              </w:rPr>
              <w:t>Pan-European</w:t>
            </w:r>
          </w:p>
        </w:tc>
        <w:tc>
          <w:tcPr>
            <w:tcW w:w="140" w:type="dxa"/>
            <w:vAlign w:val="bottom"/>
          </w:tcPr>
          <w:p>
            <w:pPr>
              <w:spacing w:after="0"/>
              <w:rPr>
                <w:sz w:val="14"/>
                <w:szCs w:val="14"/>
                <w:color w:val="auto"/>
              </w:rPr>
            </w:pPr>
          </w:p>
        </w:tc>
        <w:tc>
          <w:tcPr>
            <w:tcW w:w="2260" w:type="dxa"/>
            <w:vAlign w:val="bottom"/>
            <w:tcBorders>
              <w:top w:val="single" w:sz="8" w:color="auto"/>
            </w:tcBorders>
          </w:tcPr>
          <w:p>
            <w:pPr>
              <w:ind w:left="120"/>
              <w:spacing w:after="0" w:line="172" w:lineRule="exact"/>
              <w:rPr>
                <w:sz w:val="20"/>
                <w:szCs w:val="20"/>
                <w:color w:val="auto"/>
              </w:rPr>
            </w:pPr>
            <w:r>
              <w:rPr>
                <w:rFonts w:ascii="Arial" w:cs="Arial" w:eastAsia="Arial" w:hAnsi="Arial"/>
                <w:sz w:val="16"/>
                <w:szCs w:val="16"/>
                <w:b w:val="1"/>
                <w:bCs w:val="1"/>
                <w:i w:val="1"/>
                <w:iCs w:val="1"/>
                <w:color w:val="auto"/>
              </w:rPr>
              <w:t>U.S.</w:t>
            </w:r>
          </w:p>
        </w:tc>
        <w:tc>
          <w:tcPr>
            <w:tcW w:w="160" w:type="dxa"/>
            <w:vAlign w:val="bottom"/>
          </w:tcPr>
          <w:p>
            <w:pPr>
              <w:spacing w:after="0"/>
              <w:rPr>
                <w:sz w:val="14"/>
                <w:szCs w:val="14"/>
                <w:color w:val="auto"/>
              </w:rPr>
            </w:pPr>
          </w:p>
        </w:tc>
        <w:tc>
          <w:tcPr>
            <w:tcW w:w="2260" w:type="dxa"/>
            <w:vAlign w:val="bottom"/>
            <w:tcBorders>
              <w:top w:val="single" w:sz="8" w:color="auto"/>
            </w:tcBorders>
          </w:tcPr>
          <w:p>
            <w:pPr>
              <w:ind w:left="100"/>
              <w:spacing w:after="0" w:line="172" w:lineRule="exact"/>
              <w:rPr>
                <w:sz w:val="20"/>
                <w:szCs w:val="20"/>
                <w:color w:val="auto"/>
              </w:rPr>
            </w:pPr>
            <w:r>
              <w:rPr>
                <w:rFonts w:ascii="Arial" w:cs="Arial" w:eastAsia="Arial" w:hAnsi="Arial"/>
                <w:sz w:val="16"/>
                <w:szCs w:val="16"/>
                <w:b w:val="1"/>
                <w:bCs w:val="1"/>
                <w:i w:val="1"/>
                <w:iCs w:val="1"/>
                <w:color w:val="auto"/>
              </w:rPr>
              <w:t>Global</w:t>
            </w:r>
          </w:p>
        </w:tc>
        <w:tc>
          <w:tcPr>
            <w:tcW w:w="0" w:type="dxa"/>
            <w:vAlign w:val="bottom"/>
          </w:tcPr>
          <w:p>
            <w:pPr>
              <w:spacing w:after="0"/>
              <w:rPr>
                <w:sz w:val="1"/>
                <w:szCs w:val="1"/>
                <w:color w:val="auto"/>
              </w:rPr>
            </w:pPr>
          </w:p>
        </w:tc>
      </w:tr>
      <w:tr>
        <w:trPr>
          <w:trHeight w:val="220"/>
        </w:trPr>
        <w:tc>
          <w:tcPr>
            <w:tcW w:w="1920" w:type="dxa"/>
            <w:vAlign w:val="bottom"/>
          </w:tcPr>
          <w:p>
            <w:pPr>
              <w:spacing w:after="0"/>
              <w:rPr>
                <w:sz w:val="20"/>
                <w:szCs w:val="20"/>
                <w:color w:val="auto"/>
              </w:rPr>
            </w:pPr>
            <w:r>
              <w:rPr>
                <w:rFonts w:ascii="Arial" w:cs="Arial" w:eastAsia="Arial" w:hAnsi="Arial"/>
                <w:sz w:val="16"/>
                <w:szCs w:val="16"/>
                <w:b w:val="1"/>
                <w:bCs w:val="1"/>
                <w:color w:val="auto"/>
              </w:rPr>
              <w:t>Management</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Core Fixed Income</w:t>
            </w:r>
          </w:p>
        </w:tc>
        <w:tc>
          <w:tcPr>
            <w:tcW w:w="2420" w:type="dxa"/>
            <w:vAlign w:val="bottom"/>
            <w:gridSpan w:val="2"/>
          </w:tcPr>
          <w:p>
            <w:pPr>
              <w:ind w:left="120"/>
              <w:spacing w:after="0"/>
              <w:rPr>
                <w:sz w:val="20"/>
                <w:szCs w:val="20"/>
                <w:color w:val="auto"/>
              </w:rPr>
            </w:pPr>
            <w:r>
              <w:rPr>
                <w:rFonts w:ascii="Arial" w:cs="Arial" w:eastAsia="Arial" w:hAnsi="Arial"/>
                <w:sz w:val="16"/>
                <w:szCs w:val="16"/>
                <w:color w:val="auto"/>
              </w:rPr>
              <w:t>Core Fixed Income</w:t>
            </w:r>
          </w:p>
        </w:tc>
        <w:tc>
          <w:tcPr>
            <w:tcW w:w="2420" w:type="dxa"/>
            <w:vAlign w:val="bottom"/>
            <w:gridSpan w:val="2"/>
          </w:tcPr>
          <w:p>
            <w:pPr>
              <w:ind w:left="120"/>
              <w:spacing w:after="0"/>
              <w:rPr>
                <w:sz w:val="20"/>
                <w:szCs w:val="20"/>
                <w:color w:val="auto"/>
              </w:rPr>
            </w:pPr>
            <w:r>
              <w:rPr>
                <w:rFonts w:ascii="Arial" w:cs="Arial" w:eastAsia="Arial" w:hAnsi="Arial"/>
                <w:sz w:val="16"/>
                <w:szCs w:val="16"/>
                <w:color w:val="auto"/>
              </w:rPr>
              <w:t>Core Fixed Income</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Debt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High Yield</w:t>
            </w:r>
          </w:p>
        </w:tc>
        <w:tc>
          <w:tcPr>
            <w:tcW w:w="2420" w:type="dxa"/>
            <w:vAlign w:val="bottom"/>
            <w:gridSpan w:val="2"/>
          </w:tcPr>
          <w:p>
            <w:pPr>
              <w:ind w:left="120"/>
              <w:spacing w:after="0"/>
              <w:rPr>
                <w:sz w:val="20"/>
                <w:szCs w:val="20"/>
                <w:color w:val="auto"/>
              </w:rPr>
            </w:pPr>
            <w:r>
              <w:rPr>
                <w:rFonts w:ascii="Arial" w:cs="Arial" w:eastAsia="Arial" w:hAnsi="Arial"/>
                <w:sz w:val="16"/>
                <w:szCs w:val="16"/>
                <w:color w:val="auto"/>
              </w:rPr>
              <w:t>High Yield</w:t>
            </w:r>
          </w:p>
        </w:tc>
        <w:tc>
          <w:tcPr>
            <w:tcW w:w="2420" w:type="dxa"/>
            <w:vAlign w:val="bottom"/>
            <w:gridSpan w:val="2"/>
          </w:tcPr>
          <w:p>
            <w:pPr>
              <w:ind w:left="120"/>
              <w:spacing w:after="0"/>
              <w:rPr>
                <w:sz w:val="20"/>
                <w:szCs w:val="20"/>
                <w:color w:val="auto"/>
              </w:rPr>
            </w:pPr>
            <w:r>
              <w:rPr>
                <w:rFonts w:ascii="Arial" w:cs="Arial" w:eastAsia="Arial" w:hAnsi="Arial"/>
                <w:sz w:val="16"/>
                <w:szCs w:val="16"/>
                <w:color w:val="auto"/>
              </w:rPr>
              <w:t>High Yield</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Corporates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Short Duration</w:t>
            </w:r>
          </w:p>
        </w:tc>
        <w:tc>
          <w:tcPr>
            <w:tcW w:w="2420" w:type="dxa"/>
            <w:vAlign w:val="bottom"/>
            <w:gridSpan w:val="2"/>
          </w:tcPr>
          <w:p>
            <w:pPr>
              <w:ind w:left="120"/>
              <w:spacing w:after="0"/>
              <w:rPr>
                <w:sz w:val="20"/>
                <w:szCs w:val="20"/>
                <w:color w:val="auto"/>
              </w:rPr>
            </w:pPr>
            <w:r>
              <w:rPr>
                <w:rFonts w:ascii="Arial" w:cs="Arial" w:eastAsia="Arial" w:hAnsi="Arial"/>
                <w:sz w:val="16"/>
                <w:szCs w:val="16"/>
                <w:color w:val="auto"/>
              </w:rPr>
              <w:t>Cash Management</w:t>
            </w:r>
          </w:p>
        </w:tc>
        <w:tc>
          <w:tcPr>
            <w:tcW w:w="2420" w:type="dxa"/>
            <w:vAlign w:val="bottom"/>
            <w:gridSpan w:val="2"/>
          </w:tcPr>
          <w:p>
            <w:pPr>
              <w:ind w:left="120"/>
              <w:spacing w:after="0"/>
              <w:rPr>
                <w:sz w:val="20"/>
                <w:szCs w:val="20"/>
                <w:color w:val="auto"/>
              </w:rPr>
            </w:pPr>
            <w:r>
              <w:rPr>
                <w:rFonts w:ascii="Arial" w:cs="Arial" w:eastAsia="Arial" w:hAnsi="Arial"/>
                <w:sz w:val="16"/>
                <w:szCs w:val="16"/>
                <w:color w:val="auto"/>
              </w:rPr>
              <w:t>Short Duration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ind w:left="120"/>
              <w:spacing w:after="0"/>
              <w:rPr>
                <w:sz w:val="20"/>
                <w:szCs w:val="20"/>
                <w:color w:val="auto"/>
              </w:rPr>
            </w:pPr>
            <w:r>
              <w:rPr>
                <w:rFonts w:ascii="Arial" w:cs="Arial" w:eastAsia="Arial" w:hAnsi="Arial"/>
                <w:sz w:val="16"/>
                <w:szCs w:val="16"/>
                <w:color w:val="auto"/>
              </w:rPr>
              <w:t>Duration Overlay</w:t>
            </w:r>
          </w:p>
        </w:tc>
        <w:tc>
          <w:tcPr>
            <w:tcW w:w="2420" w:type="dxa"/>
            <w:vAlign w:val="bottom"/>
            <w:gridSpan w:val="2"/>
          </w:tcPr>
          <w:p>
            <w:pPr>
              <w:ind w:left="120"/>
              <w:spacing w:after="0"/>
              <w:rPr>
                <w:sz w:val="20"/>
                <w:szCs w:val="20"/>
                <w:color w:val="auto"/>
              </w:rPr>
            </w:pPr>
            <w:r>
              <w:rPr>
                <w:rFonts w:ascii="Arial" w:cs="Arial" w:eastAsia="Arial" w:hAnsi="Arial"/>
                <w:sz w:val="16"/>
                <w:szCs w:val="16"/>
                <w:color w:val="auto"/>
              </w:rPr>
              <w:t>Municipals</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vMerge w:val="restart"/>
          </w:tcPr>
          <w:p>
            <w:pPr>
              <w:ind w:left="120"/>
              <w:spacing w:after="0"/>
              <w:rPr>
                <w:sz w:val="20"/>
                <w:szCs w:val="20"/>
                <w:color w:val="auto"/>
              </w:rPr>
            </w:pPr>
            <w:r>
              <w:rPr>
                <w:rFonts w:ascii="Arial" w:cs="Arial" w:eastAsia="Arial" w:hAnsi="Arial"/>
                <w:sz w:val="16"/>
                <w:szCs w:val="16"/>
                <w:b w:val="1"/>
                <w:bCs w:val="1"/>
                <w:i w:val="1"/>
                <w:iCs w:val="1"/>
                <w:color w:val="auto"/>
              </w:rPr>
              <w:t>Eurozone</w:t>
            </w:r>
          </w:p>
        </w:tc>
        <w:tc>
          <w:tcPr>
            <w:tcW w:w="2420" w:type="dxa"/>
            <w:vAlign w:val="bottom"/>
            <w:gridSpan w:val="2"/>
          </w:tcPr>
          <w:p>
            <w:pPr>
              <w:ind w:left="120"/>
              <w:spacing w:after="0"/>
              <w:rPr>
                <w:sz w:val="20"/>
                <w:szCs w:val="20"/>
                <w:color w:val="auto"/>
              </w:rPr>
            </w:pPr>
            <w:r>
              <w:rPr>
                <w:rFonts w:ascii="Arial" w:cs="Arial" w:eastAsia="Arial" w:hAnsi="Arial"/>
                <w:sz w:val="16"/>
                <w:szCs w:val="16"/>
                <w:color w:val="auto"/>
              </w:rPr>
              <w:t>Cash Management</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ind w:left="120"/>
              <w:spacing w:after="0"/>
              <w:rPr>
                <w:sz w:val="20"/>
                <w:szCs w:val="20"/>
                <w:color w:val="auto"/>
              </w:rPr>
            </w:pPr>
            <w:r>
              <w:rPr>
                <w:rFonts w:ascii="Arial" w:cs="Arial" w:eastAsia="Arial" w:hAnsi="Arial"/>
                <w:sz w:val="16"/>
                <w:szCs w:val="16"/>
                <w:color w:val="auto"/>
              </w:rPr>
              <w:t>Fixed Income</w:t>
            </w:r>
          </w:p>
        </w:tc>
        <w:tc>
          <w:tcPr>
            <w:tcW w:w="24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rPr>
              <w:t>Non-U.S.</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ind w:left="120"/>
              <w:spacing w:after="0"/>
              <w:rPr>
                <w:sz w:val="20"/>
                <w:szCs w:val="20"/>
                <w:color w:val="auto"/>
              </w:rPr>
            </w:pPr>
            <w:r>
              <w:rPr>
                <w:rFonts w:ascii="Arial" w:cs="Arial" w:eastAsia="Arial" w:hAnsi="Arial"/>
                <w:sz w:val="16"/>
                <w:szCs w:val="16"/>
                <w:color w:val="auto"/>
              </w:rPr>
              <w:t>Cash Management</w:t>
            </w:r>
          </w:p>
        </w:tc>
        <w:tc>
          <w:tcPr>
            <w:tcW w:w="2420" w:type="dxa"/>
            <w:vAlign w:val="bottom"/>
            <w:gridSpan w:val="2"/>
          </w:tcPr>
          <w:p>
            <w:pPr>
              <w:ind w:left="120"/>
              <w:spacing w:after="0"/>
              <w:rPr>
                <w:sz w:val="20"/>
                <w:szCs w:val="20"/>
                <w:color w:val="auto"/>
              </w:rPr>
            </w:pPr>
            <w:r>
              <w:rPr>
                <w:rFonts w:ascii="Arial" w:cs="Arial" w:eastAsia="Arial" w:hAnsi="Arial"/>
                <w:sz w:val="16"/>
                <w:szCs w:val="16"/>
                <w:color w:val="auto"/>
              </w:rPr>
              <w:t>U.K. Fixed Income</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ind w:left="120"/>
              <w:spacing w:after="0"/>
              <w:rPr>
                <w:sz w:val="20"/>
                <w:szCs w:val="20"/>
                <w:color w:val="auto"/>
              </w:rPr>
            </w:pPr>
            <w:r>
              <w:rPr>
                <w:rFonts w:ascii="Arial" w:cs="Arial" w:eastAsia="Arial" w:hAnsi="Arial"/>
                <w:sz w:val="16"/>
                <w:szCs w:val="16"/>
                <w:color w:val="auto"/>
              </w:rPr>
              <w:t>Corporate Bonds</w:t>
            </w: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9"/>
        </w:trPr>
        <w:tc>
          <w:tcPr>
            <w:tcW w:w="1920" w:type="dxa"/>
            <w:vAlign w:val="bottom"/>
          </w:tcPr>
          <w:p>
            <w:pPr>
              <w:spacing w:after="0"/>
              <w:rPr>
                <w:sz w:val="20"/>
                <w:szCs w:val="20"/>
                <w:color w:val="auto"/>
              </w:rPr>
            </w:pPr>
            <w:r>
              <w:rPr>
                <w:rFonts w:ascii="Arial" w:cs="Arial" w:eastAsia="Arial" w:hAnsi="Arial"/>
                <w:sz w:val="16"/>
                <w:szCs w:val="16"/>
                <w:b w:val="1"/>
                <w:bCs w:val="1"/>
                <w:color w:val="auto"/>
              </w:rPr>
              <w:t>Alternative</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24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rPr>
              <w:t>European</w:t>
            </w:r>
          </w:p>
        </w:tc>
        <w:tc>
          <w:tcPr>
            <w:tcW w:w="24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rPr>
              <w:t>U.S.</w:t>
            </w: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Fund of Closed-End Funds</w:t>
            </w:r>
          </w:p>
        </w:tc>
        <w:tc>
          <w:tcPr>
            <w:tcW w:w="2420" w:type="dxa"/>
            <w:vAlign w:val="bottom"/>
            <w:gridSpan w:val="2"/>
          </w:tcPr>
          <w:p>
            <w:pPr>
              <w:ind w:left="120"/>
              <w:spacing w:after="0"/>
              <w:rPr>
                <w:sz w:val="20"/>
                <w:szCs w:val="20"/>
                <w:color w:val="auto"/>
              </w:rPr>
            </w:pPr>
            <w:r>
              <w:rPr>
                <w:rFonts w:ascii="Arial" w:cs="Arial" w:eastAsia="Arial" w:hAnsi="Arial"/>
                <w:sz w:val="16"/>
                <w:szCs w:val="16"/>
                <w:color w:val="auto"/>
              </w:rPr>
              <w:t>Long/Short Equity</w:t>
            </w:r>
          </w:p>
        </w:tc>
        <w:tc>
          <w:tcPr>
            <w:tcW w:w="2420" w:type="dxa"/>
            <w:vAlign w:val="bottom"/>
            <w:gridSpan w:val="2"/>
          </w:tcPr>
          <w:p>
            <w:pPr>
              <w:ind w:left="120"/>
              <w:spacing w:after="0"/>
              <w:rPr>
                <w:sz w:val="20"/>
                <w:szCs w:val="20"/>
                <w:color w:val="auto"/>
              </w:rPr>
            </w:pPr>
            <w:r>
              <w:rPr>
                <w:rFonts w:ascii="Arial" w:cs="Arial" w:eastAsia="Arial" w:hAnsi="Arial"/>
                <w:sz w:val="16"/>
                <w:szCs w:val="16"/>
                <w:color w:val="auto"/>
              </w:rPr>
              <w:t>U.S. (Long/Short)</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Income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320"/>
              <w:spacing w:after="0"/>
              <w:rPr>
                <w:sz w:val="20"/>
                <w:szCs w:val="20"/>
                <w:color w:val="auto"/>
              </w:rPr>
            </w:pPr>
            <w:r>
              <w:rPr>
                <w:rFonts w:ascii="Arial" w:cs="Arial" w:eastAsia="Arial" w:hAnsi="Arial"/>
                <w:sz w:val="16"/>
                <w:szCs w:val="16"/>
                <w:color w:val="auto"/>
              </w:rPr>
              <w:t>(Long and Long/Short)</w:t>
            </w: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ind w:left="120"/>
              <w:spacing w:after="0"/>
              <w:rPr>
                <w:sz w:val="20"/>
                <w:szCs w:val="20"/>
                <w:color w:val="auto"/>
              </w:rPr>
            </w:pPr>
            <w:r>
              <w:rPr>
                <w:rFonts w:ascii="Arial" w:cs="Arial" w:eastAsia="Arial" w:hAnsi="Arial"/>
                <w:sz w:val="16"/>
                <w:szCs w:val="16"/>
                <w:color w:val="auto"/>
              </w:rPr>
              <w:t>Market Neutral</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Debt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Convertible</w:t>
            </w: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color w:val="auto"/>
              </w:rPr>
              <w:t>Fund of Hedge Funds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Arbitrage/Relative Value</w:t>
            </w: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rPr>
              <w:t>Non-U.S.</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 Asset</w:t>
            </w: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ind w:left="120"/>
              <w:spacing w:after="0"/>
              <w:rPr>
                <w:sz w:val="20"/>
                <w:szCs w:val="20"/>
                <w:color w:val="auto"/>
              </w:rPr>
            </w:pPr>
            <w:r>
              <w:rPr>
                <w:rFonts w:ascii="Arial" w:cs="Arial" w:eastAsia="Arial" w:hAnsi="Arial"/>
                <w:sz w:val="16"/>
                <w:szCs w:val="16"/>
                <w:color w:val="auto"/>
              </w:rPr>
              <w:t>Japan (Long/Short)</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Commodities</w:t>
            </w: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00" w:firstLine="598"/>
        <w:spacing w:after="0" w:line="312" w:lineRule="auto"/>
        <w:rPr>
          <w:sz w:val="20"/>
          <w:szCs w:val="20"/>
          <w:color w:val="auto"/>
        </w:rPr>
      </w:pPr>
      <w:r>
        <w:rPr>
          <w:rFonts w:ascii="Arial" w:cs="Arial" w:eastAsia="Arial" w:hAnsi="Arial"/>
          <w:sz w:val="16"/>
          <w:szCs w:val="16"/>
          <w:color w:val="auto"/>
        </w:rPr>
        <w:t>In addition to the primary investment strategies listed above, we also provide other asset management services to our clients, including asset allocation and other investment advisory services, as well as locally customized investment solutions. In many cases, we also offer both diversified and more concentrated versions of our products. These products are generally offered on a separate account basis, as well as through pooled vehicles.</w:t>
      </w:r>
    </w:p>
    <w:p>
      <w:pPr>
        <w:spacing w:after="0" w:line="147" w:lineRule="exact"/>
        <w:rPr>
          <w:sz w:val="20"/>
          <w:szCs w:val="20"/>
          <w:color w:val="auto"/>
        </w:rPr>
      </w:pPr>
    </w:p>
    <w:p>
      <w:pPr>
        <w:ind w:right="120" w:firstLine="598"/>
        <w:spacing w:after="0" w:line="273" w:lineRule="auto"/>
        <w:rPr>
          <w:sz w:val="20"/>
          <w:szCs w:val="20"/>
          <w:color w:val="auto"/>
        </w:rPr>
      </w:pPr>
      <w:r>
        <w:rPr>
          <w:rFonts w:ascii="Arial" w:cs="Arial" w:eastAsia="Arial" w:hAnsi="Arial"/>
          <w:sz w:val="17"/>
          <w:szCs w:val="17"/>
          <w:i w:val="1"/>
          <w:iCs w:val="1"/>
          <w:color w:val="auto"/>
        </w:rPr>
        <w:t xml:space="preserve">Distribution. </w:t>
      </w:r>
      <w:r>
        <w:rPr>
          <w:rFonts w:ascii="Arial" w:cs="Arial" w:eastAsia="Arial" w:hAnsi="Arial"/>
          <w:sz w:val="17"/>
          <w:szCs w:val="17"/>
          <w:color w:val="auto"/>
        </w:rPr>
        <w:t>We distribute our products through a broad array of marketing channels on a global basis. Marketing, sales and client service efforts</w:t>
      </w:r>
      <w:r>
        <w:rPr>
          <w:rFonts w:ascii="Arial" w:cs="Arial" w:eastAsia="Arial" w:hAnsi="Arial"/>
          <w:sz w:val="17"/>
          <w:szCs w:val="17"/>
          <w:i w:val="1"/>
          <w:iCs w:val="1"/>
          <w:color w:val="auto"/>
        </w:rPr>
        <w:t xml:space="preserve"> </w:t>
      </w:r>
      <w:r>
        <w:rPr>
          <w:rFonts w:ascii="Arial" w:cs="Arial" w:eastAsia="Arial" w:hAnsi="Arial"/>
          <w:sz w:val="17"/>
          <w:szCs w:val="17"/>
          <w:color w:val="auto"/>
        </w:rPr>
        <w:t>are organized through a global market delivery and service network, with distribution professionals located in cities including New York, Amsterdam, Bordeaux, Boston, Brussels, Chicago, Dubai, Frankfurt, Geneva, Hamburg, Hong Kong, London, Lyon, Madrid, Milan, Melbourne, Montreal, Nantes, Paris, San Francisco, Seoul, Singapore, Sydney, Tokyo, Toronto and Zurich. We have developed a well-established presence in the institutional asset management arena, managing assets for corporations, labor unions, sovereign wealth funds and public pension funds around the world. In addition, we manage assets for insurance companies, savings and trust banks, endowments, foundations and charities.</w:t>
      </w:r>
    </w:p>
    <w:p>
      <w:pPr>
        <w:spacing w:after="0" w:line="178"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We also have become a leading firm in managing mutual funds, sub-advisory funds, and separately managed accounts for many of the world’s largest broker-dealers, insurance companies, registered advisors and other financial intermediaries.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our Asset Management business’ operations and expand our Asset Management business, we have:</w:t>
      </w:r>
    </w:p>
    <w:p>
      <w:pPr>
        <w:spacing w:after="0" w:line="73" w:lineRule="exact"/>
        <w:rPr>
          <w:sz w:val="20"/>
          <w:szCs w:val="20"/>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focused on enhancing our investment performance;</w:t>
      </w:r>
    </w:p>
    <w:p>
      <w:pPr>
        <w:spacing w:after="0" w:line="117" w:lineRule="exact"/>
        <w:rPr>
          <w:rFonts w:ascii="Arial" w:cs="Arial" w:eastAsia="Arial" w:hAnsi="Arial"/>
          <w:sz w:val="18"/>
          <w:szCs w:val="18"/>
          <w:color w:val="auto"/>
        </w:rPr>
      </w:pPr>
    </w:p>
    <w:p>
      <w:pPr>
        <w:ind w:left="1200" w:right="300" w:hanging="598"/>
        <w:spacing w:after="0" w:line="277"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improved our investment management platform by adding a number of senior investment professionals (including portfolio managers and analysts);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to strengthen our marketing and consultant relations capabilities, including by expanding our marketing resources;</w:t>
      </w:r>
    </w:p>
    <w:p>
      <w:pPr>
        <w:spacing w:after="0" w:line="117" w:lineRule="exact"/>
        <w:rPr>
          <w:rFonts w:ascii="Arial" w:cs="Arial" w:eastAsia="Arial" w:hAnsi="Arial"/>
          <w:sz w:val="18"/>
          <w:szCs w:val="18"/>
          <w:color w:val="auto"/>
        </w:rPr>
      </w:pPr>
    </w:p>
    <w:p>
      <w:pPr>
        <w:ind w:left="1200" w:right="480" w:hanging="598"/>
        <w:spacing w:after="0" w:line="277"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expanded our product platform, including through the addition of long/short equity strategies, quantitative equity strategies, a real asset strategy, a commodities team and an international value equity team;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 w:name="page10"/>
    <w:bookmarkEnd w:id="9"/>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invested in our technology infrastructure and data science capabilities to enhance our business; and</w:t>
      </w:r>
    </w:p>
    <w:p>
      <w:pPr>
        <w:spacing w:after="0" w:line="117" w:lineRule="exact"/>
        <w:rPr>
          <w:rFonts w:ascii="Arial" w:cs="Arial" w:eastAsia="Arial" w:hAnsi="Arial"/>
          <w:sz w:val="18"/>
          <w:szCs w:val="18"/>
          <w:color w:val="auto"/>
        </w:rPr>
      </w:pPr>
    </w:p>
    <w:p>
      <w:pPr>
        <w:ind w:left="1200" w:right="700" w:hanging="598"/>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to expand the geographic reach of our Asset Management business, including through opening offices in Amsterdam and Melbourne, and expanding in Milan and Zurich.</w:t>
      </w:r>
    </w:p>
    <w:p>
      <w:pPr>
        <w:spacing w:after="0" w:line="170" w:lineRule="exact"/>
        <w:rPr>
          <w:sz w:val="20"/>
          <w:szCs w:val="20"/>
          <w:color w:val="auto"/>
        </w:rPr>
      </w:pPr>
    </w:p>
    <w:p>
      <w:pPr>
        <w:ind w:right="100" w:firstLine="598"/>
        <w:spacing w:after="0" w:line="293" w:lineRule="auto"/>
        <w:rPr>
          <w:sz w:val="20"/>
          <w:szCs w:val="20"/>
          <w:color w:val="auto"/>
        </w:rPr>
      </w:pPr>
      <w:r>
        <w:rPr>
          <w:rFonts w:ascii="Arial" w:cs="Arial" w:eastAsia="Arial" w:hAnsi="Arial"/>
          <w:sz w:val="16"/>
          <w:szCs w:val="16"/>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We also believe that our specific investment strategies, global reach, unique brand identity and access to multiple distribution channels may allow us to expand into new investment products, strategies and geographic locations. In addition, we may expand our participation in alternative investment activities through investments in new and successor funds, and through organic growth, acquisitions or otherwise. We may also continue to expand our geographic reach.</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Alternative Investments</w:t>
      </w:r>
    </w:p>
    <w:p>
      <w:pPr>
        <w:spacing w:after="0" w:line="117"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Since 2005, we have been engaged in selected alternative investments and private equity activities. In 2009, we established a private equity business with The Edgewater Funds (“Edgewater”), a Chicago-based private equity firm, through the acquisition of Edgewater’s management vehicles. As of December 31, 2018, Edgewater had approximately $1 billion of AUM and unfunded fee-earning commitments.</w:t>
      </w:r>
    </w:p>
    <w:p>
      <w:pPr>
        <w:spacing w:after="0" w:line="181"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Historically, Lazard also has made selected investments with its own capital, often alongside capital of qualified institutional and individual investors in connection with Lazard’s selected alternative investments and private equity activities. These investments typically have been organized in funds that make substantial or controlling investments in private or public companies, generally through privately negotiated transactions and with a view to divest within two to seven years. While potentially risky and frequently illiquid, such investments, when successful, can yield investors substantial returns on capital and generate attractive management and performance-based incentive fees for the sponsor of such funds.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firstLine="598"/>
        <w:spacing w:after="0" w:line="254" w:lineRule="auto"/>
        <w:rPr>
          <w:sz w:val="20"/>
          <w:szCs w:val="20"/>
          <w:color w:val="auto"/>
        </w:rPr>
      </w:pPr>
      <w:r>
        <w:rPr>
          <w:rFonts w:ascii="Arial" w:cs="Arial" w:eastAsia="Arial" w:hAnsi="Arial"/>
          <w:sz w:val="18"/>
          <w:szCs w:val="18"/>
          <w:color w:val="auto"/>
        </w:rPr>
        <w:t>We believe that our people are our most important asset, and it is their reputation, talent, integrity and dedication that underpin our success. As of December 31, 2018, we employed 2,979 people, which included 163 managing directors and 1,300 other professionals and support staff in our Financial Advisory segment and 102 managing directors and 1,014 other professionals and support staff in our Asset Management segment. We strive to maintain a work environment that fosters professionalism, excellence, diversity and inclusion, collaboration and cooperation among our employees worldwide. We generally utilize an evaluation process at the end of each year to measure performance, determine compensation and provide guidance on opportunities for improved performance. Generally, our employees are not subject to any collective bargaining agreements, except that our employees in certain of our offices, including France and Italy, are covered by national, industry-wide collective bargaining agreements. We believe that we have good relations with our employees.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firstLine="598"/>
        <w:spacing w:after="0" w:line="273" w:lineRule="auto"/>
        <w:rPr>
          <w:sz w:val="20"/>
          <w:szCs w:val="20"/>
          <w:color w:val="auto"/>
        </w:rPr>
      </w:pPr>
      <w:r>
        <w:rPr>
          <w:rFonts w:ascii="Arial" w:cs="Arial" w:eastAsia="Arial" w:hAnsi="Arial"/>
          <w:sz w:val="17"/>
          <w:szCs w:val="17"/>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and other financial institutions. We compete with some of them globally and with others on a regional, product or niche basis. We compete on the basis of a number of factors, including quality of people, transaction execution skills, investment track record, quality of client service, individual and institutional client relationships, absence of conflicts, range and price of products and services, innovation, brand recognition and business reputation.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 w:name="page11"/>
    <w:bookmarkEnd w:id="10"/>
    <w:p>
      <w:pPr>
        <w:jc w:val="both"/>
        <w:ind w:right="380" w:firstLine="598"/>
        <w:spacing w:after="0" w:line="279" w:lineRule="auto"/>
        <w:rPr>
          <w:sz w:val="20"/>
          <w:szCs w:val="20"/>
          <w:color w:val="auto"/>
        </w:rPr>
      </w:pPr>
      <w:r>
        <w:rPr>
          <w:rFonts w:ascii="Arial" w:cs="Arial" w:eastAsia="Arial" w:hAnsi="Arial"/>
          <w:sz w:val="17"/>
          <w:szCs w:val="17"/>
          <w:color w:val="auto"/>
        </w:rPr>
        <w:t>While our competitors vary by country in our Financial Advisory business, we believe our primary competitors in securing engagements include Bank of America Merrill Lynch, Barclays, Centerview Partners, Citigroup, Credit Suisse, Deutsche Bank, Evercore Partners, Goldman Sachs, Greenhill, JPMorgan Chase, Morgan Stanley, Rothschild and UBS. In our Restructuring practice, we believe our primary competitors include Centerview Partners, Evercore Partners, Houlihan Lokey, PJT Partners, Moelis &amp; Company and Rothschild.</w:t>
      </w:r>
    </w:p>
    <w:p>
      <w:pPr>
        <w:spacing w:after="0" w:line="171" w:lineRule="exact"/>
        <w:rPr>
          <w:sz w:val="20"/>
          <w:szCs w:val="20"/>
          <w:color w:val="auto"/>
        </w:rPr>
      </w:pPr>
    </w:p>
    <w:p>
      <w:pPr>
        <w:ind w:right="100" w:firstLine="598"/>
        <w:spacing w:after="0" w:line="273" w:lineRule="auto"/>
        <w:rPr>
          <w:sz w:val="20"/>
          <w:szCs w:val="20"/>
          <w:color w:val="auto"/>
        </w:rPr>
      </w:pPr>
      <w:r>
        <w:rPr>
          <w:rFonts w:ascii="Arial" w:cs="Arial" w:eastAsia="Arial" w:hAnsi="Arial"/>
          <w:sz w:val="17"/>
          <w:szCs w:val="17"/>
          <w:color w:val="auto"/>
        </w:rPr>
        <w:t>We believe that our primary global competitors in our Asset Management business include, in the case of Lazard Asset Management LLC (“LAM LLC”) and its subsidiaries (collectively, “LAM”), Aberdeen, Acadian, Alliance Bernstein, Capital Management &amp; Research, Fidelity, Franklin Templeton, Invesco, JP Morgan Asset Management, Lord Abbett, MFS, Neuberger Berman and Schroders and, in the case of Lazard Frères Gestion SAS (“LFG”), private banks with offices in France as well as large institutional banks and fund managers. We face competition in private equity both in the pursuit of outside investors for our private equity funds and the acquisition of investments in attractive portfolio companies. We compete with hundreds of other funds, many of which are subsidiaries of, or otherwise affiliated with, large financial service providers.</w:t>
      </w:r>
    </w:p>
    <w:p>
      <w:pPr>
        <w:spacing w:after="0" w:line="178"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Competition is also intense in each of our businesses for the attraction and retention of qualified employees, and we compete, among other factors, on the level and nature of compensation and equity-based incentives for key employees. Our ability to continue to compete effectively in our businesses will depend upon our ability to attract new employees and retain and motivate our existing employees, in each case, at appropriate compensation levels.</w:t>
      </w:r>
    </w:p>
    <w:p>
      <w:pPr>
        <w:spacing w:after="0" w:line="147"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Many of our competitors are large, consolidated financial institutions that have the ability to offer a wider range of products than we offer, including loans, deposit taking, insurance and brokerage services. Many of these firms also offer more extensive asset management and investment banking services, which may enhance their competitive position. They also may have the ability to support investment banking and investment management products with commercial banking, insurance and other financial services revenue in an effort to gain market share, which could result in pricing pressure in our businesses. At the same time, demand for independent financial advice has created opportunities for new entrants, including a number of boutique financial advisory firms. These boutique firms frequently compete, among other factors, on the basis of their independent financial advice, and their activities also could result in pricing and other competitive pressure in our businesses. We also face competition from asset management firms that specialize in providing passively managed investment strategies at relatively low costs, which could result in pricing pressure in our Asset Management business.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Item 1A, “Risk Factors—The financial services industry, and all of the businesses in which we compete, are intensely competitive” below.</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Our businesses, as well as the financial services industry generally, are subject to extensive regulation throughout the world. As a matter of public policy, regulatory bodies are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minimum capital retention requirements and customer protection rules. In the U.S., certain of our subsidiaries are subject to such regulations promulgated by the United States Securities and Exchange Commission (the “SEC”), and/or the Financial Industry Regulatory Authority (“FINRA”).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67"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In the U.S., the SEC is the federal agency responsible for the administration of the federal securities laws. FINRA is a voluntary, self-regulatory body composed of members, such as our broker-dealer subsidiaries, that have agreed to abide by FINRA’s rules and regulations. The SEC, FINRA and other U.S. and non-U.S. regulatory organizations may examine the activities of, and may expel, fine and otherwise discipline us and our employees. The laws, rules and regulations comprising this framework of regulation and the interpretation and enforcement of</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 w:name="page12"/>
    <w:bookmarkEnd w:id="11"/>
    <w:p>
      <w:pPr>
        <w:ind w:right="60"/>
        <w:spacing w:after="0" w:line="277" w:lineRule="auto"/>
        <w:rPr>
          <w:sz w:val="20"/>
          <w:szCs w:val="20"/>
          <w:color w:val="auto"/>
        </w:rPr>
      </w:pPr>
      <w:r>
        <w:rPr>
          <w:rFonts w:ascii="Arial" w:cs="Arial" w:eastAsia="Arial" w:hAnsi="Arial"/>
          <w:sz w:val="18"/>
          <w:szCs w:val="18"/>
          <w:color w:val="auto"/>
        </w:rPr>
        <w:t>existing laws, rules and regulations are constantly changing. The effect of any such changes cannot be predicted and may impact the manner of operation and profitability of our businesses.</w:t>
      </w:r>
    </w:p>
    <w:p>
      <w:pPr>
        <w:spacing w:after="0" w:line="170" w:lineRule="exact"/>
        <w:rPr>
          <w:sz w:val="20"/>
          <w:szCs w:val="20"/>
          <w:color w:val="auto"/>
        </w:rPr>
      </w:pPr>
    </w:p>
    <w:p>
      <w:pPr>
        <w:ind w:right="80" w:firstLine="598"/>
        <w:spacing w:after="0" w:line="270" w:lineRule="auto"/>
        <w:rPr>
          <w:sz w:val="20"/>
          <w:szCs w:val="20"/>
          <w:color w:val="auto"/>
        </w:rPr>
      </w:pPr>
      <w:r>
        <w:rPr>
          <w:rFonts w:ascii="Arial" w:cs="Arial" w:eastAsia="Arial" w:hAnsi="Arial"/>
          <w:sz w:val="17"/>
          <w:szCs w:val="17"/>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most aspects of the securities business, including regulations regarding minimum capital retention requirements, record-keeping and reporting procedures, relationships with customers, experience and training requirements for certain employees, and business procedures with firms that are not members of certain regulatory bodies. In addition, LFNY is a member organization of the New York Stock Exchange LLC and the NYSE MKT LLC and is subject to various rules and regulations that have been promulgated by these securities exchanges. Lazard Asset Management Securities LLC (“LAM Securities”), a subsidiary of LAM LLC, is registered as a broker-dealer with the SEC and FINRA and in all 50 U.S. states, the District of Columbia and Puerto Rico. Lazard Middle Market LLC is registered as a broker-dealer with the SEC and FINRA, and as a broker-dealer in various U.S. states and territories.</w:t>
      </w:r>
    </w:p>
    <w:p>
      <w:pPr>
        <w:spacing w:after="0" w:line="182"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 excess net capital. Our broker-dealer subsidiaries are also subject to regulations, including the USA PATRIOT Act of 2001,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66"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Certain U.K. subsidiaries of Lazard Group, including Lazard &amp; Co., Limited (“LCL”), Lazard Fund Managers Limited and Lazard Asset Management Limited, which we refer to in this Annual Report on Form 10-K (this “Form 10-K”) as the “U.K. subsidiaries,” are authorized and regulated by the Financial Conduct Authority (the “FCA”), and are subject to various rules and regulations made by the FCA under the authorities conferred upon it by the Financial Services and Markets Act 2000, as amended by the Financial Services Act 2012.</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also have other subsidiaries that are registered as broker-dealers (or have similar non-U.S. registration) in various jurisdictions.</w:t>
      </w:r>
    </w:p>
    <w:p>
      <w:pPr>
        <w:spacing w:after="0" w:line="225" w:lineRule="exact"/>
        <w:rPr>
          <w:sz w:val="20"/>
          <w:szCs w:val="20"/>
          <w:color w:val="auto"/>
        </w:rPr>
      </w:pPr>
    </w:p>
    <w:p>
      <w:pPr>
        <w:ind w:right="40" w:firstLine="598"/>
        <w:spacing w:after="0" w:line="289" w:lineRule="auto"/>
        <w:rPr>
          <w:sz w:val="20"/>
          <w:szCs w:val="20"/>
          <w:color w:val="auto"/>
        </w:rPr>
      </w:pPr>
      <w:r>
        <w:rPr>
          <w:rFonts w:ascii="Arial" w:cs="Arial" w:eastAsia="Arial" w:hAnsi="Arial"/>
          <w:sz w:val="16"/>
          <w:szCs w:val="16"/>
          <w:color w:val="auto"/>
        </w:rPr>
        <w:t>Certain of our Asset Management subsidiaries are registered as investment advisors with the SEC. As a registered investment advisor, each is subject to the requirements of the Investment Advisers Act of 1940, as amended (the “Investment Advisers Act”), and the SEC’s regulations thereunder. Such requirements relate to, among other things, the relationship between an advisor and its advisory clients, as well as general anti-fraud prohibitions. LAM LLC serves as an investment advisor to several U.S. mutual funds which are registered under the Investment Company Act of 1940, as amended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record-keeping and reporting requirements, disclosure requirements, limitations on trades where a single broker acts as the agent for both the buyer and seller, and limitations on affiliated transactions and joint transactions. LAM Securities serves as an underwriter or distributor for mutual funds and private funds managed by LAM, and as an introducing broker to Pershing LLC for unmanaged accounts of certain of LAM LLC’s private clients.</w:t>
      </w:r>
    </w:p>
    <w:p>
      <w:pPr>
        <w:spacing w:after="0" w:line="167"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color w:val="auto"/>
        </w:rPr>
        <w:t>Compagnie Financière Lazard Frères SAS (“CFLF”), our French subsidiary under which asset management and commercial banking activities are carried out in France, is subject to regulation by the Autorité de Contrôle Prudentiel et de Résolution (“ACPR”) for its banking activities conducted through our Paris-based banking subsidiary, Lazard Frères Banque SA (“LFB”). The investment services activities of the Paris group, exercised through LFB and other subsidiaries of CFLF, primarily LFG (asset management), also are subject to regulation and supervision by the Autorité des Marchés Financiers. In addition, pursuant to the consolidated supervision rules in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ind w:right="20"/>
        <w:spacing w:after="0" w:line="272" w:lineRule="auto"/>
        <w:rPr>
          <w:sz w:val="20"/>
          <w:szCs w:val="20"/>
          <w:color w:val="auto"/>
        </w:rPr>
      </w:pPr>
      <w:r>
        <w:rPr>
          <w:rFonts w:ascii="Arial" w:cs="Arial" w:eastAsia="Arial" w:hAnsi="Arial"/>
          <w:sz w:val="17"/>
          <w:szCs w:val="17"/>
          <w:color w:val="auto"/>
        </w:rPr>
        <w:t>European Union, LFB, in particular, as a French credit institution, is required to be supervised by a regulatory body, either in the U.S. or in the European Union. In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As a result of certain changes effected by the Dodd-Frank Wall Street Reform and Consumer Protection Act (the “Dodd-Frank Act”) related to the regulation of over-the-counter swaps and other derivative instruments, LAM and certain of its subsidiaries have registered with the U.S. Commodity Futures Trading Commission (the “CFTC”) and the National Futures Association (the “NFA”), and are subject to certain aspects of the U.S. Commodity Exchange Act and the regulations thereunder, and to the rules of the NFA. The CFTC and the NFA have authority over the laws, rules and regulations related to commodities (including the over-the-counter swaps and derivatives markets), and regulate our relationship with clients who trade in these instruments. The U.S. Commodity Exchange Act and the regulations thereunder also impose additional record-keeping and reporting requirements and disclosure requirements on LAM and its subsidiaries.</w:t>
      </w:r>
    </w:p>
    <w:p>
      <w:pPr>
        <w:spacing w:after="0" w:line="189" w:lineRule="exact"/>
        <w:rPr>
          <w:sz w:val="20"/>
          <w:szCs w:val="20"/>
          <w:color w:val="auto"/>
        </w:rPr>
      </w:pPr>
    </w:p>
    <w:p>
      <w:pPr>
        <w:ind w:right="120" w:firstLine="598"/>
        <w:spacing w:after="0" w:line="273" w:lineRule="auto"/>
        <w:rPr>
          <w:sz w:val="20"/>
          <w:szCs w:val="20"/>
          <w:color w:val="auto"/>
        </w:rPr>
      </w:pPr>
      <w:r>
        <w:rPr>
          <w:rFonts w:ascii="Arial" w:cs="Arial" w:eastAsia="Arial" w:hAnsi="Arial"/>
          <w:sz w:val="17"/>
          <w:szCs w:val="17"/>
          <w:color w:val="auto"/>
        </w:rPr>
        <w:t>In addition, the Central Bank of Ireland, the Japanese Ministry of Finance and Financial Services Agency, the Korean Financial Supervisory Commission, the Securities and Futures Commission of Hong Kong, the Monetary Authority of Singapore, the Australian Securities &amp; Investments Commission, the Dubai Financial Services Authority, the Swiss Financial Market Supervisory Authority, the Italian Companies and Stock Exchange Commission and the German Federal Financial Supervisory Authority, among others, regulate relevant operating subsidiaries of the Company and also have capital standards and other requirements broadly comparable to the rules of the SEC. Our business is also subject to regulation by other non-U.S. governmental and regulatory bodies and self-regulatory authorities in other countries in which we operate.</w:t>
      </w:r>
    </w:p>
    <w:p>
      <w:pPr>
        <w:spacing w:after="0" w:line="178"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Regulators are empowered to conduct periodic examinations and initiate administrative proceedings that can result, among other things, in censure, fine, the issuance of cease-and-desist orders or the suspension or expulsion or other disciplining of a broker-dealer or investment advisor or its directors, officers or employees.</w:t>
      </w:r>
    </w:p>
    <w:p>
      <w:pPr>
        <w:spacing w:after="0" w:line="181" w:lineRule="exact"/>
        <w:rPr>
          <w:sz w:val="20"/>
          <w:szCs w:val="20"/>
          <w:color w:val="auto"/>
        </w:rPr>
      </w:pPr>
    </w:p>
    <w:p>
      <w:pPr>
        <w:ind w:right="160" w:firstLine="598"/>
        <w:spacing w:after="0" w:line="255" w:lineRule="auto"/>
        <w:rPr>
          <w:sz w:val="20"/>
          <w:szCs w:val="20"/>
          <w:color w:val="auto"/>
        </w:rPr>
      </w:pPr>
      <w:r>
        <w:rPr>
          <w:rFonts w:ascii="Arial" w:cs="Arial" w:eastAsia="Arial" w:hAnsi="Arial"/>
          <w:sz w:val="18"/>
          <w:szCs w:val="18"/>
          <w:color w:val="auto"/>
        </w:rPr>
        <w:t>We are also subject to various anti-bribery, anti-money laundering and counter-terrorist financing laws, rules and regulations in the jurisdictions in which we operate. The U.S. Foreign Corrupt Practices Act, for example, generally prohibits offering, promising or giving, or authorizing others to give, anything of value, either directly or indirectly, to a non-U.S. government official in order to influence official action or otherwise gain an unfair business advantage, such as to obtain or retain business. Similar rules and regulations exist in other jurisdictions in which we operate. In addition, we are required to comply with economic sanctions and embargo programs administered by the U.S. Treasury’s Office of Foreign Assets Control and by similar governmental agencies and other authorities worldwide. Violations of any of these laws, rules, regulations and programs can give rise to administrative, civil or criminal penalties.</w:t>
      </w:r>
    </w:p>
    <w:p>
      <w:pPr>
        <w:spacing w:after="0" w:line="189"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The U.S. and other governments and institutions have taken actions, and may continue to take further actions, that affect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See Item 1A, “Risk Factors—Other Business Risks—Extensive regulation of our businesses limits our activities and results in ongoing exposure to the potential for significant penalties, including fines or limitations on our ability to conduct our businesses.”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Set forth below are the name, age, present title, principal occupation and certain biographical information for each of our executive officers as of February 19, 2019, all of whom have been appointed by, and serve at the discretion of,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M. Jacobs, 60</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Mr. Jacobs has served as Chairman of the Board of Directors and Chief Executive Officer of Lazard Ltd and Lazard Group since November 2009.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Mr. Jacobs has served as a Managing Director of Lazard since 1991 and had been a Deputy Chairman of Lazard from January 2002 until November 2009. Mr.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Jacobs also served as Chief Executive Officer of Lazard North America from January 2002 until November 2009. Mr. Jacobs initially joined Lazard in 1988.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Jacobs is a member of the Board of Trustees of the University of Chicago and the Brookings Institution.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Evan L. Russo, 44</w:t>
      </w:r>
    </w:p>
    <w:p>
      <w:pPr>
        <w:spacing w:after="0" w:line="121"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Mr. Russo became Chief Financial Officer of Lazard Ltd and Lazard Group in October 2017. Mr. Russo has served as a Managing Director of Lazard since 2009, and, prior to becoming Chief Financial Officer, was Co-Head of Lazard’s Capital Markets and Capital Structure Advisory practice. Mr. Russo joined Lazard as a Director in 2007. Prior to joining Lazard, Mr. Russo worked for Goldman, Sachs &amp; Co. in the Investment Banking Division, and prior to that, for Barclays Capital. Mr. Russo began his career as a corporate attorney with the law firm of Milbank, Tweed, Hadley &amp; McCloy.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Ashish Bhutani, 58</w:t>
      </w:r>
    </w:p>
    <w:p>
      <w:pPr>
        <w:spacing w:after="0" w:line="121" w:lineRule="exact"/>
        <w:rPr>
          <w:sz w:val="20"/>
          <w:szCs w:val="20"/>
          <w:color w:val="auto"/>
        </w:rPr>
      </w:pPr>
    </w:p>
    <w:p>
      <w:pPr>
        <w:ind w:right="120" w:firstLine="598"/>
        <w:spacing w:after="0" w:line="290" w:lineRule="auto"/>
        <w:rPr>
          <w:sz w:val="20"/>
          <w:szCs w:val="20"/>
          <w:color w:val="auto"/>
        </w:rPr>
      </w:pPr>
      <w:r>
        <w:rPr>
          <w:rFonts w:ascii="Arial" w:cs="Arial" w:eastAsia="Arial" w:hAnsi="Arial"/>
          <w:sz w:val="16"/>
          <w:szCs w:val="16"/>
          <w:color w:val="auto"/>
        </w:rPr>
        <w:t>Mr. Bhutani has served as a member of the Board of Directors of Lazard Ltd and Lazard Group since March 2010. Mr. Bhutani is a Vice Chairman and a Managing Director of Lazard and has been the Chief Executive Officer of LAM since March 2004.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 Mr. Bhutani is also a member of the Board of Directors of City Harvest.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D. Hoffman, 56</w:t>
      </w:r>
    </w:p>
    <w:p>
      <w:pPr>
        <w:spacing w:after="0" w:line="121"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Mr. Hoffman has served as Chief Administrative Officer of Lazard Ltd and Lazard Group since July 2017 and as General Counsel of Lazard Ltd since May 2005. Mr. Hoffman has served as a Managing Director of Lazard since January 1999 and General Counsel of Lazard Group since January 2001. Mr. Hoffman previously served as Vice President and Assistant General Counsel from February 1994 to December 1997 and as a Director from January 1998 to December 1998. Prior to joining Lazard, Mr. Hoffman was an attorney at Cravath, Swaine &amp; Moore LLP. Mr. Hoffman is a member of the Board of Trustees of the New York University School of Law and a member of the Board of Directors of the Film Society of Lincoln Center.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F. Stern, 52</w:t>
      </w:r>
    </w:p>
    <w:p>
      <w:pPr>
        <w:spacing w:after="0" w:line="121" w:lineRule="exact"/>
        <w:rPr>
          <w:sz w:val="20"/>
          <w:szCs w:val="20"/>
          <w:color w:val="auto"/>
        </w:rPr>
      </w:pPr>
    </w:p>
    <w:p>
      <w:pPr>
        <w:ind w:right="40" w:firstLine="598"/>
        <w:spacing w:after="0" w:line="291" w:lineRule="auto"/>
        <w:rPr>
          <w:sz w:val="20"/>
          <w:szCs w:val="20"/>
          <w:color w:val="auto"/>
        </w:rPr>
      </w:pPr>
      <w:r>
        <w:rPr>
          <w:rFonts w:ascii="Arial" w:cs="Arial" w:eastAsia="Arial" w:hAnsi="Arial"/>
          <w:sz w:val="16"/>
          <w:szCs w:val="16"/>
          <w:color w:val="auto"/>
        </w:rPr>
        <w:t>Mr. Stern has served as Chief Operating Officer of Lazard Ltd and Lazard Group since November 2008. Mr. Stern has served as a Managing Director of Lazard since January 2002, as Chief Executive Officer, Financial Advisory, since April 2015, and as Global Head of Strategy since February 2006.</w:t>
      </w:r>
    </w:p>
    <w:p>
      <w:pPr>
        <w:ind w:right="20"/>
        <w:spacing w:after="0" w:line="255" w:lineRule="auto"/>
        <w:rPr>
          <w:sz w:val="20"/>
          <w:szCs w:val="20"/>
          <w:color w:val="auto"/>
        </w:rPr>
      </w:pPr>
      <w:r>
        <w:rPr>
          <w:rFonts w:ascii="Arial" w:cs="Arial" w:eastAsia="Arial" w:hAnsi="Arial"/>
          <w:sz w:val="18"/>
          <w:szCs w:val="18"/>
          <w:color w:val="auto"/>
        </w:rPr>
        <w:t>Mr. Stern previously served as a Vice President in Lazard’s Financial Advisory business from January 1998 to December 2000 and as a Director from January 2001 to December 2001. Mr. Stern initially joined Lazard in 1994 and previously held various positions with Patricof &amp; Co. Ventures and IBM. Mr. Stern is the chairman of the Board of Directors of LUNGevity Foundation.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 xml:space="preserve">Lazard Group files current, annual and quarterly reports and other information required by the Exchange Act with the SEC. The Company’s SEC filings are available to the public from the SEC’s internet site at </w:t>
      </w:r>
      <w:r>
        <w:rPr>
          <w:rFonts w:ascii="Arial" w:cs="Arial" w:eastAsia="Arial" w:hAnsi="Arial"/>
          <w:sz w:val="18"/>
          <w:szCs w:val="18"/>
          <w:i w:val="1"/>
          <w:iCs w:val="1"/>
          <w:color w:val="auto"/>
        </w:rPr>
        <w:t>http://www.sec.gov.</w:t>
      </w:r>
    </w:p>
    <w:p>
      <w:pPr>
        <w:spacing w:after="0" w:line="170"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 xml:space="preserve">Our public website is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and the investor relations section hosts our SEC filings</w:t>
      </w:r>
      <w:r>
        <w:rPr>
          <w:rFonts w:ascii="Arial" w:cs="Arial" w:eastAsia="Arial" w:hAnsi="Arial"/>
          <w:sz w:val="16"/>
          <w:szCs w:val="16"/>
          <w:i w:val="1"/>
          <w:iCs w:val="1"/>
          <w:color w:val="auto"/>
        </w:rPr>
        <w:t>.</w:t>
      </w:r>
      <w:r>
        <w:rPr>
          <w:rFonts w:ascii="Arial" w:cs="Arial" w:eastAsia="Arial" w:hAnsi="Arial"/>
          <w:sz w:val="16"/>
          <w:szCs w:val="16"/>
          <w:color w:val="auto"/>
        </w:rPr>
        <w:t xml:space="preserve"> We will make available free of charge, on or through the investor relations section of our website, our annual reports on Form 10-K, quarterly reports on Form 10-Q, current reports on Form 8-K and any amendments to those reports filed or furnished pursuant to the Exchange Act as soon as reasonably practicable after we electronically file such material with, or furnish it to, the SEC. Also posted on our website, and available in print upon request of any Lazard Ltd shareholder to the Investor Relations Department, are charters for Lazard Ltd’s Audit Committee, Compensation Committee, Nominating &amp; Governance Committee and Workplace and Culture Committee. Copies of these charters and Lazard Ltd’s Corporate Governance Guidelines and Code of Business Conduct and Ethics governing our directors, officers and employees are also posted on the investor relations section of our website in the corporate governance subsection.</w:t>
      </w:r>
    </w:p>
    <w:p>
      <w:pPr>
        <w:spacing w:after="0" w:line="29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color w:val="auto"/>
        </w:rPr>
        <w:t>You should carefully consider the following risks and all of the other information set forth in this Form 10-K, including our consolidated financial statements and related notes. The following risks comprise the material risks of which we are aware. If any of the events or developments described below actually occurred, our business, financial condition or results of operations would likely suffer.</w:t>
      </w:r>
    </w:p>
    <w:p>
      <w:pPr>
        <w:spacing w:after="0" w:line="285" w:lineRule="exact"/>
        <w:rPr>
          <w:sz w:val="20"/>
          <w:szCs w:val="20"/>
          <w:color w:val="auto"/>
        </w:rPr>
      </w:pPr>
    </w:p>
    <w:p>
      <w:pPr>
        <w:ind w:firstLine="598"/>
        <w:spacing w:after="0" w:line="289" w:lineRule="auto"/>
        <w:rPr>
          <w:sz w:val="20"/>
          <w:szCs w:val="20"/>
          <w:color w:val="auto"/>
        </w:rPr>
      </w:pPr>
      <w:r>
        <w:rPr>
          <w:rFonts w:ascii="Arial" w:cs="Arial" w:eastAsia="Arial" w:hAnsi="Arial"/>
          <w:sz w:val="17"/>
          <w:szCs w:val="17"/>
          <w:b w:val="1"/>
          <w:bCs w:val="1"/>
          <w:color w:val="auto"/>
        </w:rPr>
        <w:t>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54"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Unfavorable economic and market conditions can adversely affect our financial performance in both the Financial Advisory and Asset Management businesses. The future market and economic climate may deteriorate because of many factors, such as a general slowing of economic growth globally or regionally, periods of disruption or volatility in securities markets, volatility and tightening of liquidity in credit markets, volatility or significant realignments in currency markets, increases in interest rates, inflation, corporate or sovereign defaults, natural disasters, terrorism or political uncertainty.</w:t>
      </w:r>
    </w:p>
    <w:p>
      <w:pPr>
        <w:spacing w:after="0" w:line="158"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For example, revenue generated by our Financial Advisory business is directly related to the volume and value of the transactions in which we are involved. During periods of unfavorable or uncertain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 of M&amp;A transactions. In addition, our profitability would be adversely affected due to our fixed costs and the possibility that we would be unable to reduce our variable costs without reducing revenue or within a timeframe sufficient to offset any decreases in revenue relating to changes in market and economic conditions.</w:t>
      </w:r>
    </w:p>
    <w:p>
      <w:pPr>
        <w:spacing w:after="0" w:line="178"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contraction, we typically have seen that our Restructuring practice has been more active and our Mergers and Acquisitions practice has been less active. As a result,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15" w:name="page16"/>
    <w:bookmarkEnd w:id="15"/>
    <w:p>
      <w:pPr>
        <w:ind w:right="180"/>
        <w:spacing w:after="0" w:line="259" w:lineRule="auto"/>
        <w:rPr>
          <w:sz w:val="20"/>
          <w:szCs w:val="20"/>
          <w:color w:val="auto"/>
        </w:rPr>
      </w:pPr>
      <w:r>
        <w:rPr>
          <w:rFonts w:ascii="Arial" w:cs="Arial" w:eastAsia="Arial" w:hAnsi="Arial"/>
          <w:sz w:val="18"/>
          <w:szCs w:val="18"/>
          <w:color w:val="auto"/>
        </w:rPr>
        <w:t>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 and there is no certainty that strength in one practice will offset weakness in the other.</w:t>
      </w:r>
    </w:p>
    <w:p>
      <w:pPr>
        <w:spacing w:after="0" w:line="187" w:lineRule="exact"/>
        <w:rPr>
          <w:sz w:val="20"/>
          <w:szCs w:val="20"/>
          <w:color w:val="auto"/>
        </w:rPr>
      </w:pPr>
    </w:p>
    <w:p>
      <w:pPr>
        <w:ind w:right="280" w:firstLine="598"/>
        <w:spacing w:after="0" w:line="259" w:lineRule="auto"/>
        <w:rPr>
          <w:sz w:val="20"/>
          <w:szCs w:val="20"/>
          <w:color w:val="auto"/>
        </w:rPr>
      </w:pPr>
      <w:r>
        <w:rPr>
          <w:rFonts w:ascii="Arial" w:cs="Arial" w:eastAsia="Arial" w:hAnsi="Arial"/>
          <w:sz w:val="18"/>
          <w:szCs w:val="18"/>
          <w:color w:val="auto"/>
        </w:rPr>
        <w:t>Our Asset Management business also would be expected to generate lower revenue in a market or general economic downturn. Under our Asset Management business’s arrangements, investment advisory fees we receive typically are based on the market value of AUM. Accordingly, a decline in the prices of securities, or in specific geographic markets or sectors that constitute a significant portion of our AUM (</w:t>
      </w:r>
      <w:r>
        <w:rPr>
          <w:rFonts w:ascii="Arial" w:cs="Arial" w:eastAsia="Arial" w:hAnsi="Arial"/>
          <w:sz w:val="18"/>
          <w:szCs w:val="18"/>
          <w:i w:val="1"/>
          <w:iCs w:val="1"/>
          <w:color w:val="auto"/>
        </w:rPr>
        <w:t>e.g.</w:t>
      </w:r>
      <w:r>
        <w:rPr>
          <w:rFonts w:ascii="Arial" w:cs="Arial" w:eastAsia="Arial" w:hAnsi="Arial"/>
          <w:sz w:val="18"/>
          <w:szCs w:val="18"/>
          <w:color w:val="auto"/>
        </w:rPr>
        <w:t>, our emerging markets strategies), would be expected to cause our revenue and income to decline by causing:</w:t>
      </w:r>
    </w:p>
    <w:p>
      <w:pPr>
        <w:spacing w:after="0" w:line="79" w:lineRule="exact"/>
        <w:rPr>
          <w:sz w:val="20"/>
          <w:szCs w:val="20"/>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value of our AUM to decrease, which would result in lower investment advisory fees;</w:t>
      </w:r>
    </w:p>
    <w:p>
      <w:pPr>
        <w:spacing w:after="0" w:line="117" w:lineRule="exact"/>
        <w:rPr>
          <w:rFonts w:ascii="Arial" w:cs="Arial" w:eastAsia="Arial" w:hAnsi="Arial"/>
          <w:sz w:val="18"/>
          <w:szCs w:val="18"/>
          <w:color w:val="auto"/>
        </w:rPr>
      </w:pPr>
    </w:p>
    <w:p>
      <w:pPr>
        <w:ind w:left="1200" w:right="180" w:hanging="598"/>
        <w:spacing w:after="0" w:line="342" w:lineRule="auto"/>
        <w:tabs>
          <w:tab w:leader="none" w:pos="12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some of our clients to withdraw funds from our Asset Management business due to the uncertainty or volatility in the market, or in favor of investments they perceive as offering greater opportunity or lower risk, which would also result in lower investment advisory fees;</w:t>
      </w:r>
    </w:p>
    <w:p>
      <w:pPr>
        <w:spacing w:after="0" w:line="15" w:lineRule="exact"/>
        <w:rPr>
          <w:rFonts w:ascii="Arial" w:cs="Arial" w:eastAsia="Arial" w:hAnsi="Arial"/>
          <w:sz w:val="16"/>
          <w:szCs w:val="16"/>
          <w:color w:val="auto"/>
        </w:rPr>
      </w:pPr>
    </w:p>
    <w:p>
      <w:pPr>
        <w:ind w:left="120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some of our clients or prospective clients to hesitate in allocating assets to our Asset Management business due to the uncertainty or volatility in the market, which would also result in lower investment advisory fees; or</w:t>
      </w:r>
    </w:p>
    <w:p>
      <w:pPr>
        <w:spacing w:after="0" w:line="62" w:lineRule="exact"/>
        <w:rPr>
          <w:rFonts w:ascii="Arial" w:cs="Arial" w:eastAsia="Arial" w:hAnsi="Arial"/>
          <w:sz w:val="18"/>
          <w:szCs w:val="18"/>
          <w:color w:val="auto"/>
        </w:rPr>
      </w:pPr>
    </w:p>
    <w:p>
      <w:pPr>
        <w:ind w:left="1200" w:right="6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absolute performance returns for some accounts which have performance-based incentive fees, which would result in a reduction of revenue from such fees.</w:t>
      </w:r>
    </w:p>
    <w:p>
      <w:pPr>
        <w:spacing w:after="0" w:line="170"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Our AUM has declined from time to time during recent periods. For example, total AUM at December 31, 2018 was $215 billion, a decrease of 14% as compared to total AUM at December 31, 2017. If our Asset Management revenue declines without a commensurate reduction in our expenses, our net income would be reduced. In addition, in the event of a market or general economic downturn, our alternative investment and private equity practices also may be impacted by a difficult fund raising environment and reduced exit opportunities in which to realize the value of their investments. Fluctuations in foreign currency exchange rates may also affect the levels of our AUM and our investment advisory fees. See “Fluctuations in foreign currency exchange rates could reduce our members’ equity and net income or negatively impact the portfolios of our Asset Management clients and may affect the levels of our AUM” below.</w:t>
      </w:r>
    </w:p>
    <w:p>
      <w:pPr>
        <w:spacing w:after="0" w:line="293" w:lineRule="exact"/>
        <w:rPr>
          <w:sz w:val="20"/>
          <w:szCs w:val="20"/>
          <w:color w:val="auto"/>
        </w:rPr>
      </w:pPr>
    </w:p>
    <w:p>
      <w:pPr>
        <w:ind w:right="420" w:firstLine="598"/>
        <w:spacing w:after="0" w:line="282" w:lineRule="auto"/>
        <w:rPr>
          <w:sz w:val="20"/>
          <w:szCs w:val="20"/>
          <w:color w:val="auto"/>
        </w:rPr>
      </w:pPr>
      <w:r>
        <w:rPr>
          <w:rFonts w:ascii="Arial" w:cs="Arial" w:eastAsia="Arial" w:hAnsi="Arial"/>
          <w:sz w:val="18"/>
          <w:szCs w:val="18"/>
          <w:b w:val="1"/>
          <w:bCs w:val="1"/>
          <w:color w:val="auto"/>
        </w:rPr>
        <w:t>Due to the nature of our business, financial results could differ significantly from period to period, which may make it difficult for us to achieve steady earnings growth on a quarterly basis.</w:t>
      </w:r>
    </w:p>
    <w:p>
      <w:pPr>
        <w:spacing w:after="0" w:line="58" w:lineRule="exact"/>
        <w:rPr>
          <w:sz w:val="20"/>
          <w:szCs w:val="20"/>
          <w:color w:val="auto"/>
        </w:rPr>
      </w:pPr>
    </w:p>
    <w:p>
      <w:pPr>
        <w:ind w:right="20" w:firstLine="598"/>
        <w:spacing w:after="0" w:line="268" w:lineRule="auto"/>
        <w:rPr>
          <w:sz w:val="20"/>
          <w:szCs w:val="20"/>
          <w:color w:val="auto"/>
        </w:rPr>
      </w:pPr>
      <w:r>
        <w:rPr>
          <w:rFonts w:ascii="Arial" w:cs="Arial" w:eastAsia="Arial" w:hAnsi="Arial"/>
          <w:sz w:val="17"/>
          <w:szCs w:val="17"/>
          <w:color w:val="auto"/>
        </w:rPr>
        <w:t>We experience significant fluctuations in quarterly revenue and profits. These fluctuations generally can be attributed to the fact that we earn a substantial portion of our Financial Advisory revenue upon the successful completion of a transaction or a restructuring, the timing of which is uncertain and is not subject to our control. As a result, our Financial Advisory business is highly dependent on market conditions and the decisions and actions of our clients, interested third parties and governmental authorities. For example, a client or counterparty could delay or terminate an acquisition transaction because of a failure to agree upon final terms, failure to obtain necessary regulatory consents or board of directors, or acquirer’s or stockholder approval, failure to secure necessary financing, adverse market conditions or because the seller’s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 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cause significant fluctuations in quarterly revenue and profits and could materially adversely affect our business, financial condition and results of operations. For more information, see “Management’s Discussion and Analysis of Financial Condition and Results of Operations”.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ind w:right="80" w:firstLine="598"/>
        <w:spacing w:after="0" w:line="255" w:lineRule="auto"/>
        <w:rPr>
          <w:sz w:val="20"/>
          <w:szCs w:val="20"/>
          <w:color w:val="auto"/>
        </w:rPr>
      </w:pPr>
      <w:r>
        <w:rPr>
          <w:rFonts w:ascii="Arial" w:cs="Arial" w:eastAsia="Arial" w:hAnsi="Arial"/>
          <w:sz w:val="18"/>
          <w:szCs w:val="18"/>
          <w:color w:val="auto"/>
        </w:rPr>
        <w:t>In addition, our Asset Management revenue is particularly sensitive to fluctuations in our AUM. Asset Management fees are predominantly based on the daily, monthly or quarterly average AUM. As a result, a reduction in AUM at the end of a day, month or quarter (as a result of market depreciation, withdrawals, fluctuations in foreign currency exchange rates or otherwise) will result in a decrease in management fees. Similarly, the timing of flows, contributions and withdrawals are often out of our control and may be inconsistent from quarter to quarter. Incentive fees are driven by investment performance (either absolute performance or relative to an established benchmark), which is directly impacted by market movements, and may therefore fluctuate from period to period.</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a result of such fluctuations, it may be difficult for us to achieve steady revenue and earnings growth on a quarterly basis.</w:t>
      </w:r>
    </w:p>
    <w:p>
      <w:pPr>
        <w:spacing w:after="0" w:line="329" w:lineRule="exact"/>
        <w:rPr>
          <w:sz w:val="20"/>
          <w:szCs w:val="20"/>
          <w:color w:val="auto"/>
        </w:rPr>
      </w:pPr>
    </w:p>
    <w:p>
      <w:pPr>
        <w:ind w:right="240" w:firstLine="598"/>
        <w:spacing w:after="0" w:line="266" w:lineRule="auto"/>
        <w:rPr>
          <w:sz w:val="20"/>
          <w:szCs w:val="20"/>
          <w:color w:val="auto"/>
        </w:rPr>
      </w:pPr>
      <w:r>
        <w:rPr>
          <w:rFonts w:ascii="Arial" w:cs="Arial" w:eastAsia="Arial" w:hAnsi="Arial"/>
          <w:sz w:val="18"/>
          <w:szCs w:val="18"/>
          <w:b w:val="1"/>
          <w:bCs w:val="1"/>
          <w:color w:val="auto"/>
        </w:rPr>
        <w:t>Our ability to retain our managing directors and other key professional employees is critical to the success of our business, including maintaining compensation levels at an appropriate level of costs, and failure to do so may materially adversely affect our results of operations and financial position.</w:t>
      </w:r>
    </w:p>
    <w:p>
      <w:pPr>
        <w:spacing w:after="0" w:line="72" w:lineRule="exact"/>
        <w:rPr>
          <w:sz w:val="20"/>
          <w:szCs w:val="20"/>
          <w:color w:val="auto"/>
        </w:rPr>
      </w:pPr>
    </w:p>
    <w:p>
      <w:pPr>
        <w:ind w:right="340" w:firstLine="598"/>
        <w:spacing w:after="0" w:line="264" w:lineRule="auto"/>
        <w:rPr>
          <w:sz w:val="20"/>
          <w:szCs w:val="20"/>
          <w:color w:val="auto"/>
        </w:rPr>
      </w:pPr>
      <w:r>
        <w:rPr>
          <w:rFonts w:ascii="Arial" w:cs="Arial" w:eastAsia="Arial" w:hAnsi="Arial"/>
          <w:sz w:val="18"/>
          <w:szCs w:val="18"/>
          <w:color w:val="auto"/>
        </w:rPr>
        <w:t>Our people are our most important asset. We must retain the services of our managing directors and other key professional employees, and strategically recruit and hire new talented employees, to obtain and successfully execute the Financial Advisory and Asset Management engagements that generate substantially all of our revenue.</w:t>
      </w:r>
    </w:p>
    <w:p>
      <w:pPr>
        <w:spacing w:after="0" w:line="181"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In general, our industry continues to experience change and be subject to significant competitive pressures with respect to the retention of top talent, which makes it more difficult for us to retain professionals. Loss of key employees may occur due to perceived opportunity for promotion, compensation levels, work environment, retirement or the pursuit of philanthropic, civic or similar service opportunities, or other individual reasons, some of which may be beyond our control. If managing directors and other key professional employees were to retire, join an existing competitor, form a competing company or otherwise leave us, we could need to replace them, and some of our clients could eventually choose to use the services of that competitor or some other competitor instead of our services. In any such event, our investment banking fees, asset management fees or AUM could decline. The employment arrangements, non-competition agreements and retention agreements we have or will enter into with our managing directors and other key professional employees may not sufficiently prevent our managing directors and other key professional employees from resigning from practice or competing against us. In addition, these arrangements and agreements have a limited duration and expire after a certain period of time. We continue to be subject to intense competition in the financial services industry regarding the recruitment and retention of key professionals, and have experienced departures from and added to our professional ranks as a result.</w:t>
      </w:r>
    </w:p>
    <w:p>
      <w:pPr>
        <w:spacing w:after="0" w:line="183"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Certain changes to our employee compensation arrangements may result in increased compensation and benefits expense. In addition, any changes to the mix of cash and deferred incentive compensation granted to our employees may affect certain financial measures applicable to our business, including ratios of compensation and benefits expense to revenue, and may result in the issuance of increased levels of Lazard Ltd’s Class A common stock, par value $0.01 per share (“Class A common stock”), to our employees upon vesting of restricted stock units (“RSUs”), performance-based restricted stock units (“PRSUs”), restricted stock awards or other equity-based awards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financial services industry, and all of the businesses in which we compete, are intensely competitive.</w:t>
      </w:r>
    </w:p>
    <w:p>
      <w:pPr>
        <w:spacing w:after="0" w:line="121"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The financial services industry is intensely competitive, and we expect it to remain so. We compete on the basis of a number of factors, including the quality of our advice, our employees and transaction execution, the range and price of our products and services, our innovation and our reputation.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number of factors increase the competitive risks of our Financial Advisory and Asset Management businesses:</w:t>
      </w:r>
    </w:p>
    <w:p>
      <w:pPr>
        <w:spacing w:after="0" w:line="117" w:lineRule="exact"/>
        <w:rPr>
          <w:sz w:val="20"/>
          <w:szCs w:val="20"/>
          <w:color w:val="auto"/>
        </w:rPr>
      </w:pPr>
    </w:p>
    <w:p>
      <w:pPr>
        <w:ind w:left="1200" w:right="26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the launch of new asset management and financial advisory firms, including a relatively low cost of entering these businesses, and the successful efforts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left="1200"/>
        <w:spacing w:after="0"/>
        <w:rPr>
          <w:sz w:val="20"/>
          <w:szCs w:val="20"/>
          <w:color w:val="auto"/>
        </w:rPr>
      </w:pPr>
      <w:r>
        <w:rPr>
          <w:rFonts w:ascii="Arial" w:cs="Arial" w:eastAsia="Arial" w:hAnsi="Arial"/>
          <w:sz w:val="17"/>
          <w:szCs w:val="17"/>
          <w:color w:val="auto"/>
        </w:rPr>
        <w:t>new entrants into our lines of business, including major banks and other financial institutions, have resulted in increased competition;</w:t>
      </w:r>
    </w:p>
    <w:p>
      <w:pPr>
        <w:spacing w:after="0" w:line="129" w:lineRule="exact"/>
        <w:rPr>
          <w:sz w:val="20"/>
          <w:szCs w:val="20"/>
          <w:color w:val="auto"/>
        </w:rPr>
      </w:pPr>
    </w:p>
    <w:p>
      <w:pPr>
        <w:ind w:left="1200" w:hanging="598"/>
        <w:spacing w:after="0"/>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industry participants will from time to time seek to recruit our employees away from us in order to compete in our lines of business; and</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of our practices and products are newly established and relatively small.</w:t>
      </w:r>
    </w:p>
    <w:p>
      <w:pPr>
        <w:spacing w:after="0" w:line="225" w:lineRule="exact"/>
        <w:rPr>
          <w:sz w:val="20"/>
          <w:szCs w:val="20"/>
          <w:color w:val="auto"/>
        </w:rPr>
      </w:pPr>
    </w:p>
    <w:p>
      <w:pPr>
        <w:jc w:val="both"/>
        <w:ind w:right="80" w:firstLine="598"/>
        <w:spacing w:after="0" w:line="259" w:lineRule="auto"/>
        <w:rPr>
          <w:sz w:val="20"/>
          <w:szCs w:val="20"/>
          <w:color w:val="auto"/>
        </w:rPr>
      </w:pPr>
      <w:r>
        <w:rPr>
          <w:rFonts w:ascii="Arial" w:cs="Arial" w:eastAsia="Arial" w:hAnsi="Arial"/>
          <w:sz w:val="18"/>
          <w:szCs w:val="18"/>
          <w:color w:val="auto"/>
        </w:rPr>
        <w:t>In addition, many of our competitors have the ability to offer a wide range of products, from loans, deposit-taking and insurance to brokerage, asset management and investment banking services, which may enhance their competitive position. They may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18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Competitive pressure could adversely affect our ability to attract new or retain existing clients, make successful investments, retain our people or maintain AUM, any of which would adversely affect our results of operations and financial condition.</w:t>
      </w:r>
    </w:p>
    <w:p>
      <w:pPr>
        <w:spacing w:after="0" w:line="275" w:lineRule="exact"/>
        <w:rPr>
          <w:sz w:val="20"/>
          <w:szCs w:val="20"/>
          <w:color w:val="auto"/>
        </w:rPr>
      </w:pPr>
    </w:p>
    <w:p>
      <w:pPr>
        <w:ind w:right="80" w:firstLine="598"/>
        <w:spacing w:after="0" w:line="266" w:lineRule="auto"/>
        <w:rPr>
          <w:sz w:val="20"/>
          <w:szCs w:val="20"/>
          <w:color w:val="auto"/>
        </w:rPr>
      </w:pPr>
      <w:r>
        <w:rPr>
          <w:rFonts w:ascii="Arial" w:cs="Arial" w:eastAsia="Arial" w:hAnsi="Arial"/>
          <w:sz w:val="18"/>
          <w:szCs w:val="18"/>
          <w:b w:val="1"/>
          <w:bCs w:val="1"/>
          <w:color w:val="auto"/>
        </w:rPr>
        <w:t>A substantial portion of our revenue is derived from Financial Advisory fees, which are not long-term contracted sources of revenue and are subject to intense competition, and declines in our Financial Advisory engagements could have a material adverse effect on our business, financial condition and results of operations.</w:t>
      </w:r>
    </w:p>
    <w:p>
      <w:pPr>
        <w:spacing w:after="0" w:line="72"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color w:val="auto"/>
        </w:rPr>
        <w:t>We historically have earned a substantial portion of our revenue from advisory fees paid to us by our Financial Advisory clients, which usually are payable upon the successful completion of a particular transaction or restructuring. For example, for the year ended December 31, 2018, Financial Advisory services accounted for approximately 55% of our consolidated net revenue. We expect that we will continue to rely on Financial Advisory fees for a substantial portion of our revenue for the foreseeable future, and a decline in our Financial Advisory engagements or the market for financial advisory services would adversely affect our business, financial condition and results of operations.</w:t>
      </w:r>
    </w:p>
    <w:p>
      <w:pPr>
        <w:spacing w:after="0" w:line="188"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 consequence, our fee paying engagements with many clients are not likely to be predictable. We also lose clients each year, including as a result of the sale or merger of a client, a change in a client’s senior management and competition from other financial advisors and financial institutions. As a result, our engagements with clients are constantly changing and our Financial Advisory fees could decline quickly due to the factors discussed above.</w:t>
      </w:r>
    </w:p>
    <w:p>
      <w:pPr>
        <w:spacing w:after="0" w:line="262" w:lineRule="exact"/>
        <w:rPr>
          <w:sz w:val="20"/>
          <w:szCs w:val="20"/>
          <w:color w:val="auto"/>
        </w:rPr>
      </w:pPr>
    </w:p>
    <w:p>
      <w:pPr>
        <w:ind w:right="280" w:firstLine="598"/>
        <w:spacing w:after="0" w:line="282"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services declines, our Restructuring revenue could suffer.</w:t>
      </w:r>
    </w:p>
    <w:p>
      <w:pPr>
        <w:spacing w:after="0" w:line="58" w:lineRule="exact"/>
        <w:rPr>
          <w:sz w:val="20"/>
          <w:szCs w:val="20"/>
          <w:color w:val="auto"/>
        </w:rPr>
      </w:pPr>
    </w:p>
    <w:p>
      <w:pPr>
        <w:ind w:right="220" w:firstLine="598"/>
        <w:spacing w:after="0" w:line="276" w:lineRule="auto"/>
        <w:rPr>
          <w:sz w:val="20"/>
          <w:szCs w:val="20"/>
          <w:color w:val="auto"/>
        </w:rPr>
      </w:pPr>
      <w:r>
        <w:rPr>
          <w:rFonts w:ascii="Arial" w:cs="Arial" w:eastAsia="Arial" w:hAnsi="Arial"/>
          <w:sz w:val="17"/>
          <w:szCs w:val="17"/>
          <w:color w:val="auto"/>
        </w:rPr>
        <w:t>We provide various restructuring and restructuring-related advice to companies in financial distress or to their creditors or other stakeholders. Historically, the fees from restructuring-related services have been a significant part of our Financial Advisory revenue. A number of factors could affect demand for these advisory services, including improving general economic conditions, the availability and cost of debt and equity financing and changes to laws, rules and regulations, including those that protect creditors, and the deregulation or privatization of particular industries. For example, global restructuring activity during 2018, as measured by the number of corporate defaults, decreased significantly as compared to 2017.</w:t>
      </w:r>
    </w:p>
    <w:p>
      <w:pPr>
        <w:spacing w:after="0" w:line="27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Potential underwriting and trading activities may expose us to risk.</w:t>
      </w:r>
    </w:p>
    <w:p>
      <w:pPr>
        <w:spacing w:after="0" w:line="121" w:lineRule="exact"/>
        <w:rPr>
          <w:sz w:val="20"/>
          <w:szCs w:val="20"/>
          <w:color w:val="auto"/>
        </w:rPr>
      </w:pPr>
    </w:p>
    <w:p>
      <w:pPr>
        <w:jc w:val="both"/>
        <w:ind w:right="300" w:firstLine="598"/>
        <w:spacing w:after="0" w:line="312" w:lineRule="auto"/>
        <w:rPr>
          <w:sz w:val="20"/>
          <w:szCs w:val="20"/>
          <w:color w:val="auto"/>
        </w:rPr>
      </w:pPr>
      <w:r>
        <w:rPr>
          <w:rFonts w:ascii="Arial" w:cs="Arial" w:eastAsia="Arial" w:hAnsi="Arial"/>
          <w:sz w:val="16"/>
          <w:szCs w:val="16"/>
          <w:color w:val="auto"/>
        </w:rPr>
        <w:t>In 2014, we took steps that have enabled us to act as an underwriter in public offerings and other distributions of securities in order to buttress our Financial Advisory business. If we act as an underwriter, we may incur losses and be subject to reputational harm to the extent that, for any reason, we are unable to sell securities we purchased as an underwriter at the anticipated price levels. In addition, if we act as an underwriter, we may also be subject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ind w:right="40"/>
        <w:spacing w:after="0" w:line="272" w:lineRule="auto"/>
        <w:rPr>
          <w:sz w:val="20"/>
          <w:szCs w:val="20"/>
          <w:color w:val="auto"/>
        </w:rPr>
      </w:pPr>
      <w:r>
        <w:rPr>
          <w:rFonts w:ascii="Arial" w:cs="Arial" w:eastAsia="Arial" w:hAnsi="Arial"/>
          <w:sz w:val="17"/>
          <w:szCs w:val="17"/>
          <w:color w:val="auto"/>
        </w:rPr>
        <w:t>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Operational risk in connection with any offering we underwrite could arise in the form of errors, deficiencies or noncompliance and also could expose us to risk. In addition, indemnification provisions in our agreement with our clearing organization, customer trading and other activities may expose us to off-balance sheet credit risk. Securities may have to be purchased or sold at prevailing market prices in the event a customer fails to settle a trade on its original terms. We seek to manage the risks associated with underwriting and customer trading activities through screening, internal review and trading procedures and processes, but such procedures and processes may not be effective in all cases.</w:t>
      </w:r>
    </w:p>
    <w:p>
      <w:pPr>
        <w:spacing w:after="0" w:line="282" w:lineRule="exact"/>
        <w:rPr>
          <w:sz w:val="20"/>
          <w:szCs w:val="20"/>
          <w:color w:val="auto"/>
        </w:rPr>
      </w:pPr>
    </w:p>
    <w:p>
      <w:pPr>
        <w:ind w:right="180" w:firstLine="598"/>
        <w:spacing w:after="0" w:line="266" w:lineRule="auto"/>
        <w:rPr>
          <w:sz w:val="20"/>
          <w:szCs w:val="20"/>
          <w:color w:val="auto"/>
        </w:rPr>
      </w:pPr>
      <w:r>
        <w:rPr>
          <w:rFonts w:ascii="Arial" w:cs="Arial" w:eastAsia="Arial" w:hAnsi="Arial"/>
          <w:sz w:val="18"/>
          <w:szCs w:val="18"/>
          <w:b w:val="1"/>
          <w:bCs w:val="1"/>
          <w:color w:val="auto"/>
        </w:rPr>
        <w:t>Our investment style in our Asset Management business, including the mix of asset classes and investment strategies comprising our AUM, may underperform or generate less demand than other investment approaches, which may result in significant client or asset departures, or a reduction in AUM.</w:t>
      </w:r>
    </w:p>
    <w:p>
      <w:pPr>
        <w:spacing w:after="0" w:line="72"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Even when securities prices are rising generally, performance can be affected by investment style and mix of asset classes. For example, many of the equity investment strategies in our Asset Management business share a common investment orientation towards relative value investing. We believe this style tends to outperform the market in some market environments and underperform it in others. In particular, a prolonged growth environment may cause some of our investment strategies to go out of favor with some clients, advisors, consultants or third-party intermediaries. In addition, all of our investment strategies are actively managed strategies which seek to outperform relative to a benchmark or generate an absolute return. Management fees for actively managed strategies tend to be higher than those charged for passively managed strategies. The perception that actively managed strategies have, on average, underperformed relative to passively managed strategies over time, combined with greater pressure on clients to acquire asset management services at lower costs, has contributed to increased trends toward passively managed investment strategies. This, in turn, may adversely affect demand for our strategies or result in fee pressure on our business overall. In combination with poor performance relative to peers, changes in personnel, challenging market environments or other difficulties, the underperformance of our investment style may result in significant client or asset departures or a reduction in AUM.</w:t>
      </w:r>
    </w:p>
    <w:p>
      <w:pPr>
        <w:spacing w:after="0" w:line="273" w:lineRule="exact"/>
        <w:rPr>
          <w:sz w:val="20"/>
          <w:szCs w:val="20"/>
          <w:color w:val="auto"/>
        </w:rPr>
      </w:pPr>
    </w:p>
    <w:p>
      <w:pPr>
        <w:ind w:right="800" w:firstLine="598"/>
        <w:spacing w:after="0" w:line="282" w:lineRule="auto"/>
        <w:rPr>
          <w:sz w:val="20"/>
          <w:szCs w:val="20"/>
          <w:color w:val="auto"/>
        </w:rPr>
      </w:pPr>
      <w:r>
        <w:rPr>
          <w:rFonts w:ascii="Arial" w:cs="Arial" w:eastAsia="Arial" w:hAnsi="Arial"/>
          <w:sz w:val="18"/>
          <w:szCs w:val="18"/>
          <w:b w:val="1"/>
          <w:bCs w:val="1"/>
          <w:color w:val="auto"/>
        </w:rPr>
        <w:t>We could lose clients and suffer a decline in our Asset Management revenue and earnings if the investments we choose in our Asset Management business perform poorly, regardless of overall trends in the prices of securities.</w:t>
      </w:r>
    </w:p>
    <w:p>
      <w:pPr>
        <w:spacing w:after="0" w:line="58"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Investment performance affects our AUM relating to existing clients and is one of the most important factors in retaining clients and competing for new Asset Management business. Poor investment performance could impair our revenue and growth because:</w:t>
      </w:r>
    </w:p>
    <w:p>
      <w:pPr>
        <w:spacing w:after="0" w:line="62" w:lineRule="exact"/>
        <w:rPr>
          <w:sz w:val="20"/>
          <w:szCs w:val="20"/>
          <w:color w:val="auto"/>
        </w:rPr>
      </w:pPr>
    </w:p>
    <w:p>
      <w:pPr>
        <w:ind w:left="1200" w:right="300" w:hanging="598"/>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existing clients might withdraw funds from our Asset Management business in favor of better performing products, which would result in lower investment advisory fees;</w:t>
      </w:r>
    </w:p>
    <w:p>
      <w:pPr>
        <w:spacing w:after="0" w:line="62" w:lineRule="exact"/>
        <w:rPr>
          <w:rFonts w:ascii="Arial" w:cs="Arial" w:eastAsia="Arial" w:hAnsi="Arial"/>
          <w:sz w:val="18"/>
          <w:szCs w:val="18"/>
          <w:color w:val="auto"/>
        </w:rPr>
      </w:pPr>
    </w:p>
    <w:p>
      <w:pPr>
        <w:ind w:left="1200" w:right="520" w:hanging="598"/>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incentive fees, which provide us with a set percentage of returns on some alternative investment and private equity funds and other accounts, would decline;</w:t>
      </w:r>
    </w:p>
    <w:p>
      <w:pPr>
        <w:spacing w:after="0" w:line="62" w:lineRule="exact"/>
        <w:rPr>
          <w:rFonts w:ascii="Arial" w:cs="Arial" w:eastAsia="Arial" w:hAnsi="Arial"/>
          <w:sz w:val="18"/>
          <w:szCs w:val="18"/>
          <w:color w:val="auto"/>
        </w:rPr>
      </w:pPr>
    </w:p>
    <w:p>
      <w:pPr>
        <w:ind w:left="1200" w:right="740" w:hanging="598"/>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financial intermediaries, rating services, advisors or consultants may rate our products poorly, which may result in client withdrawals and reduced asset flows; or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firms with which we have strategic alliances may terminate such relationships with us, and future strategic alliances may be unavailable.</w:t>
      </w:r>
    </w:p>
    <w:p>
      <w:pPr>
        <w:spacing w:after="0" w:line="237" w:lineRule="exact"/>
        <w:rPr>
          <w:sz w:val="20"/>
          <w:szCs w:val="20"/>
          <w:color w:val="auto"/>
        </w:rPr>
      </w:pPr>
    </w:p>
    <w:p>
      <w:pPr>
        <w:ind w:right="280" w:firstLine="598"/>
        <w:spacing w:after="0" w:line="259" w:lineRule="auto"/>
        <w:rPr>
          <w:sz w:val="20"/>
          <w:szCs w:val="20"/>
          <w:color w:val="auto"/>
        </w:rPr>
      </w:pPr>
      <w:r>
        <w:rPr>
          <w:rFonts w:ascii="Arial" w:cs="Arial" w:eastAsia="Arial" w:hAnsi="Arial"/>
          <w:sz w:val="18"/>
          <w:szCs w:val="18"/>
          <w:color w:val="auto"/>
        </w:rPr>
        <w:t>Over certain time periods, we may have a higher concentration of assets in certain strategies. To the extent that this is the case, underperformance, changes in investment personnel or other changes in these strategies, as well as changes in a variety of macroeconomic and other factors, may result in a withdrawal of assets. If a significant amount of clients withdraw from these strategies for any reason, our revenues would decline and our operating results would be adversely affected.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ind w:right="80" w:firstLine="598"/>
        <w:spacing w:after="0" w:line="282" w:lineRule="auto"/>
        <w:rPr>
          <w:sz w:val="20"/>
          <w:szCs w:val="20"/>
          <w:color w:val="auto"/>
        </w:rPr>
      </w:pPr>
      <w:r>
        <w:rPr>
          <w:rFonts w:ascii="Arial" w:cs="Arial" w:eastAsia="Arial" w:hAnsi="Arial"/>
          <w:sz w:val="18"/>
          <w:szCs w:val="18"/>
          <w:b w:val="1"/>
          <w:bCs w:val="1"/>
          <w:color w:val="auto"/>
        </w:rPr>
        <w:t>Because many of our Asset Management clients can remove the assets we manage on short notice, we may experience unexpected declines in revenue and profitability.</w:t>
      </w:r>
    </w:p>
    <w:p>
      <w:pPr>
        <w:spacing w:after="0" w:line="58"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departures from or changes to the teams that manage our investment products, or changes in prevailing interest rates and financial market performance. Poor performance relative to other investment management firms tends to result in decreased investments in our investment products, increased redemptions of our investment products, and the loss of institutional or individual accounts or strategic alliances. In addition, the ability to terminate relationships may allow clients to renegotiate for lower fees paid for asset management services.</w:t>
      </w:r>
    </w:p>
    <w:p>
      <w:pPr>
        <w:spacing w:after="0" w:line="165" w:lineRule="exact"/>
        <w:rPr>
          <w:sz w:val="20"/>
          <w:szCs w:val="20"/>
          <w:color w:val="auto"/>
        </w:rPr>
      </w:pPr>
    </w:p>
    <w:p>
      <w:pPr>
        <w:ind w:right="240" w:firstLine="598"/>
        <w:spacing w:after="0" w:line="297" w:lineRule="auto"/>
        <w:rPr>
          <w:sz w:val="20"/>
          <w:szCs w:val="20"/>
          <w:color w:val="auto"/>
        </w:rPr>
      </w:pPr>
      <w:r>
        <w:rPr>
          <w:rFonts w:ascii="Arial" w:cs="Arial" w:eastAsia="Arial" w:hAnsi="Arial"/>
          <w:sz w:val="16"/>
          <w:szCs w:val="16"/>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Investment Advisers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262" w:lineRule="exact"/>
        <w:rPr>
          <w:sz w:val="20"/>
          <w:szCs w:val="20"/>
          <w:color w:val="auto"/>
        </w:rPr>
      </w:pPr>
    </w:p>
    <w:p>
      <w:pPr>
        <w:ind w:right="240" w:firstLine="598"/>
        <w:spacing w:after="0" w:line="266" w:lineRule="auto"/>
        <w:rPr>
          <w:sz w:val="20"/>
          <w:szCs w:val="20"/>
          <w:color w:val="auto"/>
        </w:rPr>
      </w:pPr>
      <w:r>
        <w:rPr>
          <w:rFonts w:ascii="Arial" w:cs="Arial" w:eastAsia="Arial" w:hAnsi="Arial"/>
          <w:sz w:val="18"/>
          <w:szCs w:val="18"/>
          <w:b w:val="1"/>
          <w:bCs w:val="1"/>
          <w:color w:val="auto"/>
        </w:rPr>
        <w:t>Access to clients through intermediaries and consultants is important to our Asset Management business, and reductions in referrals from such intermediaries or consultants or poor reviews of our products or our organization by such intermediaries or consultants could materially reduce our revenue and impair our ability to attract new clients.</w:t>
      </w:r>
    </w:p>
    <w:p>
      <w:pPr>
        <w:spacing w:after="0" w:line="72"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and consultants review and evaluate our products and our organization. Poor reviews or evaluations of either the particular product or of us may result in client withdrawals or an inability to attract new assets through such intermediaries or consultants.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Our Asset Management business relies on non-affiliated third-party service providers.</w:t>
      </w:r>
    </w:p>
    <w:p>
      <w:pPr>
        <w:spacing w:after="0" w:line="121"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color w:val="auto"/>
        </w:rPr>
        <w:t>Our Asset Management business has entered into service agreements with third-party service providers for client order management and the execution and settlement of client securities transactions. This business faces the risk of operational failure of any of our clearing agents, the exchanges, clearing houses or other intermediaries we use to facilitate our securities transactions. We oversee and manage these relationships. Poor oversight and control or inferior performance or service on the part of the service provider could result in loss of customers and violations of applicable rules and regulations. Any such failure could adversely affect our ability to effect transactions and to manage our exposure to risk.</w:t>
      </w:r>
    </w:p>
    <w:p>
      <w:pPr>
        <w:spacing w:after="0" w:line="27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Our results of operations may be affected by fluctuations in the fair value of positions held in our investment portfolios.</w:t>
      </w:r>
    </w:p>
    <w:p>
      <w:pPr>
        <w:spacing w:after="0" w:line="12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invest capital in various types of equity and debt securities in order to seed equity, debt and alternative investment funds, and for general corporate purposes. Such investments are subject to market fluctuations due to changes in the market prices of securities, interest rates or other market factors, such as liquidity. While we may seek to hedge the market risk for some of these investments, an effective hedge may not be available, and if available, may not be fully effective. These investments are adjusted for accounting purposes to fair value at the end of each quarter regardless of our intended holding period, with any related gains or losses reflected in our results of operations, and therefore may increase the volatility of our earnings, even though such gains or losses may not be realized.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0" w:name="page21"/>
    <w:bookmarkEnd w:id="20"/>
    <w:p>
      <w:pPr>
        <w:ind w:right="60" w:firstLine="598"/>
        <w:spacing w:after="0" w:line="282" w:lineRule="auto"/>
        <w:rPr>
          <w:sz w:val="20"/>
          <w:szCs w:val="20"/>
          <w:color w:val="auto"/>
        </w:rPr>
      </w:pPr>
      <w:r>
        <w:rPr>
          <w:rFonts w:ascii="Arial" w:cs="Arial" w:eastAsia="Arial" w:hAnsi="Arial"/>
          <w:sz w:val="18"/>
          <w:szCs w:val="18"/>
          <w:b w:val="1"/>
          <w:bCs w:val="1"/>
          <w:color w:val="auto"/>
        </w:rPr>
        <w:t>Fluctuations in foreign currency exchange rates could reduce our members’ equity and net income or negatively impact the portfolios of our Asset Management clients and may affect the levels of our AUM.</w:t>
      </w:r>
    </w:p>
    <w:p>
      <w:pPr>
        <w:spacing w:after="0" w:line="5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are exposed to fluctuations in foreign currencies, including through advisory fees paid to our Financial Advisory business and management fees paid to our Asset Management business. Our financial statements are denominated in U.S. Dollars and, for the year ended December 31, 2018, we received approximately 40% of our consolidated net revenue in other currencies, predominantly in Euros, British Pounds and Australian Dollars. In addition, we pay a significant amount of our expenses in such other currencies. The exchange rates of these currencies versus the U.S. Dollar affect the carrying value of our assets and liabilities as well as our revenues, expenses and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89" w:lineRule="exact"/>
        <w:rPr>
          <w:sz w:val="20"/>
          <w:szCs w:val="20"/>
          <w:color w:val="auto"/>
        </w:rPr>
      </w:pPr>
    </w:p>
    <w:p>
      <w:pPr>
        <w:ind w:right="160" w:firstLine="598"/>
        <w:spacing w:after="0" w:line="293" w:lineRule="auto"/>
        <w:rPr>
          <w:sz w:val="20"/>
          <w:szCs w:val="20"/>
          <w:color w:val="auto"/>
        </w:rPr>
      </w:pPr>
      <w:r>
        <w:rPr>
          <w:rFonts w:ascii="Arial" w:cs="Arial" w:eastAsia="Arial" w:hAnsi="Arial"/>
          <w:sz w:val="16"/>
          <w:szCs w:val="16"/>
          <w:color w:val="auto"/>
        </w:rPr>
        <w:t>Fluctuations in foreign currency exchange rates also can impact the portfolios of our Asset Management clients. Client portfolios are invested in securities across the globe, although most portfolios are funded in a single base currency. Foreign currency exchange rate fluctuations can adversely impact investment performance for a client’s portfolio and also may affect the levels of our AUM. As our AUM include significant assets that are denominated in currencies other than U.S. Dollars, an increase in the value of the U.S. Dollar relative to non-U.S. currencies, with all other factors held constant, generally would result in a decrease in the dollar value of our AUM, which, in turn, would result in lower U.S. Dollar-denominated revenue in our Asset Management business. As of December 31, 2018, AUM with foreign currency exposure represented approximately 70% of our total AUM.</w:t>
      </w:r>
    </w:p>
    <w:p>
      <w:pPr>
        <w:spacing w:after="0" w:line="165"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See Note 14 of Notes to Consolidated Financial Statements for additional information regarding the impact on members’ equity from currency translation adjustments and Note 2 of Notes to Consolidated Financial Statements for additional information regarding the impact on operating results from currency transaction adjustments.</w:t>
      </w:r>
    </w:p>
    <w:p>
      <w:pPr>
        <w:spacing w:after="0" w:line="285" w:lineRule="exact"/>
        <w:rPr>
          <w:sz w:val="20"/>
          <w:szCs w:val="20"/>
          <w:color w:val="auto"/>
        </w:rPr>
      </w:pPr>
    </w:p>
    <w:p>
      <w:pPr>
        <w:ind w:right="140" w:firstLine="598"/>
        <w:spacing w:after="0" w:line="313" w:lineRule="auto"/>
        <w:rPr>
          <w:sz w:val="20"/>
          <w:szCs w:val="20"/>
          <w:color w:val="auto"/>
        </w:rPr>
      </w:pPr>
      <w:r>
        <w:rPr>
          <w:rFonts w:ascii="Arial" w:cs="Arial" w:eastAsia="Arial" w:hAnsi="Arial"/>
          <w:sz w:val="17"/>
          <w:szCs w:val="17"/>
          <w:b w:val="1"/>
          <w:bCs w:val="1"/>
          <w:color w:val="auto"/>
        </w:rPr>
        <w:t>We have investments, primarily through our private equity businesses, in relatively high-risk, illiquid assets, and we may lose some or all of the principal amount of these investments or fail to realize any profits from these investments for a considerable period of time.</w:t>
      </w:r>
    </w:p>
    <w:p>
      <w:pPr>
        <w:spacing w:after="0" w:line="34"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color w:val="auto"/>
        </w:rPr>
        <w:t>We have made, and in the future may make, principal investments in public or private companies or in alternative investments (including private equity funds) established by us, and we continue to hold principal investments directly or through funds managed by certain affiliates of Lazard, including Edgewater, as well as third parties. Making principal investments is risky, and we may lose some or all of the principal amount of our 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any related gains or losses would affect our results of operations and could increase the volatility of our earnings, even though such fair value fluctuations may have no cash impact.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69"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color w:val="auto"/>
        </w:rPr>
        <w:t>Our revenue from our private equity business is derived primarily from management fees, which are calculated as a percentage of committed capital or invested capital depending on the stage of each respective fund. Transaction and advisory fees may also be earned. Incentive fees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1" w:name="page22"/>
    <w:bookmarkEnd w:id="21"/>
    <w:p>
      <w:pPr>
        <w:ind w:right="60" w:firstLine="598"/>
        <w:spacing w:after="0" w:line="282" w:lineRule="auto"/>
        <w:rPr>
          <w:sz w:val="20"/>
          <w:szCs w:val="20"/>
          <w:color w:val="auto"/>
        </w:rPr>
      </w:pPr>
      <w:r>
        <w:rPr>
          <w:rFonts w:ascii="Arial" w:cs="Arial" w:eastAsia="Arial" w:hAnsi="Arial"/>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58"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189"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 and further regulation. Such changes may increase the expenses that we incur without necessarily leading to commensurate increases in revenue and income. Certain laws and regulations within the U.S. and externally include extraterritorial application that may lead to overlapping or conflicting legal and regulatory burdens with additional risks and implementation expenses.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92"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The U.S. and other governments and institutions have taken actions, and may in the future take further actions, in response to disruption and volatility in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financial condition and results of operations. While we continue to examine the requirements of new regulations that may become applicable to us in the U.S. and in the European Union (see “Business—Regulation”), and previously announced actual or potential regulations that may be modified, we are not able to predict the ultimate effect on us.</w:t>
      </w:r>
    </w:p>
    <w:p>
      <w:pPr>
        <w:spacing w:after="0" w:line="178"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 In addition, many tax laws and regulations have been modified, or are otherwise under review, in the U.S. and in many other jurisdictions in which we and our clients operate. Actual and proposed changes to these laws and regulations may affect the level of M&amp;A activity, including cross-border M&amp;A activity.</w:t>
      </w:r>
    </w:p>
    <w:p>
      <w:pPr>
        <w:spacing w:after="0" w:line="154"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private equity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73"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client trades also pays for research and other eligible services that are used by investment advisors, is being reexamined by different regulatory bodies and industry participants. Although a substantial portion of the research relied on by our Asset Management business in its investment decision-making processes is generated internally by our investment personnel, external research, including external research and other eligible services traditionally paid for with soft dollars, is also important to the process. This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2" w:name="page23"/>
    <w:bookmarkEnd w:id="22"/>
    <w:p>
      <w:pPr>
        <w:ind w:right="40"/>
        <w:spacing w:after="0" w:line="254" w:lineRule="auto"/>
        <w:rPr>
          <w:sz w:val="20"/>
          <w:szCs w:val="20"/>
          <w:color w:val="auto"/>
        </w:rPr>
      </w:pPr>
      <w:r>
        <w:rPr>
          <w:rFonts w:ascii="Arial" w:cs="Arial" w:eastAsia="Arial" w:hAnsi="Arial"/>
          <w:sz w:val="18"/>
          <w:szCs w:val="18"/>
          <w:color w:val="auto"/>
        </w:rPr>
        <w:t>external research includes materials provided by broker-dealers and research firms, as well as eligible data and analytics services from various sources. In connection with the implementation of the EU Markets in Financial Instruments Directive II (“MiFID II”) in 2018, our Asset Management affiliates in Germany and the U.K. decided to pay for broker research services from their own resources. The ultimate impact of MiFID II and potential similar, future regulatory changes on our Asset Management business and on the financial industry as a whole remains uncertain, although it has reduced our ability to utilize commissions to pay for research services and other soft dollar services in certain European jurisdictions. Similar pressures may come from changes in the asset management industry itself, which may further increase our costs related to external research services. For the year ended December 31, 2018, our Asset Management business obtained research and other eligible services through third-party soft dollar arrangements, the total value of which we estimate to be approximately $30 million.</w:t>
      </w:r>
    </w:p>
    <w:p>
      <w:pPr>
        <w:spacing w:after="0" w:line="192"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In addition, new regulations affecting the asset management business, including those regarding the management of U.S. mutual funds, hedge funds, UCITs funds and the use of certain investment products may impact our Asset Management business and result in increased costs. For example, the European Union has adopted updated directives on the coordination of laws, regulations and administrative provisions relating to undertakings for collective investment in transferable securities (“UCITS V”) with respect to various subjects. Among other things, UCITS V establishes remunerations policies which impact the structure of compensation for certain portfolio managers and other personnel within the Company. UCITS V also establishes certain regulations governing oversight and independence of depository functions. While these rules have already been implemented, they could further impact our personnel or result in changes to our operations, resulting in increased costs to the business. In addition, many regulators around the world, including those in the U.S., continue to adopt disclosure requirements impacting the asset management business, as well as changes to the laws, rules and regulations relating to recordkeeping and reporting obligations.</w:t>
      </w:r>
    </w:p>
    <w:p>
      <w:pPr>
        <w:spacing w:after="0" w:line="182" w:lineRule="exact"/>
        <w:rPr>
          <w:sz w:val="20"/>
          <w:szCs w:val="20"/>
          <w:color w:val="auto"/>
        </w:rPr>
      </w:pPr>
    </w:p>
    <w:p>
      <w:pPr>
        <w:ind w:right="180" w:firstLine="598"/>
        <w:spacing w:after="0" w:line="308" w:lineRule="auto"/>
        <w:rPr>
          <w:sz w:val="20"/>
          <w:szCs w:val="20"/>
          <w:color w:val="auto"/>
        </w:rPr>
      </w:pPr>
      <w:r>
        <w:rPr>
          <w:rFonts w:ascii="Arial" w:cs="Arial" w:eastAsia="Arial" w:hAnsi="Arial"/>
          <w:sz w:val="17"/>
          <w:szCs w:val="17"/>
          <w:color w:val="auto"/>
        </w:rPr>
        <w:t>Legislators and regulators around the world continue to explore changes to, and additional oversight of, the financial industry generally. The impact of the potential changes on us are uncertain and may result in an increase in costs or a reduction of revenue associated with our businesses.</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“Business—Regulation” above for a further discussion of the regulatory environment in which we conduct our businesses.</w:t>
      </w:r>
    </w:p>
    <w:p>
      <w:pPr>
        <w:spacing w:after="0" w:line="329" w:lineRule="exact"/>
        <w:rPr>
          <w:sz w:val="20"/>
          <w:szCs w:val="20"/>
          <w:color w:val="auto"/>
        </w:rPr>
      </w:pPr>
    </w:p>
    <w:p>
      <w:pPr>
        <w:ind w:right="140" w:firstLine="598"/>
        <w:spacing w:after="0" w:line="282" w:lineRule="auto"/>
        <w:rPr>
          <w:sz w:val="20"/>
          <w:szCs w:val="20"/>
          <w:color w:val="auto"/>
        </w:rPr>
      </w:pPr>
      <w:r>
        <w:rPr>
          <w:rFonts w:ascii="Arial" w:cs="Arial" w:eastAsia="Arial" w:hAnsi="Arial"/>
          <w:sz w:val="18"/>
          <w:szCs w:val="18"/>
          <w:b w:val="1"/>
          <w:bCs w:val="1"/>
          <w:color w:val="auto"/>
        </w:rPr>
        <w:t>The financial services industry faces substantial litigation and regulatory risks, and we may face damage to our professional reputation and legal liability if our services are not regarded as satisfactory or if conflicts of interest should arise.</w:t>
      </w:r>
    </w:p>
    <w:p>
      <w:pPr>
        <w:spacing w:after="0" w:line="58"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transactions involves complex analysis and the exercise of professional judgment, including, if appropriate, rendering “fairness opinions” in connection with mergers and other transactions. Our role as advisor to our sovereign and government clients in particular may occasionally result in increased publicity of our involvement with, and our advice to, such clients.</w:t>
      </w:r>
    </w:p>
    <w:p>
      <w:pPr>
        <w:spacing w:after="0" w:line="15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recent years, the volume of claims and amount of damages claimed in litigation and regulatory proceedings against financial advisors has been increasing. The activities of our Financial Advisory business may subject us to the risk of significant legal actions by our clients and third parties, including our clients’ stockholders, under securities or other laws. Such legal actions may include allegations relating to aiding and abetting breaches of fiduciary duties and to materially false or misleading statements made in connection with securities and other transactions. We may also be exposed to potential liability for the fairness opinions and other advice provided to participants in corporate transactions. In our Asset Management business, we make investment decisions on behalf of our clients which could result in substantial losses. Many of our business activities may subject us to the risk of legal actions alleging negligence, misconduct, breach of fiduciary duty or breach of contract.</w:t>
      </w:r>
    </w:p>
    <w:p>
      <w:pPr>
        <w:spacing w:after="0" w:line="189" w:lineRule="exact"/>
        <w:rPr>
          <w:sz w:val="20"/>
          <w:szCs w:val="20"/>
          <w:color w:val="auto"/>
        </w:rPr>
      </w:pPr>
    </w:p>
    <w:p>
      <w:pPr>
        <w:jc w:val="both"/>
        <w:ind w:right="20" w:firstLine="598"/>
        <w:spacing w:after="0" w:line="286" w:lineRule="auto"/>
        <w:rPr>
          <w:sz w:val="20"/>
          <w:szCs w:val="20"/>
          <w:color w:val="auto"/>
        </w:rPr>
      </w:pPr>
      <w:r>
        <w:rPr>
          <w:rFonts w:ascii="Arial" w:cs="Arial" w:eastAsia="Arial" w:hAnsi="Arial"/>
          <w:sz w:val="17"/>
          <w:szCs w:val="17"/>
          <w:color w:val="auto"/>
        </w:rPr>
        <w:t>We increasingly confront actual and potential conflicts of interest relating to our Financial Advisory business, as well as to the fact that we have both a Financial Advisory business and an Asset Management business. It is possible that actual, potential or perceived conflicts of interest could give rise to client dissatisfaction, litigation or regulatory enforcement actions, which could have the effect of limiting our business opportunities. Appropriately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right="40"/>
        <w:spacing w:after="0" w:line="297" w:lineRule="auto"/>
        <w:rPr>
          <w:sz w:val="20"/>
          <w:szCs w:val="20"/>
          <w:color w:val="auto"/>
        </w:rPr>
      </w:pPr>
      <w:r>
        <w:rPr>
          <w:rFonts w:ascii="Arial" w:cs="Arial" w:eastAsia="Arial" w:hAnsi="Arial"/>
          <w:sz w:val="16"/>
          <w:szCs w:val="16"/>
          <w:color w:val="auto"/>
        </w:rPr>
        <w:t>identifying and managing actual or perceived conflicts of interest is complex and difficult, and our reputation could be damaged if we fail, or appear to fail, to deal appropriately with one or more potential or actual conflicts of interest. We have adopted various policies, controls and procedures to address or limit actual or perceived conflicts of interest. However, these policies, controls and procedures may not be adhered to by our employees or be effective in reducing the applicable risks. Any failure of, or failure to adhere to, these policies, controls and procedures may result in regulatory sanctions or client litigation. We may also face competition from time to time from other financial services firms that do not operate under similar policies, controls and procedures.</w:t>
      </w:r>
    </w:p>
    <w:p>
      <w:pPr>
        <w:spacing w:after="0" w:line="158"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Our Financial Advisory engagements typically include broad indemnities from our clients and provisions designed to limit our exposure to legal claims relating to our services, but these provisions may not protect us or may not be available or adhered to in all cases. We also are subject to claims arising from disputes with employees for alleged wrongful termination, discrimination or harassment, among other things. These risks often may be difficult to assess or quantify, and their existence and magnitude often remain unknown for substantial periods of time.</w:t>
      </w:r>
    </w:p>
    <w:p>
      <w:pPr>
        <w:spacing w:after="0" w:line="17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We may incur significant legal expenses in defending against litigation or regulatory action against us. Substantial legal liability or significant regulatory action against us could materially adversely affect our business, financial condition or results of operations and cause significant reputational harm to us, which could seriously harm our business.</w:t>
      </w:r>
    </w:p>
    <w:p>
      <w:pPr>
        <w:spacing w:after="0" w:line="285" w:lineRule="exact"/>
        <w:rPr>
          <w:sz w:val="20"/>
          <w:szCs w:val="20"/>
          <w:color w:val="auto"/>
        </w:rPr>
      </w:pPr>
    </w:p>
    <w:p>
      <w:pPr>
        <w:ind w:right="740" w:firstLine="598"/>
        <w:spacing w:after="0" w:line="282" w:lineRule="auto"/>
        <w:rPr>
          <w:sz w:val="20"/>
          <w:szCs w:val="20"/>
          <w:color w:val="auto"/>
        </w:rPr>
      </w:pPr>
      <w:r>
        <w:rPr>
          <w:rFonts w:ascii="Arial" w:cs="Arial" w:eastAsia="Arial" w:hAnsi="Arial"/>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58"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 confidential information, which could result in legal action, regulatory sanctions and reputational or financial harm. Our Financial Advisory business often requires that we deal with confidences of great significance to our clients or their counterparties, improper use of which may harm our clients or our relationships with our clients. Any breach of confidences as a result of employee misconduct may adversely affect our reputation, impair our ability to attract and retain Financial Advisory clients and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detect and deter employee misconduct, and the precautions we take to detect and prevent this activity may not be effective in all cases.</w:t>
      </w:r>
    </w:p>
    <w:p>
      <w:pPr>
        <w:spacing w:after="0" w:line="178"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In recent years, the U.S. Department of Justice and the SEC have also devoted greater resources to the enforcement of the Foreign Corrupt Practices Act. In addition, the United Kingdom, France and other jurisdictions have expanded the reach of their anti-bribery laws. While we have developed and implemented policies and procedures designed to ensure compliance with anti-bribery and other laws, such policies and procedures may not be effective in all instances to prevent violations. Any determination that we have violated these laws could subject us to, among other things, civil and criminal penalties, material fines, profit disgorgement, injunction against future conduct, securities litigation and reputational damage, any one of which could adversely affect our business, financial condition and results of operations.</w:t>
      </w:r>
    </w:p>
    <w:p>
      <w:pPr>
        <w:spacing w:after="0" w:line="297" w:lineRule="exact"/>
        <w:rPr>
          <w:sz w:val="20"/>
          <w:szCs w:val="20"/>
          <w:color w:val="auto"/>
        </w:rPr>
      </w:pPr>
    </w:p>
    <w:p>
      <w:pPr>
        <w:ind w:right="80" w:firstLine="598"/>
        <w:spacing w:after="0" w:line="347" w:lineRule="auto"/>
        <w:rPr>
          <w:sz w:val="20"/>
          <w:szCs w:val="20"/>
          <w:color w:val="auto"/>
        </w:rPr>
      </w:pPr>
      <w:r>
        <w:rPr>
          <w:rFonts w:ascii="Arial" w:cs="Arial" w:eastAsia="Arial" w:hAnsi="Arial"/>
          <w:sz w:val="16"/>
          <w:szCs w:val="16"/>
          <w:b w:val="1"/>
          <w:bCs w:val="1"/>
          <w:color w:val="auto"/>
        </w:rPr>
        <w:t>A failure in or breach of our information systems or infrastructure, or those of third parties with which we do business, including as a result of cyber attacks, could disrupt our businesses, lead to reputational harm and legal liability or otherwise impact our ability to operate our business.</w:t>
      </w:r>
    </w:p>
    <w:p>
      <w:pPr>
        <w:spacing w:after="0" w:line="12"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Our operations rely on the secure processing, storage and transmission of confidential and other information involving our computer systems, hardware, software and networks, which we refer to as information systems, and involving the information systems of third parties with which we do business. Such information systems, which frequently include “cloud”-based networks and services, may be subject to unauthorized or fraudulent access, computer viruses or other malicious code or other threats, including “phishing” attempts, that are constantly evolving and that could have a security impact on us. There can be no assurance that we will not suffer material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line="270" w:lineRule="auto"/>
        <w:rPr>
          <w:sz w:val="20"/>
          <w:szCs w:val="20"/>
          <w:color w:val="auto"/>
        </w:rPr>
      </w:pPr>
      <w:r>
        <w:rPr>
          <w:rFonts w:ascii="Arial" w:cs="Arial" w:eastAsia="Arial" w:hAnsi="Arial"/>
          <w:sz w:val="17"/>
          <w:szCs w:val="17"/>
          <w:color w:val="auto"/>
        </w:rPr>
        <w:t>losses relating to cyber attacks on, or other security breaches involving, our information systems, or the information systems of third parties with which we do business, despite taking protective measures to prevent such breaches. The increased use of mobile technologies can heighten these and other operational risks. If a successful cyber attack or other security breach were to occur, our confidential or proprietary information, or the confidential or proprietary information of our clients or their counterparties, that is stored in, or transmitted through, such information systems could be compromised or misappropriated. Any such cyber attack or other security breach, or any disruption of or failure in the physical or logical infrastructure or operating systems that support such information systems or our businesses, could significantly impact our ability to operate our businesses and could result in reputational damage, legal liability, the loss of clients or business opportunities and financial losses that are either not insured against or not fully covered through any insurance maintained by us. As cyber threats continue to multiply, become more sophisticated and threaten additional aspects of our businesses, we may also be required to expend additional resources on information security and compliance costs in order to continue to modify or enhance our protective measures or to investigate and remediate any information security vulnerabilities or other exposures.</w:t>
      </w:r>
    </w:p>
    <w:p>
      <w:pPr>
        <w:spacing w:after="0" w:line="28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Other operational risks may disrupt our businesses, result in regulatory action against us or limit our growth.</w:t>
      </w:r>
    </w:p>
    <w:p>
      <w:pPr>
        <w:spacing w:after="0" w:line="121" w:lineRule="exact"/>
        <w:rPr>
          <w:sz w:val="20"/>
          <w:szCs w:val="20"/>
          <w:color w:val="auto"/>
        </w:rPr>
      </w:pPr>
    </w:p>
    <w:p>
      <w:pPr>
        <w:ind w:right="220" w:firstLine="598"/>
        <w:spacing w:after="0" w:line="259" w:lineRule="auto"/>
        <w:rPr>
          <w:sz w:val="20"/>
          <w:szCs w:val="20"/>
          <w:color w:val="auto"/>
        </w:rPr>
      </w:pPr>
      <w:r>
        <w:rPr>
          <w:rFonts w:ascii="Arial" w:cs="Arial" w:eastAsia="Arial" w:hAnsi="Arial"/>
          <w:sz w:val="18"/>
          <w:szCs w:val="18"/>
          <w:color w:val="auto"/>
        </w:rPr>
        <w:t>Our business is highly dependent on communications and information systems, including those of our vendors. Any failure or interruption of these systems, whether caused by fire, other natural disaster, power or telecommunications failure, act of terrorism or war, system modification or upgrade, or otherwise, could materially adversely affect our business. Although back-up systems are in place, our back-up procedures and capabilities in the event of a failure or interruption may not be adequate.</w:t>
      </w:r>
    </w:p>
    <w:p>
      <w:pPr>
        <w:spacing w:after="0" w:line="187" w:lineRule="exact"/>
        <w:rPr>
          <w:sz w:val="20"/>
          <w:szCs w:val="20"/>
          <w:color w:val="auto"/>
        </w:rPr>
      </w:pPr>
    </w:p>
    <w:p>
      <w:pPr>
        <w:ind w:right="80" w:firstLine="598"/>
        <w:spacing w:after="0" w:line="270" w:lineRule="auto"/>
        <w:rPr>
          <w:sz w:val="20"/>
          <w:szCs w:val="20"/>
          <w:color w:val="auto"/>
        </w:rPr>
      </w:pPr>
      <w:r>
        <w:rPr>
          <w:rFonts w:ascii="Arial" w:cs="Arial" w:eastAsia="Arial" w:hAnsi="Arial"/>
          <w:sz w:val="17"/>
          <w:szCs w:val="17"/>
          <w:color w:val="auto"/>
        </w:rPr>
        <w:t>Particularly in our Asset Management business, we rely heavily on our financial, accounting, trading, compliance and other data processing systems, and those of our third party vendors or service providers who support these functions. We expect that we will need to review whether to continue to upgrade and expand the capabilities of these systems in the future to avoid disruption of, or constraints on, our operations, and any such system upgrades or expansions could result in significant costs to us. Certain investment teams within our Asset Management business employ proprietary systems, including quantitative models, in connection with their investment processes. These systems and models are often designed and, with assistance from technology personnel, maintained by employees who are members of those investment teams. If any of the foregoing systems fail to operate properly or are disabled, including for reasons beyond our control,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 In addition, errors resulting from these issues or from human error when conducting a trade or other transaction could expose us to significant risk.</w:t>
      </w:r>
    </w:p>
    <w:p>
      <w:pPr>
        <w:spacing w:after="0" w:line="178"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In addition, if we were to experience a local or regional disaster or other business continuity problem, such as a pandemic or other man-made or natural disaster, our continued success will depend, in part, on the availability of our personnel and office facilities and the proper functioning of our computer, telecommunications, transaction processing and other information systems and operations, as well as those of third parties on whom we rely. Such events could lead us to experience operational challenges, and our inability to successfully recover could materially disrupt our businesses and cause material financial loss, regulatory actions, reputational harm or legal liability.</w:t>
      </w:r>
    </w:p>
    <w:p>
      <w:pPr>
        <w:spacing w:after="0" w:line="188"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For additional information regarding operational risks with respect to our businesses, see “Management’s Discussion and Analysis of Financial Condition and Results of Operations—Operational Risk” below.</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The soundness of third parties, including our clients, as well as financial, governmental and other institutions, could adversely affect us.</w:t>
      </w:r>
    </w:p>
    <w:p>
      <w:pPr>
        <w:spacing w:after="0" w:line="144"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We have exposure to many different industries, institutions, products and counterparties, and we routinely execute transactions with counterparties in the financial services industry, including brokers and dealers, commercial banks, investment banks, mutual and hedge funds and other institutions. Many of these transactions expose us to credit risk in the event of default of our counterparty or client. In addition, our credit and settlement risk may be exacerbated when the collateral held by us, if any, cannot be fully realized or is liquidated at prices not sufficient to recover the full amount of the loan or derivative exposure due to 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5" w:name="page26"/>
    <w:bookmarkEnd w:id="25"/>
    <w:p>
      <w:pPr>
        <w:ind w:right="300" w:firstLine="598"/>
        <w:spacing w:after="0" w:line="282" w:lineRule="auto"/>
        <w:rPr>
          <w:sz w:val="20"/>
          <w:szCs w:val="20"/>
          <w:color w:val="auto"/>
        </w:rPr>
      </w:pPr>
      <w:r>
        <w:rPr>
          <w:rFonts w:ascii="Arial" w:cs="Arial" w:eastAsia="Arial" w:hAnsi="Arial"/>
          <w:sz w:val="18"/>
          <w:szCs w:val="18"/>
          <w:b w:val="1"/>
          <w:bCs w:val="1"/>
          <w:color w:val="auto"/>
        </w:rPr>
        <w:t>Failure to maintain effective internal controls in accordance with Section 404 of the Sarbanes-Oxley Act could materially adversely affect our business.</w:t>
      </w:r>
    </w:p>
    <w:p>
      <w:pPr>
        <w:spacing w:after="0" w:line="58"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our internal control over financial reporting. We are in compliance with Section 404 of the Sarbanes-Oxley Act as of December 31, 2018.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materially adversely affect our business.</w:t>
      </w:r>
    </w:p>
    <w:p>
      <w:pPr>
        <w:spacing w:after="0" w:line="269" w:lineRule="exact"/>
        <w:rPr>
          <w:sz w:val="20"/>
          <w:szCs w:val="20"/>
          <w:color w:val="auto"/>
        </w:rPr>
      </w:pPr>
    </w:p>
    <w:p>
      <w:pPr>
        <w:ind w:right="220" w:firstLine="598"/>
        <w:spacing w:after="0" w:line="282" w:lineRule="auto"/>
        <w:rPr>
          <w:sz w:val="20"/>
          <w:szCs w:val="20"/>
          <w:color w:val="auto"/>
        </w:rPr>
      </w:pPr>
      <w:r>
        <w:rPr>
          <w:rFonts w:ascii="Arial" w:cs="Arial" w:eastAsia="Arial" w:hAnsi="Arial"/>
          <w:sz w:val="18"/>
          <w:szCs w:val="18"/>
          <w:b w:val="1"/>
          <w:bCs w:val="1"/>
          <w:color w:val="auto"/>
        </w:rPr>
        <w:t>We may pursue acquisitions, joint ventures, cooperation agreements or other growth or geographic expansion strategies that may result in additional risks and uncertainties in our business and could present unforeseen integration obstacles or costs.</w:t>
      </w:r>
    </w:p>
    <w:p>
      <w:pPr>
        <w:spacing w:after="0" w:line="58" w:lineRule="exact"/>
        <w:rPr>
          <w:sz w:val="20"/>
          <w:szCs w:val="20"/>
          <w:color w:val="auto"/>
        </w:rPr>
      </w:pPr>
    </w:p>
    <w:p>
      <w:pPr>
        <w:jc w:val="both"/>
        <w:ind w:right="280" w:firstLine="598"/>
        <w:spacing w:after="0" w:line="312" w:lineRule="auto"/>
        <w:rPr>
          <w:sz w:val="20"/>
          <w:szCs w:val="20"/>
          <w:color w:val="auto"/>
        </w:rPr>
      </w:pPr>
      <w:r>
        <w:rPr>
          <w:rFonts w:ascii="Arial" w:cs="Arial" w:eastAsia="Arial" w:hAnsi="Arial"/>
          <w:sz w:val="16"/>
          <w:szCs w:val="16"/>
          <w:color w:val="auto"/>
        </w:rPr>
        <w:t>We routinely assess our strategic position and may in the future seek acquisitions or other transactions or growth strategies to further enhance our competitive position. We have in the past pursued joint ventures and other transactions aimed at expanding the geography and scope of our operations. We expect to continue to explore acquisitions, growth strategies and partnership or strategic alliance opportunities that we believe to be attractive.</w:t>
      </w:r>
    </w:p>
    <w:p>
      <w:pPr>
        <w:spacing w:after="0" w:line="147"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Acquisitions, growth strategies and joint ventures involve a number of risks and present financial, managerial and operational challenges. These risks and challenges include potential disruption of our ongoing business and distraction of management, difficulty integrating personnel and financial and other systems, difficulty hiring additional management and other critical personnel, and other challenges arising from the increased scope, geographic diversity and complexity of our operations.</w:t>
      </w:r>
    </w:p>
    <w:p>
      <w:pPr>
        <w:spacing w:after="0" w:line="187"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color w:val="auto"/>
        </w:rPr>
        <w:t>To the extent that we pursue business opportunities outside of the United States and our other principal business locations, including through acquisitions, joint ventures or other geographic expansion of our existing businesses, we may become subject to political, economic, legal, operational, regulatory and other risks that are inherent in operating in a foreign country, including risks of potential price, capital and currency exchange controls, licensing requirements and other regulatory restrictions, as well as the risk of hostile actions against or affecting our business or people. Our ability to remain in compliance with local laws in a particular foreign jurisdiction could adversely affect our businesses and our reputation.</w:t>
      </w:r>
    </w:p>
    <w:p>
      <w:pPr>
        <w:spacing w:after="0" w:line="173" w:lineRule="exact"/>
        <w:rPr>
          <w:sz w:val="20"/>
          <w:szCs w:val="20"/>
          <w:color w:val="auto"/>
        </w:rPr>
      </w:pPr>
    </w:p>
    <w:p>
      <w:pPr>
        <w:ind w:right="200" w:firstLine="598"/>
        <w:spacing w:after="0" w:line="302" w:lineRule="auto"/>
        <w:rPr>
          <w:sz w:val="20"/>
          <w:szCs w:val="20"/>
          <w:color w:val="auto"/>
        </w:rPr>
      </w:pPr>
      <w:r>
        <w:rPr>
          <w:rFonts w:ascii="Arial" w:cs="Arial" w:eastAsia="Arial" w:hAnsi="Arial"/>
          <w:sz w:val="16"/>
          <w:szCs w:val="16"/>
          <w:color w:val="auto"/>
        </w:rPr>
        <w:t>In addition, our clients and other stakeholders may react unfavorably to our acquisition, growth and joint venture strategies, we may not realize any anticipated benefits from such strategies, we may be exposed to additional liabilities of any acquired business or joint venture, we may be exposed to litigation in connection with an acquisition, growth or joint venture transaction, and we may not be able to renew on similar terms (or at all) previously successful joint ventures or similar arrangements, any of which could materially adversely affect our revenue, financial position and results of operations.</w:t>
      </w:r>
    </w:p>
    <w:p>
      <w:pPr>
        <w:spacing w:after="0" w:line="258" w:lineRule="exact"/>
        <w:rPr>
          <w:sz w:val="20"/>
          <w:szCs w:val="20"/>
          <w:color w:val="auto"/>
        </w:rPr>
      </w:pPr>
    </w:p>
    <w:p>
      <w:pPr>
        <w:ind w:right="100" w:firstLine="598"/>
        <w:spacing w:after="0" w:line="282" w:lineRule="auto"/>
        <w:rPr>
          <w:sz w:val="20"/>
          <w:szCs w:val="20"/>
          <w:color w:val="auto"/>
        </w:rPr>
      </w:pPr>
      <w:r>
        <w:rPr>
          <w:rFonts w:ascii="Arial" w:cs="Arial" w:eastAsia="Arial" w:hAnsi="Arial"/>
          <w:sz w:val="18"/>
          <w:szCs w:val="18"/>
          <w:b w:val="1"/>
          <w:bCs w:val="1"/>
          <w:color w:val="auto"/>
        </w:rPr>
        <w:t>An inability to access the debt and equity capital markets as a result of our debt obligations, credit ratings or other factors could impair our liquidity, increase our borrowing costs or otherwise adversely affect our financial position or results of operations.</w:t>
      </w:r>
    </w:p>
    <w:p>
      <w:pPr>
        <w:spacing w:after="0" w:line="58"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As of December 31, 2018, Lazard Group and its subsidiaries had approximately $1.5 billion in debt outstanding, of which $250 million, $400 million, $300 million and $500 million relate to Lazard Group senior notes that mature in 2020, 2025, 2027 and 2028, respectively. This debt has certain mandated payment obligations, which may constrain our ability to operate our business. If we decide to redeem or retire this debt before maturity, we may be required to pay a significant premium to do so, which may adversely impact our earnings and affect our financial position.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for a variety of other possible reasons. In addition, our borrowing costs and our access to the debt capital markets depend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6" w:name="page27"/>
    <w:bookmarkEnd w:id="26"/>
    <w:p>
      <w:pPr>
        <w:ind w:right="300"/>
        <w:spacing w:after="0" w:line="277" w:lineRule="auto"/>
        <w:rPr>
          <w:sz w:val="20"/>
          <w:szCs w:val="20"/>
          <w:color w:val="auto"/>
        </w:rPr>
      </w:pPr>
      <w:r>
        <w:rPr>
          <w:rFonts w:ascii="Arial" w:cs="Arial" w:eastAsia="Arial" w:hAnsi="Arial"/>
          <w:sz w:val="18"/>
          <w:szCs w:val="18"/>
          <w:color w:val="auto"/>
        </w:rPr>
        <w:t>significantly on our credit ratings. These ratings are assigned by rating agencies, which may reduce or withdraw their ratings or place us on “credit watch” with negative implications at any time.</w:t>
      </w:r>
    </w:p>
    <w:p>
      <w:pPr>
        <w:spacing w:after="0" w:line="275" w:lineRule="exact"/>
        <w:rPr>
          <w:sz w:val="20"/>
          <w:szCs w:val="20"/>
          <w:color w:val="auto"/>
        </w:rPr>
      </w:pPr>
    </w:p>
    <w:p>
      <w:pPr>
        <w:ind w:right="160" w:firstLine="598"/>
        <w:spacing w:after="0" w:line="282" w:lineRule="auto"/>
        <w:rPr>
          <w:sz w:val="20"/>
          <w:szCs w:val="20"/>
          <w:color w:val="auto"/>
        </w:rPr>
      </w:pPr>
      <w:r>
        <w:rPr>
          <w:rFonts w:ascii="Arial" w:cs="Arial" w:eastAsia="Arial" w:hAnsi="Arial"/>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58" w:lineRule="exact"/>
        <w:rPr>
          <w:sz w:val="20"/>
          <w:szCs w:val="20"/>
          <w:color w:val="auto"/>
        </w:rPr>
      </w:pPr>
    </w:p>
    <w:p>
      <w:pPr>
        <w:ind w:right="100" w:firstLine="598"/>
        <w:spacing w:after="0" w:line="271" w:lineRule="auto"/>
        <w:rPr>
          <w:sz w:val="20"/>
          <w:szCs w:val="20"/>
          <w:color w:val="auto"/>
        </w:rPr>
      </w:pPr>
      <w:r>
        <w:rPr>
          <w:rFonts w:ascii="Arial" w:cs="Arial" w:eastAsia="Arial" w:hAnsi="Arial"/>
          <w:sz w:val="17"/>
          <w:szCs w:val="17"/>
          <w:color w:val="auto"/>
        </w:rPr>
        <w:t>Lazard Group depends on its subsidiaries, which conduct the operations of its businesses, for distributions, dividends and other payments to generate the funds necessary to meet its financial obligations, including payments of principal and interest on its indebtedness. However, none of Lazard Group’s subsidiaries is obligated to make funds available to it for servicing such financial obligations, and the group of entities that constitute Lazard Group’s subsidiaries may change over time.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obligations of Lazard Group’s subsidiaries, regulatory requirements with respect to our broker-dealer and other regulated subsidiaries, foreign exchange controls and a variety of other factors may impede our subsidiaries’ ability to provide Lazard Group with sufficient dividends, distributions or loans to fund its financial obligations, when due.</w:t>
      </w:r>
    </w:p>
    <w:p>
      <w:pPr>
        <w:spacing w:after="0" w:line="67" w:lineRule="exact"/>
        <w:rPr>
          <w:sz w:val="20"/>
          <w:szCs w:val="20"/>
          <w:color w:val="auto"/>
        </w:rPr>
      </w:pPr>
    </w:p>
    <w:p>
      <w:pPr>
        <w:ind w:right="200" w:firstLine="598"/>
        <w:spacing w:after="0" w:line="313" w:lineRule="auto"/>
        <w:rPr>
          <w:sz w:val="20"/>
          <w:szCs w:val="20"/>
          <w:color w:val="auto"/>
        </w:rPr>
      </w:pPr>
      <w:r>
        <w:rPr>
          <w:rFonts w:ascii="Arial" w:cs="Arial" w:eastAsia="Arial" w:hAnsi="Arial"/>
          <w:sz w:val="17"/>
          <w:szCs w:val="17"/>
          <w:b w:val="1"/>
          <w:bCs w:val="1"/>
          <w:color w:val="auto"/>
        </w:rPr>
        <w:t>In the event of a change or adverse interpretation of relevant income tax law, regulation or treaty, or a failure to qualify for treaty benefits, our overall tax rate may be substantially higher than the rate used for purposes of our consolidated financial statements.</w:t>
      </w:r>
    </w:p>
    <w:p>
      <w:pPr>
        <w:spacing w:after="0" w:line="34"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Our effective tax rate is based upon the application of currently applicable income tax laws, regulations and treaties, and current judicial and administrative interpretations of those income tax laws, regulations and treaties. Those income tax laws, regulations and treaties, and the administrative and judicial interpretations of them, are subject to change at any time, and any such change may be retroactive.</w:t>
      </w:r>
    </w:p>
    <w:p>
      <w:pPr>
        <w:spacing w:after="0" w:line="181"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On December 22, 2017, the Tax Cuts and Jobs Act (the “Tax Act”) was enacted. The Tax Act significantly revised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included several provisions that limited the benefit of the tax rate reduction, such as restricting the deductibility of interest expense and other corporate business expenses.</w:t>
      </w:r>
    </w:p>
    <w:p>
      <w:pPr>
        <w:spacing w:after="0" w:line="171"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The international tax provisions of the Tax Act are complex and the ultimate impact on us of the international provisions, such as the base erosion and anti-abuse tax (“BEAT”), the tax on global intangible low- taxed income (“GILTI”) and the other provisions of the Tax Act is uncertain. Although clarifying guidance and proposed regulations were issued by the U.S. Internal Revenue Service (“IRS”) in 2018, further guidance and the finalization of those regulations is expected in the near term and any changes to our understanding of the Tax Act could adversely affect us.</w:t>
      </w:r>
    </w:p>
    <w:p>
      <w:pPr>
        <w:spacing w:after="0" w:line="171"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U.S. and foreign governments, institutions (including the European Union and the Organization of Economically Developed Countries) and tax officials have produced and continue to implement many laws, regulations, and treaties that currently govern the taxation of multinational companies. Any implementation of, or changes to, any such laws, regulations and treaties that impact us could materially adversely affect our business, financial condition or results of operations.</w:t>
      </w:r>
    </w:p>
    <w:p>
      <w:pPr>
        <w:spacing w:after="0" w:line="291" w:lineRule="exact"/>
        <w:rPr>
          <w:sz w:val="20"/>
          <w:szCs w:val="20"/>
          <w:color w:val="auto"/>
        </w:rPr>
      </w:pPr>
    </w:p>
    <w:p>
      <w:pPr>
        <w:ind w:right="80" w:firstLine="598"/>
        <w:spacing w:after="0" w:line="282" w:lineRule="auto"/>
        <w:rPr>
          <w:sz w:val="20"/>
          <w:szCs w:val="20"/>
          <w:color w:val="auto"/>
        </w:rPr>
      </w:pPr>
      <w:r>
        <w:rPr>
          <w:rFonts w:ascii="Arial" w:cs="Arial" w:eastAsia="Arial" w:hAnsi="Arial"/>
          <w:sz w:val="18"/>
          <w:szCs w:val="18"/>
          <w:b w:val="1"/>
          <w:bCs w:val="1"/>
          <w:color w:val="auto"/>
        </w:rPr>
        <w:t>Tax authorities may challenge our tax computations and classifications, our transfer pricing methods, and our application of related policies and methods.</w:t>
      </w:r>
    </w:p>
    <w:p>
      <w:pPr>
        <w:spacing w:after="0" w:line="166"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color w:val="auto"/>
        </w:rPr>
        <w:t>Our tax returns are subject to audit by federal, local and foreign tax authorities. These authorities may successfully challenge certain tax positions or deductions taken by our subsidiaries. For example, tax authorities may contest intercompany allocations of fee income, management charges or interest charges among affiliates in different tax jurisdictions. While we believe that we have provided the appropriate required reserves (see Note 2 of Notes to Consolidated Financial Statements), it is possible that a tax authority may disagree with all, or a portion,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tax benefits claimed. If a tax authority were to successfully challenge our positions, it could result in significant additional tax costs.</w:t>
      </w:r>
    </w:p>
    <w:p>
      <w:pPr>
        <w:spacing w:after="0" w:line="225"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addition, there are additional transfer pricing and standardized country by country reporting requirements being implemented. Additional information from country by country reporting, certain local information sharing arrangements, and other documentation held by tax authorities is expected to be subject to greater information sharing arrangements and any challenges from tax authorities reviewing such information could adversely impact our overall tax obligations or our business, financial condition or results of operations.</w:t>
      </w:r>
    </w:p>
    <w:p>
      <w:pPr>
        <w:spacing w:after="0" w:line="291" w:lineRule="exact"/>
        <w:rPr>
          <w:sz w:val="20"/>
          <w:szCs w:val="20"/>
          <w:color w:val="auto"/>
        </w:rPr>
      </w:pPr>
    </w:p>
    <w:p>
      <w:pPr>
        <w:ind w:right="100" w:firstLine="598"/>
        <w:spacing w:after="0" w:line="282" w:lineRule="auto"/>
        <w:rPr>
          <w:sz w:val="20"/>
          <w:szCs w:val="20"/>
          <w:color w:val="auto"/>
        </w:rPr>
      </w:pPr>
      <w:r>
        <w:rPr>
          <w:rFonts w:ascii="Arial" w:cs="Arial" w:eastAsia="Arial" w:hAnsi="Arial"/>
          <w:sz w:val="18"/>
          <w:szCs w:val="18"/>
          <w:b w:val="1"/>
          <w:bCs w:val="1"/>
          <w:color w:val="auto"/>
        </w:rPr>
        <w:t>Uncertainty regarding the outcome of future arrangements between the European Union and the United Kingdom may adversely affect our business.</w:t>
      </w:r>
    </w:p>
    <w:p>
      <w:pPr>
        <w:spacing w:after="0" w:line="58"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The Company has a significant presence in many European Union countries, including the United Kingdom. The U.K. is scheduled to depart the European Union on March 29, 2019. The U.K. Government and the European Union are discussing a draft withdrawal agreement that would include transitional arrangements to apply following the U.K.’s departure. If the withdrawal agreement is approved, the U.K. Government and the European Union would then negotiate the details of future trading arrangements that would apply after the expiration of the transitional arrangements. At the time that the U.K. leaves the European Union, the commercial, regulatory and legal environment that would exist, and to which the Company’s U.K. operations would be subject, will be impacted by the nature of the arrangements that are under negotiation and yet to be determined between the U.K and the European Union. The details of these arrangements are hard to predict, and uncertainty regarding their outcome may continue. The Company currently does not believe that any of the potential arrangements that are likely to be agreed will have a material adverse impact on the Company’s business. These potential arrangements may, however, result in certain changes in the way that we conduct our businesses, which could result in increased costs. In addition, the fact that the U.K. is scheduled to leave the European Union and the uncertainty it has produced has impacted, and may continue to impact, geopolitical perspectives and macroeconomic factors including interest rates, foreign currency exchange rates and equity markets, and it has increased volatility in certain markets in which we operate. If these conditions continue or if current conditions worsen, our businesses may be adversely affected, which may impact our financial position and results of operations. See “Difficult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firstLine="598"/>
        <w:spacing w:after="0" w:line="289" w:lineRule="auto"/>
        <w:rPr>
          <w:sz w:val="20"/>
          <w:szCs w:val="20"/>
          <w:color w:val="auto"/>
        </w:rPr>
      </w:pPr>
      <w:r>
        <w:rPr>
          <w:rFonts w:ascii="Arial" w:cs="Arial" w:eastAsia="Arial" w:hAnsi="Arial"/>
          <w:sz w:val="16"/>
          <w:szCs w:val="16"/>
          <w:color w:val="auto"/>
        </w:rPr>
        <w:t>We have made statements under the captions “Business,” “Risk Factors,” “Management’s Discussion and Analysis of Financial Condition and Results of Operations” and in other sections of this Form 10-K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the numerous risks and uncertainties outlined in “Risk Factors,” including the following:</w:t>
      </w:r>
    </w:p>
    <w:p>
      <w:pPr>
        <w:spacing w:after="0" w:line="59" w:lineRule="exact"/>
        <w:rPr>
          <w:sz w:val="20"/>
          <w:szCs w:val="20"/>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or regional financial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M&amp;A activity, our share of the M&amp;A market or our AUM;</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These risks and uncertainties are not exhaustive. Other sections of this Form 10-K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goals, including ratios of compensation and benefits expense to operating revenue;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deploy surplus cash through distributions to members, purchases of Class A common stock and debt repurchases;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29" w:name="page30"/>
    <w:bookmarkEnd w:id="29"/>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impact of investments in our technology infrastructure and data science capabilities;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17"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1200" w:right="520" w:hanging="598"/>
        <w:spacing w:after="0" w:line="308" w:lineRule="auto"/>
        <w:tabs>
          <w:tab w:leader="none" w:pos="1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expectations with respect to the economy, the securities markets, the market for mergers, acquisitions, restructuring and other financial advisory activity, the market for asset management activity and other macroeconomic, regional and industry trends;</w:t>
      </w:r>
    </w:p>
    <w:p>
      <w:pPr>
        <w:spacing w:after="0" w:line="38" w:lineRule="exact"/>
        <w:rPr>
          <w:rFonts w:ascii="Arial" w:cs="Arial" w:eastAsia="Arial" w:hAnsi="Arial"/>
          <w:sz w:val="17"/>
          <w:szCs w:val="17"/>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of new or future legislation and regulation, including tax laws and regulations, on our business.</w:t>
      </w:r>
    </w:p>
    <w:p>
      <w:pPr>
        <w:spacing w:after="0" w:line="225"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our Asset Management business. Investors can link to Lazard Ltd, Lazard Group and their operating company websites through </w:t>
      </w:r>
      <w:r>
        <w:rPr>
          <w:rFonts w:ascii="Arial" w:cs="Arial" w:eastAsia="Arial" w:hAnsi="Arial"/>
          <w:sz w:val="18"/>
          <w:szCs w:val="18"/>
          <w:i w:val="1"/>
          <w:iCs w:val="1"/>
          <w:color w:val="auto"/>
        </w:rPr>
        <w:t xml:space="preserve">http://www.lazard.com. </w:t>
      </w:r>
      <w:r>
        <w:rPr>
          <w:rFonts w:ascii="Arial" w:cs="Arial" w:eastAsia="Arial" w:hAnsi="Arial"/>
          <w:sz w:val="18"/>
          <w:szCs w:val="18"/>
          <w:color w:val="auto"/>
        </w:rPr>
        <w:t>Our websites and social media sites and the information contained therein or connected thereto shall not be deemed to be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into this Form 10-K.</w:t>
      </w:r>
    </w:p>
    <w:p>
      <w:pPr>
        <w:spacing w:after="0" w:line="29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December 31, 2018 relating to our periodic or current reports under the Exchange Act.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tabs>
          <w:tab w:leader="none" w:pos="13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following table lists the properties used for the entire Lazard organization as of December 31, 2018. As a general matter, one or both of our Financial Advisory and Asset Management segments (as well as our Corporate segment) uses the following properties. Our London and other offices sublease 71,207 and 7,071 square feet, respectively, to third parties. We remain fully liable for the subleased space to the extent that the subtenants fail to perform their obligations under the subleases for any reason.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3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Square Footage</w:t>
            </w:r>
          </w:p>
        </w:tc>
        <w:tc>
          <w:tcPr>
            <w:tcW w:w="5080" w:type="dxa"/>
            <w:vAlign w:val="bottom"/>
          </w:tcPr>
          <w:p>
            <w:pPr>
              <w:ind w:left="2320"/>
              <w:spacing w:after="0"/>
              <w:rPr>
                <w:sz w:val="20"/>
                <w:szCs w:val="20"/>
                <w:color w:val="auto"/>
              </w:rPr>
            </w:pPr>
            <w:r>
              <w:rPr>
                <w:rFonts w:ascii="Arial" w:cs="Arial" w:eastAsia="Arial" w:hAnsi="Arial"/>
                <w:sz w:val="14"/>
                <w:szCs w:val="14"/>
                <w:b w:val="1"/>
                <w:bCs w:val="1"/>
                <w:color w:val="auto"/>
              </w:rPr>
              <w:t>Offices</w:t>
            </w:r>
          </w:p>
        </w:tc>
      </w:tr>
      <w:tr>
        <w:trPr>
          <w:trHeight w:val="209"/>
        </w:trPr>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New York City</w:t>
            </w:r>
          </w:p>
        </w:tc>
        <w:tc>
          <w:tcPr>
            <w:tcW w:w="160" w:type="dxa"/>
            <w:vAlign w:val="bottom"/>
            <w:tcBorders>
              <w:top w:val="single" w:sz="8" w:color="CFF0FC"/>
            </w:tcBorders>
            <w:shd w:val="clear" w:color="auto" w:fill="CFF0FC"/>
          </w:tcPr>
          <w:p>
            <w:pPr>
              <w:spacing w:after="0"/>
              <w:rPr>
                <w:sz w:val="18"/>
                <w:szCs w:val="18"/>
                <w:color w:val="auto"/>
              </w:rPr>
            </w:pPr>
          </w:p>
        </w:tc>
        <w:tc>
          <w:tcPr>
            <w:tcW w:w="3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446,524 square feet of</w:t>
            </w:r>
          </w:p>
        </w:tc>
        <w:tc>
          <w:tcPr>
            <w:tcW w:w="160" w:type="dxa"/>
            <w:vAlign w:val="bottom"/>
            <w:tcBorders>
              <w:top w:val="single" w:sz="8" w:color="CFF0FC"/>
            </w:tcBorders>
            <w:shd w:val="clear" w:color="auto" w:fill="CFF0FC"/>
          </w:tcPr>
          <w:p>
            <w:pPr>
              <w:spacing w:after="0"/>
              <w:rPr>
                <w:sz w:val="18"/>
                <w:szCs w:val="18"/>
                <w:color w:val="auto"/>
              </w:rPr>
            </w:pPr>
          </w:p>
        </w:tc>
        <w:tc>
          <w:tcPr>
            <w:tcW w:w="5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Principal office located at 30 Rockefeller Plaza</w:t>
            </w:r>
          </w:p>
        </w:tc>
      </w:tr>
      <w:tr>
        <w:trPr>
          <w:trHeight w:val="230"/>
        </w:trPr>
        <w:tc>
          <w:tcPr>
            <w:tcW w:w="2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2"/>
              </w:rPr>
              <w:t>leased space</w:t>
            </w:r>
          </w:p>
        </w:tc>
        <w:tc>
          <w:tcPr>
            <w:tcW w:w="5080" w:type="dxa"/>
            <w:vAlign w:val="bottom"/>
            <w:shd w:val="clear" w:color="auto" w:fill="CFF0FC"/>
          </w:tcPr>
          <w:p>
            <w:pPr>
              <w:spacing w:after="0"/>
              <w:rPr>
                <w:sz w:val="20"/>
                <w:szCs w:val="20"/>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Other Americas</w:t>
            </w: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186,584 square feet of</w:t>
            </w:r>
          </w:p>
        </w:tc>
        <w:tc>
          <w:tcPr>
            <w:tcW w:w="5080" w:type="dxa"/>
            <w:vAlign w:val="bottom"/>
          </w:tcPr>
          <w:p>
            <w:pPr>
              <w:spacing w:after="0"/>
              <w:rPr>
                <w:sz w:val="20"/>
                <w:szCs w:val="20"/>
                <w:color w:val="auto"/>
              </w:rPr>
            </w:pPr>
            <w:r>
              <w:rPr>
                <w:rFonts w:ascii="Arial" w:cs="Arial" w:eastAsia="Arial" w:hAnsi="Arial"/>
                <w:sz w:val="18"/>
                <w:szCs w:val="18"/>
                <w:color w:val="auto"/>
                <w:w w:val="95"/>
              </w:rPr>
              <w:t>Bogota, Boston, Buenos Aires, Charlotte, Chicago, Houston, Lima,</w:t>
            </w:r>
          </w:p>
        </w:tc>
      </w:tr>
      <w:tr>
        <w:trPr>
          <w:trHeight w:val="216"/>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2"/>
              </w:rPr>
              <w:t>leased space</w:t>
            </w:r>
          </w:p>
        </w:tc>
        <w:tc>
          <w:tcPr>
            <w:tcW w:w="5080" w:type="dxa"/>
            <w:vAlign w:val="bottom"/>
          </w:tcPr>
          <w:p>
            <w:pPr>
              <w:spacing w:after="0"/>
              <w:rPr>
                <w:sz w:val="20"/>
                <w:szCs w:val="20"/>
                <w:color w:val="auto"/>
              </w:rPr>
            </w:pPr>
            <w:r>
              <w:rPr>
                <w:rFonts w:ascii="Arial" w:cs="Arial" w:eastAsia="Arial" w:hAnsi="Arial"/>
                <w:sz w:val="18"/>
                <w:szCs w:val="18"/>
                <w:color w:val="auto"/>
                <w:w w:val="93"/>
              </w:rPr>
              <w:t>Los Angeles, Mexico City, Minneapolis, Montreal, Panama City, San</w:t>
            </w:r>
          </w:p>
        </w:tc>
      </w:tr>
      <w:tr>
        <w:trPr>
          <w:trHeight w:val="230"/>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Francisco, Santiago and São Paulo</w:t>
            </w: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Paris</w:t>
            </w: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8"/>
              </w:rPr>
              <w:t>148,502 square feet of</w:t>
            </w: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Principal office located at 121 Boulevard Haussmann</w:t>
            </w:r>
          </w:p>
        </w:tc>
      </w:tr>
      <w:tr>
        <w:trPr>
          <w:trHeight w:val="230"/>
        </w:trPr>
        <w:tc>
          <w:tcPr>
            <w:tcW w:w="2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6"/>
              </w:rPr>
              <w:t>owned and leased space</w:t>
            </w:r>
          </w:p>
        </w:tc>
        <w:tc>
          <w:tcPr>
            <w:tcW w:w="5080" w:type="dxa"/>
            <w:vAlign w:val="bottom"/>
            <w:shd w:val="clear" w:color="auto" w:fill="CFF0FC"/>
          </w:tcPr>
          <w:p>
            <w:pPr>
              <w:spacing w:after="0"/>
              <w:rPr>
                <w:sz w:val="20"/>
                <w:szCs w:val="20"/>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London</w:t>
            </w: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144,448 square feet of</w:t>
            </w:r>
          </w:p>
        </w:tc>
        <w:tc>
          <w:tcPr>
            <w:tcW w:w="5080" w:type="dxa"/>
            <w:vAlign w:val="bottom"/>
          </w:tcPr>
          <w:p>
            <w:pPr>
              <w:spacing w:after="0"/>
              <w:rPr>
                <w:sz w:val="20"/>
                <w:szCs w:val="20"/>
                <w:color w:val="auto"/>
              </w:rPr>
            </w:pPr>
            <w:r>
              <w:rPr>
                <w:rFonts w:ascii="Arial" w:cs="Arial" w:eastAsia="Arial" w:hAnsi="Arial"/>
                <w:sz w:val="18"/>
                <w:szCs w:val="18"/>
                <w:color w:val="auto"/>
              </w:rPr>
              <w:t>Principal office located at 50 Stratton Street</w:t>
            </w:r>
          </w:p>
        </w:tc>
      </w:tr>
      <w:tr>
        <w:trPr>
          <w:trHeight w:val="230"/>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2"/>
              </w:rPr>
              <w:t>leased space</w:t>
            </w:r>
          </w:p>
        </w:tc>
        <w:tc>
          <w:tcPr>
            <w:tcW w:w="5080" w:type="dxa"/>
            <w:vAlign w:val="bottom"/>
          </w:tcPr>
          <w:p>
            <w:pPr>
              <w:spacing w:after="0"/>
              <w:rPr>
                <w:sz w:val="20"/>
                <w:szCs w:val="20"/>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EMEA</w:t>
            </w: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8"/>
              </w:rPr>
              <w:t>124,229 square feet of</w:t>
            </w: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w w:val="94"/>
              </w:rPr>
              <w:t>Amsterdam, Bordeaux, Brussels, Dubai, Dublin, Frankfurt, Geneva,</w:t>
            </w:r>
          </w:p>
        </w:tc>
      </w:tr>
      <w:tr>
        <w:trPr>
          <w:trHeight w:val="216"/>
        </w:trPr>
        <w:tc>
          <w:tcPr>
            <w:tcW w:w="2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2"/>
              </w:rPr>
              <w:t>leased space</w:t>
            </w: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Hamburg, Lyon, Madrid, Milan, Nantes, Riyadh, Stockholm and</w:t>
            </w:r>
          </w:p>
        </w:tc>
      </w:tr>
      <w:tr>
        <w:trPr>
          <w:trHeight w:val="230"/>
        </w:trPr>
        <w:tc>
          <w:tcPr>
            <w:tcW w:w="2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Zurich</w:t>
            </w: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68,331 square feet of</w:t>
            </w:r>
          </w:p>
        </w:tc>
        <w:tc>
          <w:tcPr>
            <w:tcW w:w="5080" w:type="dxa"/>
            <w:vAlign w:val="bottom"/>
          </w:tcPr>
          <w:p>
            <w:pPr>
              <w:spacing w:after="0"/>
              <w:rPr>
                <w:sz w:val="20"/>
                <w:szCs w:val="20"/>
                <w:color w:val="auto"/>
              </w:rPr>
            </w:pPr>
            <w:r>
              <w:rPr>
                <w:rFonts w:ascii="Arial" w:cs="Arial" w:eastAsia="Arial" w:hAnsi="Arial"/>
                <w:sz w:val="18"/>
                <w:szCs w:val="18"/>
                <w:color w:val="auto"/>
                <w:w w:val="95"/>
              </w:rPr>
              <w:t>Beijing, Hong Kong, Melbourne, Mumbai, Perth, Seoul, Singapore,</w:t>
            </w:r>
          </w:p>
        </w:tc>
      </w:tr>
      <w:tr>
        <w:trPr>
          <w:trHeight w:val="230"/>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2"/>
              </w:rPr>
              <w:t>leased space</w:t>
            </w:r>
          </w:p>
        </w:tc>
        <w:tc>
          <w:tcPr>
            <w:tcW w:w="5080" w:type="dxa"/>
            <w:vAlign w:val="bottom"/>
          </w:tcPr>
          <w:p>
            <w:pPr>
              <w:spacing w:after="0"/>
              <w:rPr>
                <w:sz w:val="20"/>
                <w:szCs w:val="20"/>
                <w:color w:val="auto"/>
              </w:rPr>
            </w:pPr>
            <w:r>
              <w:rPr>
                <w:rFonts w:ascii="Arial" w:cs="Arial" w:eastAsia="Arial" w:hAnsi="Arial"/>
                <w:sz w:val="18"/>
                <w:szCs w:val="18"/>
                <w:color w:val="auto"/>
              </w:rPr>
              <w:t>Sydney and Tokyo</w:t>
            </w:r>
          </w:p>
        </w:tc>
      </w:tr>
    </w:tbl>
    <w:p>
      <w:pPr>
        <w:spacing w:after="0" w:line="30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As of December 31, 2018, all of our common membership interests are held by indirect wholly-owned subsidiaries of Lazard Ltd. Our co-managing member interests are held by two indirect wholly-owned subsidiaries of Lazard Ltd, and our profit participation interests are held by various managing directors. There are no public trading markets for any of these interests.</w:t>
      </w:r>
    </w:p>
    <w:p>
      <w:pPr>
        <w:spacing w:after="0" w:line="73" w:lineRule="exact"/>
        <w:rPr>
          <w:sz w:val="20"/>
          <w:szCs w:val="20"/>
          <w:color w:val="auto"/>
        </w:rPr>
      </w:pPr>
    </w:p>
    <w:p>
      <w:pPr>
        <w:ind w:right="40" w:firstLine="598"/>
        <w:spacing w:after="0" w:line="288" w:lineRule="auto"/>
        <w:rPr>
          <w:sz w:val="20"/>
          <w:szCs w:val="20"/>
          <w:color w:val="auto"/>
        </w:rPr>
      </w:pPr>
      <w:r>
        <w:rPr>
          <w:rFonts w:ascii="Arial" w:cs="Arial" w:eastAsia="Arial" w:hAnsi="Arial"/>
          <w:sz w:val="16"/>
          <w:szCs w:val="16"/>
          <w:color w:val="auto"/>
        </w:rPr>
        <w:t>As of December 31, 2018, pursuant to provisions of its Amended and Restated Operating Agreement, Lazard Group allocates and distributes to its members a substantial portion of its distributable profits in installments as soon as practicable after the end of each fiscal year. Such installment distributions usually begin in February. Such distributions represent amounts necessary to fund (i) any dividends Lazard Ltd may declare on its Class A common stock and</w:t>
      </w:r>
    </w:p>
    <w:p>
      <w:pPr>
        <w:ind w:firstLine="8"/>
        <w:spacing w:after="0" w:line="261"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distributions in respect of income taxes that Lazard Ltd’s subsidiaries incur. During the years ended December 31, 2018, 2017 and 2016, Lazard Group distributed approximately $448.9 million, $346.1 million and $301.3 million, respectively, to the subsidiaries of Lazard Ltd.</w:t>
      </w:r>
    </w:p>
    <w:p>
      <w:pPr>
        <w:spacing w:after="0" w:line="28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selected consolidated financial data for the Company for all years presented.</w:t>
      </w:r>
    </w:p>
    <w:p>
      <w:pPr>
        <w:spacing w:after="0" w:line="225"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The consolidated statements of financial condition and operations data as of and for each of the years in the five-year period ended December 31, 2018 have been derived from Lazard Group’s consolidated financial statements. The audited consolidated statements of financial condition as of December 31, 2018 and 2017 and audited consolidated statements of operations for each of the years in the three year period ended December 31, 2018 are included in this Form 10-K. The audited consolidated statements of financial condition as of December 31, 2016, 2015 and 2014, and the audited consolidated statements of operations for the years ended December 31, 2015 and 2014, are not included in this Form 10-K. Historical results should not be considered an indication of results for any future period.</w:t>
      </w:r>
    </w:p>
    <w:p>
      <w:pPr>
        <w:spacing w:after="0" w:line="193" w:lineRule="exact"/>
        <w:rPr>
          <w:sz w:val="20"/>
          <w:szCs w:val="20"/>
          <w:color w:val="auto"/>
        </w:rPr>
      </w:pPr>
    </w:p>
    <w:p>
      <w:pPr>
        <w:ind w:right="420" w:firstLine="598"/>
        <w:spacing w:after="0" w:line="342" w:lineRule="auto"/>
        <w:rPr>
          <w:sz w:val="20"/>
          <w:szCs w:val="20"/>
          <w:color w:val="auto"/>
        </w:rPr>
      </w:pPr>
      <w:r>
        <w:rPr>
          <w:rFonts w:ascii="Arial" w:cs="Arial" w:eastAsia="Arial" w:hAnsi="Arial"/>
          <w:sz w:val="16"/>
          <w:szCs w:val="16"/>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94"/>
              </w:rPr>
              <w:t>As Of Or For The Year Ended December 31,</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9"/>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4"/>
          </w:tcPr>
          <w:p>
            <w:pPr>
              <w:jc w:val="center"/>
              <w:ind w:right="6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Statements of Operations Data (a)</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Net Revenue: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Financial Advisory</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1,548,918</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1,386,688</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1,301,044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1,279,628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1,206,734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Asset Management (b)</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1,331,801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1,255,820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1,051,316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1,111,105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1,134,595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Corporate (c)</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(63,858)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(2,911)</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(22,489)</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(40,457)</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(40,593)</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Revenue</w:t>
            </w: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2,816,861</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2,639,597</w:t>
            </w: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2,329,871</w:t>
            </w:r>
          </w:p>
        </w:tc>
        <w:tc>
          <w:tcPr>
            <w:tcW w:w="2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2,350,276</w:t>
            </w:r>
          </w:p>
        </w:tc>
        <w:tc>
          <w:tcPr>
            <w:tcW w:w="22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2,300,736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Compensation and Benefits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1,508,813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1,507,332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1,338,819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1,319,620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1,313,550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Operating Expenses (d)</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648,765</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498,512</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469,059</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499,811</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446,211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2,157,578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2,005,844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1,807,878</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1,819,431</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1,759,761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80" w:type="dxa"/>
            <w:vAlign w:val="bottom"/>
          </w:tcPr>
          <w:p>
            <w:pPr>
              <w:spacing w:after="0"/>
              <w:rPr>
                <w:sz w:val="20"/>
                <w:szCs w:val="20"/>
                <w:color w:val="auto"/>
              </w:rPr>
            </w:pPr>
            <w:r>
              <w:rPr>
                <w:rFonts w:ascii="Arial" w:cs="Arial" w:eastAsia="Arial" w:hAnsi="Arial"/>
                <w:sz w:val="16"/>
                <w:szCs w:val="16"/>
                <w:color w:val="auto"/>
              </w:rPr>
              <w:t>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659,283</w:t>
            </w:r>
          </w:p>
        </w:tc>
        <w:tc>
          <w:tcPr>
            <w:tcW w:w="14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633,753</w:t>
            </w:r>
          </w:p>
        </w:tc>
        <w:tc>
          <w:tcPr>
            <w:tcW w:w="8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521,993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530,845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540,975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570,920</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551,890</w:t>
            </w:r>
          </w:p>
        </w:tc>
        <w:tc>
          <w:tcPr>
            <w:tcW w:w="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472,320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449,297</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463,160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 Attributable to Lazard Group</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565,597</w:t>
            </w:r>
          </w:p>
        </w:tc>
        <w:tc>
          <w:tcPr>
            <w:tcW w:w="14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545,627</w:t>
            </w:r>
          </w:p>
        </w:tc>
        <w:tc>
          <w:tcPr>
            <w:tcW w:w="8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466,327</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442,738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457,004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Consolidated Statements of Financial</w:t>
            </w: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Condition Data</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4,389,475</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4,300,573</w:t>
            </w:r>
          </w:p>
        </w:tc>
        <w:tc>
          <w:tcPr>
            <w:tcW w:w="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3,515,984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3,389,054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3,163,773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Debt (e)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1,434,260</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1,190,444</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1,195,805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998,386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Total Lazard Group Members’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530,045</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848,318</w:t>
            </w:r>
          </w:p>
        </w:tc>
        <w:tc>
          <w:tcPr>
            <w:tcW w:w="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678,894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649,759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431,546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Members’ Equity</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582,752</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906,900</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736,140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702,900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b w:val="1"/>
                <w:bCs w:val="1"/>
                <w:color w:val="auto"/>
              </w:rPr>
              <w:t>Other Data</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Assets Under Management: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As of December 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214,734,000</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249,459,000</w:t>
            </w:r>
          </w:p>
        </w:tc>
        <w:tc>
          <w:tcPr>
            <w:tcW w:w="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197,910,000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186,380,000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6"/>
              </w:rPr>
              <w:t>197,103,000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During Year</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241,247,000</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226,525,000</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194,808,000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195,987,000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196,037,000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6"/>
                <w:szCs w:val="16"/>
                <w:color w:val="auto"/>
              </w:rPr>
              <w:t>Total Headcount, As of December 31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1150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(in thousands of dollars)</w:t>
      </w:r>
      <w:r>
        <w:rPr>
          <w:rFonts w:ascii="Arial" w:cs="Arial" w:eastAsia="Arial" w:hAnsi="Arial"/>
          <w:sz w:val="18"/>
          <w:szCs w:val="18"/>
          <w:b w:val="1"/>
          <w:bCs w:val="1"/>
          <w:color w:val="auto"/>
        </w:rPr>
        <w:t>:</w:t>
      </w:r>
    </w:p>
    <w:p>
      <w:pPr>
        <w:spacing w:after="0" w:line="54" w:lineRule="exact"/>
        <w:rPr>
          <w:sz w:val="20"/>
          <w:szCs w:val="20"/>
          <w:color w:val="auto"/>
        </w:rPr>
      </w:pPr>
    </w:p>
    <w:p>
      <w:pPr>
        <w:ind w:left="600" w:right="180" w:hanging="592"/>
        <w:spacing w:after="0" w:line="306"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Net revenue and other operating expenses data for the year ended December 31, 2018 are not comparable to the prior periods due to the adoption of the new revenue recognition guidance on January 1, 2018 (see Note 3 of Notes to Consolidated Financial Statements).</w:t>
      </w:r>
    </w:p>
    <w:p>
      <w:pPr>
        <w:spacing w:after="0" w:line="1" w:lineRule="exact"/>
        <w:rPr>
          <w:rFonts w:ascii="Arial" w:cs="Arial" w:eastAsia="Arial" w:hAnsi="Arial"/>
          <w:sz w:val="17"/>
          <w:szCs w:val="17"/>
          <w:color w:val="auto"/>
        </w:rPr>
      </w:pPr>
    </w:p>
    <w:p>
      <w:pPr>
        <w:ind w:left="600" w:hanging="59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Asset Management net revenue consists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Management Fees and Other</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1,311,286</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1,210,016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1,035,726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1,086,030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1,082,729</w:t>
            </w:r>
          </w:p>
        </w:tc>
        <w:tc>
          <w:tcPr>
            <w:tcW w:w="100" w:type="dxa"/>
            <w:vAlign w:val="bottom"/>
            <w:shd w:val="clear" w:color="auto" w:fill="CFF0FC"/>
          </w:tcPr>
          <w:p>
            <w:pPr>
              <w:spacing w:after="0"/>
              <w:rPr>
                <w:sz w:val="18"/>
                <w:szCs w:val="18"/>
                <w:color w:val="auto"/>
              </w:rPr>
            </w:pPr>
          </w:p>
        </w:tc>
      </w:tr>
      <w:tr>
        <w:trPr>
          <w:trHeight w:val="213"/>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Incentive Fees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20,515</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45,804</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15,590</w:t>
            </w:r>
          </w:p>
        </w:tc>
        <w:tc>
          <w:tcPr>
            <w:tcW w:w="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25,075</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51,866</w:t>
            </w:r>
          </w:p>
        </w:tc>
        <w:tc>
          <w:tcPr>
            <w:tcW w:w="100" w:type="dxa"/>
            <w:vAlign w:val="bottom"/>
            <w:tcBorders>
              <w:bottom w:val="single" w:sz="8" w:color="CFF0FC"/>
            </w:tcBorders>
          </w:tcPr>
          <w:p>
            <w:pPr>
              <w:spacing w:after="0"/>
              <w:rPr>
                <w:sz w:val="18"/>
                <w:szCs w:val="18"/>
                <w:color w:val="auto"/>
              </w:rPr>
            </w:pPr>
          </w:p>
        </w:tc>
      </w:tr>
      <w:tr>
        <w:trPr>
          <w:trHeight w:val="210"/>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Asset Management Net Revenue</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1,331,801</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1,255,820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1,051,316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1,111,105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1,134,595</w:t>
            </w:r>
          </w:p>
        </w:tc>
        <w:tc>
          <w:tcPr>
            <w:tcW w:w="100" w:type="dxa"/>
            <w:vAlign w:val="bottom"/>
            <w:shd w:val="clear" w:color="auto" w:fill="CFF0FC"/>
          </w:tcPr>
          <w:p>
            <w:pPr>
              <w:spacing w:after="0"/>
              <w:rPr>
                <w:sz w:val="18"/>
                <w:szCs w:val="18"/>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“Corporate” includes interest expense (net of interest income) and investment income (losses) from certain investments.</w:t>
      </w:r>
    </w:p>
    <w:p>
      <w:pPr>
        <w:spacing w:after="0" w:line="49" w:lineRule="exact"/>
        <w:rPr>
          <w:rFonts w:ascii="Arial" w:cs="Arial" w:eastAsia="Arial" w:hAnsi="Arial"/>
          <w:sz w:val="18"/>
          <w:szCs w:val="18"/>
          <w:color w:val="auto"/>
        </w:rPr>
      </w:pPr>
    </w:p>
    <w:p>
      <w:pPr>
        <w:ind w:left="600" w:right="20" w:hanging="592"/>
        <w:spacing w:after="0" w:line="253"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(i) in 2018, non-compensation costs of $27,495 relating to expenses associated with the Enterprise Resource Planning system implementation; $2,345 of incremental rent expense relating to office space reorganization; $120,990 of certain distribution fees and reimbursable deal costs paid to third parties and bad debt expense, which represents fees that are deemed uncollectible; $10,000 relating to expenses associated with an unconditional commitment to the Lazard Foundation (see Note 18 of Notes to Consolidated Financial Statements); and $6,523 relating to the partial redemption of the Company’s 4.25% senior notes maturing on November 14, 2020 (see Note 12 of Notes to Consolidated Financial Statements), (ii) in 2017, non-compensation costs of $25,308 relating to expenses associated with the Enterprise Resource Planning system implementation and $11,354 of incremental rent expense and lease abandonment costs relating to office space reorganization, (iii) in 2016, non-compensation costs of $30,067 due to the change in fair value of the contingent consideration associated with the Edgewater business acquisition, and (iv) in 2015, non-compensation costs of $60,219 relating to the redemption of a significant portion of the Company’s 6.85% senior notes maturing on June 15, 2017.</w:t>
      </w:r>
    </w:p>
    <w:p>
      <w:pPr>
        <w:spacing w:after="0" w:line="19" w:lineRule="exact"/>
        <w:rPr>
          <w:rFonts w:ascii="Arial" w:cs="Arial" w:eastAsia="Arial" w:hAnsi="Arial"/>
          <w:sz w:val="18"/>
          <w:szCs w:val="18"/>
          <w:color w:val="auto"/>
        </w:rPr>
      </w:pPr>
    </w:p>
    <w:p>
      <w:pPr>
        <w:ind w:left="600" w:right="240" w:hanging="59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aggregate amount reflected in the Company’s consolidated statements of financial condition relating to senior debt and capital lease obligations.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tabs>
          <w:tab w:leader="none" w:pos="13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420" w:firstLine="59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Group’s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sections entitled “Risk Factors” and “Special Note Regarding Forward-Looking Statements” and elsewhere in this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100" w:firstLine="59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160" w:firstLine="59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1200" w:right="240" w:hanging="598"/>
        <w:spacing w:after="0" w:line="264"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capital advisory, restructurings, shareholder advisory, sovereign advisory, capital raising and other strategic advisory, and</w:t>
      </w:r>
    </w:p>
    <w:p>
      <w:pPr>
        <w:spacing w:after="0" w:line="73" w:lineRule="exact"/>
        <w:rPr>
          <w:rFonts w:ascii="Arial" w:cs="Arial" w:eastAsia="Arial" w:hAnsi="Arial"/>
          <w:sz w:val="18"/>
          <w:szCs w:val="18"/>
          <w:color w:val="auto"/>
        </w:rPr>
      </w:pPr>
    </w:p>
    <w:p>
      <w:pPr>
        <w:ind w:left="1200" w:right="500" w:hanging="598"/>
        <w:spacing w:after="0" w:line="286" w:lineRule="auto"/>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66"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574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55%</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52%</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8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58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jc w:val="right"/>
              <w:ind w:right="430"/>
              <w:spacing w:after="0"/>
              <w:rPr>
                <w:sz w:val="20"/>
                <w:szCs w:val="20"/>
                <w:color w:val="auto"/>
              </w:rPr>
            </w:pPr>
            <w:r>
              <w:rPr>
                <w:rFonts w:ascii="Arial" w:cs="Arial" w:eastAsia="Arial" w:hAnsi="Arial"/>
                <w:sz w:val="18"/>
                <w:szCs w:val="18"/>
                <w:color w:val="auto"/>
              </w:rPr>
              <w:t>32</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7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34" w:name="page35"/>
    <w:bookmarkEnd w:id="34"/>
    <w:p>
      <w:pPr>
        <w:ind w:right="160" w:firstLine="598"/>
        <w:spacing w:after="0" w:line="279" w:lineRule="auto"/>
        <w:rPr>
          <w:sz w:val="20"/>
          <w:szCs w:val="20"/>
          <w:color w:val="auto"/>
        </w:rPr>
      </w:pPr>
      <w:r>
        <w:rPr>
          <w:rFonts w:ascii="Arial" w:cs="Arial" w:eastAsia="Arial" w:hAnsi="Arial"/>
          <w:sz w:val="17"/>
          <w:szCs w:val="17"/>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and (ii) a fund targeting significant noncontrolling-stake investments in established private companies. We also make investments to seed our Asset Management strategies.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right="160" w:firstLine="59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assets under management,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On an ongoing basis, regional, macroeconomic and geopolitical factors, including trade policy and regional tax and regulatory reform, may impact our business. The U.S. economy remains healthy. The European economy’s growth rate has slowed, but it is still growing. Emerging markets as a group have experienced significant capital markets volatility. Global borrowing costs remain low.</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1200" w:right="60" w:hanging="598"/>
        <w:spacing w:after="0" w:line="293" w:lineRule="auto"/>
        <w:tabs>
          <w:tab w:leader="none" w:pos="120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Financial Advisory</w:t>
      </w:r>
      <w:r>
        <w:rPr>
          <w:rFonts w:ascii="Arial" w:cs="Arial" w:eastAsia="Arial" w:hAnsi="Arial"/>
          <w:sz w:val="16"/>
          <w:szCs w:val="16"/>
          <w:color w:val="auto"/>
        </w:rPr>
        <w:t>—The fundamentals for continued M&amp;A activity appear to remain in place. We believe our Financial Advisory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in a strong competitive position as demand continues for expert, independent strategic advice that can be levered across geographies and our range of capabilities. The global scale and breadth of our Financial Advisory business allows us to advise on large, complex cross-border transactions and restructuring transactions across a variety of industries. In addition, we believe our businesses throughout the emerging markets position us for growth in these markets, while enhancing our relationships with, and the services that we can provide to, clients in other economies. We continue to invest for growth in our Financial Advisory business and to hire talented senior professionals selectively.</w:t>
      </w:r>
    </w:p>
    <w:p>
      <w:pPr>
        <w:spacing w:after="0" w:line="56" w:lineRule="exact"/>
        <w:rPr>
          <w:rFonts w:ascii="Arial" w:cs="Arial" w:eastAsia="Arial" w:hAnsi="Arial"/>
          <w:sz w:val="16"/>
          <w:szCs w:val="16"/>
          <w:color w:val="auto"/>
        </w:rPr>
      </w:pPr>
    </w:p>
    <w:p>
      <w:pPr>
        <w:ind w:left="1200" w:right="100" w:hanging="598"/>
        <w:spacing w:after="0" w:line="270" w:lineRule="auto"/>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Asset Management</w:t>
      </w:r>
      <w:r>
        <w:rPr>
          <w:rFonts w:ascii="Arial" w:cs="Arial" w:eastAsia="Arial" w:hAnsi="Arial"/>
          <w:sz w:val="17"/>
          <w:szCs w:val="17"/>
          <w:color w:val="auto"/>
        </w:rPr>
        <w:t>—In the short to intermediate term, we expect most investor demand will come from defined benefit and defined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contribution plans in the developed economies because of their sheer scope and size. Over the longer term, and depending upon local market conditions, we would expect an increasing share of our AUM to come from the developing economies around the globe, as their retirement systems evolve and individual wealth is increasingly deployed in the financial markets. Given our diversified investment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and assessing potential product acquisitions or other inorganic growth opportunities. Recent examples of growth initiatives include the following investment strategies: various Quantitative Equity strategies, various Multi-Asset strategies, an International Value strategy, a Global Equity Franchise strategy, and a Market Neutral Quantitative Equity strategy.</w:t>
      </w:r>
    </w:p>
    <w:p>
      <w:pPr>
        <w:spacing w:after="0" w:line="182"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this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ind w:right="220" w:firstLine="598"/>
        <w:spacing w:after="0" w:line="286" w:lineRule="auto"/>
        <w:rPr>
          <w:sz w:val="20"/>
          <w:szCs w:val="20"/>
          <w:color w:val="auto"/>
        </w:rPr>
      </w:pPr>
      <w:r>
        <w:rPr>
          <w:rFonts w:ascii="Arial" w:cs="Arial" w:eastAsia="Arial" w:hAnsi="Arial"/>
          <w:sz w:val="17"/>
          <w:szCs w:val="17"/>
          <w:color w:val="auto"/>
        </w:rPr>
        <w:t>Overall, we continue to focus on the development of our business, including the generation of stable revenue growth, earnings growth and member returns, the evaluation of potential growth opportunities, the investment in new technology to support the development of existing and new business opportunities, the prudent management of our costs and expenses, the efficient use of our assets and the return of equity to our members.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left="60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As reflected in the following table, which sets forth global M&amp;A industry statistics, the value of all completed transactions, including the subset of completed transactions involving values greater than $500 million, increased in 2018 as compared to 2017, whereas the number of completed transactions decreased in 2018 as compared to 2017. With respect to announced M&amp;A transactions, the value of all transactions, including the subset of announced transactions involving values greater than $500 million, increased in 2018 as compared to 2017. Additionally, with respect to announced M&amp;A transactions, the number of all announced transactions decreased in 2018 as compared to 2017, while the number of announced transactions involving values greater than $500 million increased in 2018 as compared to 2017.</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4"/>
                <w:szCs w:val="14"/>
                <w:b w:val="1"/>
                <w:bCs w:val="1"/>
                <w:color w:val="auto"/>
                <w:w w:val="95"/>
              </w:rPr>
              <w:t>Year Ended December 31,</w:t>
            </w:r>
          </w:p>
        </w:tc>
        <w:tc>
          <w:tcPr>
            <w:tcW w:w="11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1"/>
                <w:szCs w:val="11"/>
                <w:color w:val="auto"/>
              </w:rPr>
            </w:pPr>
          </w:p>
        </w:tc>
        <w:tc>
          <w:tcPr>
            <w:tcW w:w="1300" w:type="dxa"/>
            <w:vAlign w:val="bottom"/>
            <w:vMerge w:val="restart"/>
          </w:tcPr>
          <w:p>
            <w:pPr>
              <w:jc w:val="right"/>
              <w:ind w:right="694"/>
              <w:spacing w:after="0"/>
              <w:rPr>
                <w:sz w:val="20"/>
                <w:szCs w:val="20"/>
                <w:color w:val="auto"/>
              </w:rPr>
            </w:pPr>
            <w:r>
              <w:rPr>
                <w:rFonts w:ascii="Arial" w:cs="Arial" w:eastAsia="Arial" w:hAnsi="Arial"/>
                <w:sz w:val="14"/>
                <w:szCs w:val="14"/>
                <w:b w:val="1"/>
                <w:bCs w:val="1"/>
                <w:color w:val="auto"/>
              </w:rPr>
              <w:t>2017</w:t>
            </w:r>
          </w:p>
        </w:tc>
        <w:tc>
          <w:tcPr>
            <w:tcW w:w="1140" w:type="dxa"/>
            <w:vAlign w:val="bottom"/>
          </w:tcPr>
          <w:p>
            <w:pPr>
              <w:jc w:val="right"/>
              <w:ind w:right="37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Incr / (Decr)</w:t>
            </w: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w w:val="94"/>
              </w:rPr>
              <w:t>in billions)</w:t>
            </w: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w:t>
            </w:r>
          </w:p>
        </w:tc>
        <w:tc>
          <w:tcPr>
            <w:tcW w:w="6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3,648</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160" w:type="dxa"/>
            <w:vAlign w:val="bottom"/>
          </w:tcPr>
          <w:p>
            <w:pPr>
              <w:ind w:left="500"/>
              <w:spacing w:after="0"/>
              <w:rPr>
                <w:sz w:val="20"/>
                <w:szCs w:val="20"/>
                <w:color w:val="auto"/>
              </w:rPr>
            </w:pPr>
            <w:r>
              <w:rPr>
                <w:rFonts w:ascii="Arial" w:cs="Arial" w:eastAsia="Arial" w:hAnsi="Arial"/>
                <w:sz w:val="18"/>
                <w:szCs w:val="18"/>
                <w:color w:val="auto"/>
              </w:rPr>
              <w:t>Number</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33,244</w:t>
            </w:r>
          </w:p>
        </w:tc>
        <w:tc>
          <w:tcPr>
            <w:tcW w:w="60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40,597</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500"/>
              <w:spacing w:after="0"/>
              <w:rPr>
                <w:sz w:val="20"/>
                <w:szCs w:val="20"/>
                <w:color w:val="auto"/>
              </w:rPr>
            </w:pPr>
            <w:r>
              <w:rPr>
                <w:rFonts w:ascii="Arial" w:cs="Arial" w:eastAsia="Arial" w:hAnsi="Arial"/>
                <w:sz w:val="18"/>
                <w:szCs w:val="18"/>
                <w:color w:val="auto"/>
              </w:rPr>
              <w:t>Value</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3,297</w:t>
            </w:r>
          </w:p>
        </w:tc>
        <w:tc>
          <w:tcPr>
            <w:tcW w:w="6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2,719</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1,254</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500"/>
              <w:spacing w:after="0"/>
              <w:rPr>
                <w:sz w:val="20"/>
                <w:szCs w:val="20"/>
                <w:color w:val="auto"/>
              </w:rPr>
            </w:pPr>
            <w:r>
              <w:rPr>
                <w:rFonts w:ascii="Arial" w:cs="Arial" w:eastAsia="Arial" w:hAnsi="Arial"/>
                <w:sz w:val="18"/>
                <w:szCs w:val="18"/>
                <w:color w:val="auto"/>
              </w:rPr>
              <w:t>Value</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4,144</w:t>
            </w:r>
          </w:p>
        </w:tc>
        <w:tc>
          <w:tcPr>
            <w:tcW w:w="6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3,576</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34,276</w:t>
            </w: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40,413</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3,243</w:t>
            </w:r>
          </w:p>
        </w:tc>
        <w:tc>
          <w:tcPr>
            <w:tcW w:w="6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2,659</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160" w:type="dxa"/>
            <w:vAlign w:val="bottom"/>
          </w:tcPr>
          <w:p>
            <w:pPr>
              <w:ind w:left="500"/>
              <w:spacing w:after="0"/>
              <w:rPr>
                <w:sz w:val="20"/>
                <w:szCs w:val="20"/>
                <w:color w:val="auto"/>
              </w:rPr>
            </w:pPr>
            <w:r>
              <w:rPr>
                <w:rFonts w:ascii="Arial" w:cs="Arial" w:eastAsia="Arial" w:hAnsi="Arial"/>
                <w:sz w:val="18"/>
                <w:szCs w:val="18"/>
                <w:color w:val="auto"/>
              </w:rPr>
              <w:t>Number</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1,347</w:t>
            </w:r>
          </w:p>
        </w:tc>
        <w:tc>
          <w:tcPr>
            <w:tcW w:w="600" w:type="dxa"/>
            <w:vAlign w:val="bottom"/>
          </w:tcPr>
          <w:p>
            <w:pPr>
              <w:spacing w:after="0"/>
              <w:rPr>
                <w:sz w:val="20"/>
                <w:szCs w:val="20"/>
                <w:color w:val="auto"/>
              </w:rPr>
            </w:pP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1,245</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1150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Source: Dealogic as of January 4, 2019.</w:t>
      </w:r>
    </w:p>
    <w:p>
      <w:pPr>
        <w:spacing w:after="0" w:line="225" w:lineRule="exact"/>
        <w:rPr>
          <w:sz w:val="20"/>
          <w:szCs w:val="20"/>
          <w:color w:val="auto"/>
        </w:rPr>
      </w:pPr>
    </w:p>
    <w:p>
      <w:pPr>
        <w:ind w:right="740" w:firstLine="598"/>
        <w:spacing w:after="0" w:line="277" w:lineRule="auto"/>
        <w:rPr>
          <w:sz w:val="20"/>
          <w:szCs w:val="20"/>
          <w:color w:val="auto"/>
        </w:rPr>
      </w:pPr>
      <w:r>
        <w:rPr>
          <w:rFonts w:ascii="Arial" w:cs="Arial" w:eastAsia="Arial" w:hAnsi="Arial"/>
          <w:sz w:val="18"/>
          <w:szCs w:val="18"/>
          <w:color w:val="auto"/>
        </w:rPr>
        <w:t>Global restructuring activity during 2018, as measured by the number of corporate defaults, decreased as compared to 2017. The number of defaulting issuers decreased to 77 in 2018, according to Moody’s Investors Service, Inc., as compared to 104 in 2017.</w:t>
      </w:r>
    </w:p>
    <w:p>
      <w:pPr>
        <w:spacing w:after="0" w:line="170"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Net revenue trends in Financial Advisory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Beginning in the first quarter of 2018, we ceased separately reporting Restructuring revenue within our Financial Advisory segment, because our Financial Advisory practices have become highly integrated, and our assignments with clients often incorporate several disciplines. We believe that presenting unified Financial Advisory revenue is a more accurate representation of our Financial Advisory business.</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500" w:firstLine="598"/>
        <w:spacing w:after="0" w:line="308" w:lineRule="auto"/>
        <w:rPr>
          <w:sz w:val="20"/>
          <w:szCs w:val="20"/>
          <w:color w:val="auto"/>
        </w:rPr>
      </w:pPr>
      <w:r>
        <w:rPr>
          <w:rFonts w:ascii="Arial" w:cs="Arial" w:eastAsia="Arial" w:hAnsi="Arial"/>
          <w:sz w:val="17"/>
          <w:szCs w:val="17"/>
          <w:color w:val="auto"/>
        </w:rPr>
        <w:t>Equity market indices for major markets at December 31, 2018 generally decreased as compared to such indices at December 31, 2017. Equity market indices for major markets at December 31, 2017 generally increased as compared to such indices at December 31, 2016.</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 w:name="page37"/>
    <w:bookmarkEnd w:id="36"/>
    <w:p>
      <w:pPr>
        <w:ind w:right="480" w:firstLine="598"/>
        <w:spacing w:after="0" w:line="277" w:lineRule="auto"/>
        <w:rPr>
          <w:sz w:val="20"/>
          <w:szCs w:val="20"/>
          <w:color w:val="auto"/>
        </w:rPr>
      </w:pPr>
      <w:r>
        <w:rPr>
          <w:rFonts w:ascii="Arial" w:cs="Arial" w:eastAsia="Arial" w:hAnsi="Arial"/>
          <w:sz w:val="18"/>
          <w:szCs w:val="18"/>
          <w:color w:val="auto"/>
        </w:rPr>
        <w:t>The percentage change in major equity market indices (i) at December 31, 2018, as compared to such indices at December 31, 2017, and (ii) at December 31, 2017, as compared to such indices at December 31, 2016, is shown in the table below.</w:t>
      </w:r>
    </w:p>
    <w:p>
      <w:pPr>
        <w:spacing w:after="0" w:line="176" w:lineRule="exact"/>
        <w:rPr>
          <w:sz w:val="20"/>
          <w:szCs w:val="20"/>
          <w:color w:val="auto"/>
        </w:rPr>
      </w:pPr>
    </w:p>
    <w:p>
      <w:pPr>
        <w:jc w:val="center"/>
        <w:ind w:left="5660"/>
        <w:spacing w:after="0"/>
        <w:rPr>
          <w:sz w:val="20"/>
          <w:szCs w:val="20"/>
          <w:color w:val="auto"/>
        </w:rPr>
      </w:pPr>
      <w:r>
        <w:rPr>
          <w:rFonts w:ascii="Arial" w:cs="Arial" w:eastAsia="Arial" w:hAnsi="Arial"/>
          <w:sz w:val="14"/>
          <w:szCs w:val="14"/>
          <w:b w:val="1"/>
          <w:bCs w:val="1"/>
          <w:color w:val="auto"/>
        </w:rPr>
        <w:t>Percentage Changes</w:t>
      </w:r>
    </w:p>
    <w:p>
      <w:pPr>
        <w:spacing w:after="0" w:line="4" w:lineRule="exact"/>
        <w:rPr>
          <w:sz w:val="20"/>
          <w:szCs w:val="20"/>
          <w:color w:val="auto"/>
        </w:rPr>
      </w:pPr>
    </w:p>
    <w:p>
      <w:pPr>
        <w:jc w:val="center"/>
        <w:ind w:left="56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wp:posOffset>
            </wp:positionV>
            <wp:extent cx="2693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4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86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2018 vs. 2017</w:t>
            </w: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17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2017 vs. 2016</w:t>
            </w:r>
          </w:p>
        </w:tc>
        <w:tc>
          <w:tcPr>
            <w:tcW w:w="180" w:type="dxa"/>
            <w:vAlign w:val="bottom"/>
            <w:tcBorders>
              <w:bottom w:val="single" w:sz="8" w:color="CFF0FC"/>
            </w:tcBorders>
          </w:tcPr>
          <w:p>
            <w:pPr>
              <w:spacing w:after="0"/>
              <w:rPr>
                <w:sz w:val="14"/>
                <w:szCs w:val="14"/>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14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6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1020" w:type="dxa"/>
            <w:vAlign w:val="bottom"/>
            <w:gridSpan w:val="2"/>
          </w:tcPr>
          <w:p>
            <w:pPr>
              <w:jc w:val="right"/>
              <w:ind w:right="330"/>
              <w:spacing w:after="0"/>
              <w:rPr>
                <w:sz w:val="20"/>
                <w:szCs w:val="20"/>
                <w:color w:val="auto"/>
              </w:rPr>
            </w:pPr>
            <w:r>
              <w:rPr>
                <w:rFonts w:ascii="Arial" w:cs="Arial" w:eastAsia="Arial" w:hAnsi="Arial"/>
                <w:sz w:val="18"/>
                <w:szCs w:val="18"/>
                <w:color w:val="auto"/>
              </w:rPr>
              <w:t>(11)%</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7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10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(14)%</w:t>
            </w: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1020" w:type="dxa"/>
            <w:vAlign w:val="bottom"/>
            <w:gridSpan w:val="2"/>
          </w:tcPr>
          <w:p>
            <w:pPr>
              <w:jc w:val="right"/>
              <w:ind w:right="330"/>
              <w:spacing w:after="0"/>
              <w:rPr>
                <w:sz w:val="20"/>
                <w:szCs w:val="20"/>
                <w:color w:val="auto"/>
              </w:rPr>
            </w:pPr>
            <w:r>
              <w:rPr>
                <w:rFonts w:ascii="Arial" w:cs="Arial" w:eastAsia="Arial" w:hAnsi="Arial"/>
                <w:sz w:val="18"/>
                <w:szCs w:val="18"/>
                <w:color w:val="auto"/>
              </w:rPr>
              <w:t>(4)%</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bl>
    <w:p>
      <w:pPr>
        <w:spacing w:after="0" w:line="201" w:lineRule="exact"/>
        <w:rPr>
          <w:sz w:val="20"/>
          <w:szCs w:val="20"/>
          <w:color w:val="auto"/>
        </w:rPr>
      </w:pPr>
    </w:p>
    <w:p>
      <w:pPr>
        <w:jc w:val="both"/>
        <w:ind w:firstLine="877"/>
        <w:spacing w:after="0" w:line="288"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w:t>
      </w:r>
    </w:p>
    <w:p>
      <w:pPr>
        <w:ind w:right="140"/>
        <w:spacing w:after="0" w:line="255" w:lineRule="auto"/>
        <w:rPr>
          <w:sz w:val="20"/>
          <w:szCs w:val="20"/>
          <w:color w:val="auto"/>
        </w:rPr>
      </w:pPr>
      <w:r>
        <w:rPr>
          <w:rFonts w:ascii="Arial" w:cs="Arial" w:eastAsia="Arial" w:hAnsi="Arial"/>
          <w:sz w:val="18"/>
          <w:szCs w:val="18"/>
          <w:color w:val="auto"/>
        </w:rPr>
        <w:t>Movements in AUM during the period generally reflect the changes in equity market indices. Our AUM at December 31, 2018 decreased 14% versus AUM at December 31, 2017, primarily due to market and foreign exchange depreciation and net outflows. Average AUM for 2018 increased 6% as compared to average AUM in 2017.</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140" w:firstLine="598"/>
        <w:spacing w:after="0" w:line="289"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capital advisory services, capital raising, restructuring, shareholder advisory, sovereign advisory and other strategic advisory matters.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67" w:lineRule="exact"/>
        <w:rPr>
          <w:sz w:val="20"/>
          <w:szCs w:val="20"/>
          <w:color w:val="auto"/>
        </w:rPr>
      </w:pPr>
    </w:p>
    <w:p>
      <w:pPr>
        <w:ind w:right="20" w:firstLine="598"/>
        <w:spacing w:after="0" w:line="286"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7" w:name="page38"/>
    <w:bookmarkEnd w:id="37"/>
    <w:p>
      <w:pPr>
        <w:spacing w:after="0" w:line="277" w:lineRule="auto"/>
        <w:rPr>
          <w:sz w:val="20"/>
          <w:szCs w:val="20"/>
          <w:color w:val="auto"/>
        </w:rPr>
      </w:pPr>
      <w:r>
        <w:rPr>
          <w:rFonts w:ascii="Arial" w:cs="Arial" w:eastAsia="Arial" w:hAnsi="Arial"/>
          <w:sz w:val="18"/>
          <w:szCs w:val="18"/>
          <w:color w:val="auto"/>
        </w:rPr>
        <w:t>higher fees earned on equity assets and alternative investment funds, such as hedge funds and private equity funds, and lower fees earned on fixed income and cash management products.</w:t>
      </w:r>
    </w:p>
    <w:p>
      <w:pPr>
        <w:spacing w:after="0" w:line="170" w:lineRule="exact"/>
        <w:rPr>
          <w:sz w:val="20"/>
          <w:szCs w:val="20"/>
          <w:color w:val="auto"/>
        </w:rPr>
      </w:pPr>
    </w:p>
    <w:p>
      <w:pPr>
        <w:ind w:right="420" w:firstLine="59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00" w:firstLine="59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and principal investments in private equity funds, net of hedging activities, as well as gains and losses on investments held in connection with Lazard Fund Interests (“LFI”) and interest income and interest expense. Corporate net revenue also can fluctuate due to changes in the fair value of equity securities and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160" w:firstLine="598"/>
        <w:spacing w:after="0" w:line="312" w:lineRule="auto"/>
        <w:rPr>
          <w:sz w:val="20"/>
          <w:szCs w:val="20"/>
          <w:color w:val="auto"/>
        </w:rPr>
      </w:pPr>
      <w:r>
        <w:rPr>
          <w:rFonts w:ascii="Arial" w:cs="Arial" w:eastAsia="Arial" w:hAnsi="Arial"/>
          <w:sz w:val="16"/>
          <w:szCs w:val="16"/>
          <w:color w:val="auto"/>
        </w:rPr>
        <w:t>Although Corporate segment net revenue during 2018 is not significant compared to Lazard’s net revenue, total assets in the Corporate segment represented 65% of Lazard’s consolidated total assets as of December 31, 2018, which are attributable to cash and cash equivalents, investments in debt and equity securities, interests in alternative investment, debt, equity and private equity funds, deferred tax assets and certain assets associated with LFB.</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20" w:firstLine="598"/>
        <w:spacing w:after="0" w:line="271" w:lineRule="auto"/>
        <w:rPr>
          <w:sz w:val="20"/>
          <w:szCs w:val="20"/>
          <w:color w:val="auto"/>
        </w:rPr>
      </w:pPr>
      <w:r>
        <w:rPr>
          <w:rFonts w:ascii="Arial" w:cs="Arial" w:eastAsia="Arial" w:hAnsi="Arial"/>
          <w:sz w:val="17"/>
          <w:szCs w:val="17"/>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2018 Incentive Compensation Plan (the “2018 Plan”) and the Lazard Ltd 2008 Incentive Compensation Plan (the “2008 Plan”), and (b) LFI and other similar deferred compensation arrangements (see Note 15 of Notes to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 w:name="page39"/>
    <w:bookmarkEnd w:id="38"/>
    <w:p>
      <w:pPr>
        <w:ind w:firstLine="598"/>
        <w:spacing w:after="0" w:line="302"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non-GAAP measure, as modified by the following items:</w:t>
      </w:r>
    </w:p>
    <w:p>
      <w:pPr>
        <w:spacing w:after="0" w:line="46" w:lineRule="exact"/>
        <w:rPr>
          <w:sz w:val="20"/>
          <w:szCs w:val="20"/>
          <w:color w:val="auto"/>
        </w:rPr>
      </w:pPr>
    </w:p>
    <w:p>
      <w:pPr>
        <w:ind w:left="1200" w:right="480" w:hanging="598"/>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800" w:hanging="603"/>
        <w:spacing w:after="0" w:line="259" w:lineRule="auto"/>
        <w:tabs>
          <w:tab w:leader="none" w:pos="18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xml:space="preserve"> deferred incentive compensation awards granted in 2019 related to the 2018 year-end compensation process), including performance-based restricted stock unit (“PRSU”) and performance-based profits interest participation right (“Performance PIPR”) awards (based on the target payout level);</w:t>
      </w:r>
    </w:p>
    <w:p>
      <w:pPr>
        <w:spacing w:after="0" w:line="78" w:lineRule="exact"/>
        <w:rPr>
          <w:rFonts w:ascii="Arial" w:cs="Arial" w:eastAsia="Arial" w:hAnsi="Arial"/>
          <w:sz w:val="18"/>
          <w:szCs w:val="18"/>
          <w:color w:val="auto"/>
        </w:rPr>
      </w:pPr>
    </w:p>
    <w:p>
      <w:pPr>
        <w:ind w:left="1800" w:right="80" w:hanging="603"/>
        <w:spacing w:after="0" w:line="277" w:lineRule="auto"/>
        <w:tabs>
          <w:tab w:leader="none" w:pos="18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xml:space="preserve">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800" w:right="420" w:hanging="603"/>
        <w:spacing w:after="0" w:line="277" w:lineRule="auto"/>
        <w:tabs>
          <w:tab w:leader="none" w:pos="18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and Performance PIPR awards at the end of their respective performance periods;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w:t>
      </w:r>
    </w:p>
    <w:p>
      <w:pPr>
        <w:spacing w:after="0" w:line="225" w:lineRule="exact"/>
        <w:rPr>
          <w:sz w:val="20"/>
          <w:szCs w:val="20"/>
          <w:color w:val="auto"/>
        </w:rPr>
      </w:pPr>
    </w:p>
    <w:p>
      <w:pPr>
        <w:ind w:right="280" w:firstLine="598"/>
        <w:spacing w:after="0" w:line="259" w:lineRule="auto"/>
        <w:rPr>
          <w:sz w:val="20"/>
          <w:szCs w:val="20"/>
          <w:color w:val="auto"/>
        </w:rPr>
      </w:pPr>
      <w:r>
        <w:rPr>
          <w:rFonts w:ascii="Arial" w:cs="Arial" w:eastAsia="Arial" w:hAnsi="Arial"/>
          <w:sz w:val="18"/>
          <w:szCs w:val="18"/>
          <w:color w:val="auto"/>
        </w:rPr>
        <w:t>We also use “adjusted compensation and benefits expense” and the ratio of “adjusted compensation and benefits expense” to “operating revenue,” both non-GAAP measures, for comparison of compensation and benefits expense between periods. For the reconciliations and calculations with respect to “adjusted compensation and benefits expense” and “awarded compensation and benefits expense” and related ratios to “operating revenue,” see the table under “Consolidated Results of Operations” below.</w:t>
      </w:r>
    </w:p>
    <w:p>
      <w:pPr>
        <w:spacing w:after="0" w:line="18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 to high-50s percentage range, which compares to 55.7% and 55.0%, respectively, for the year ended December 31, 2018.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investments in our businesses or various other factors could prevent us from achieving this goal.</w:t>
      </w:r>
    </w:p>
    <w:p>
      <w:pPr>
        <w:spacing w:after="0" w:line="182"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 In 2018, non-compensation expense included expenses related to a partial redemption of the Company’s 4.25% senior notes due 2020 (the “2020 Notes”) and, in 2016, non-compensation expense included expenses related to the redemption of the Company’s 6.85% senior notes due 2017 (the “2017 Notes”) (see Note 12 of Notes to Consolidated Financial Statements).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 w:name="page40"/>
    <w:bookmarkEnd w:id="39"/>
    <w:p>
      <w:pPr>
        <w:ind w:right="280" w:firstLine="598"/>
        <w:spacing w:after="0" w:line="342" w:lineRule="auto"/>
        <w:rPr>
          <w:sz w:val="20"/>
          <w:szCs w:val="20"/>
          <w:color w:val="auto"/>
        </w:rPr>
      </w:pPr>
      <w:r>
        <w:rPr>
          <w:rFonts w:ascii="Arial" w:cs="Arial" w:eastAsia="Arial" w:hAnsi="Arial"/>
          <w:sz w:val="16"/>
          <w:szCs w:val="16"/>
          <w:color w:val="auto"/>
        </w:rPr>
        <w:t>We believe that “adjusted non-compensation expense”, a non-GAAP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120" w:firstLine="598"/>
        <w:spacing w:after="0" w:line="308" w:lineRule="auto"/>
        <w:rPr>
          <w:sz w:val="20"/>
          <w:szCs w:val="20"/>
          <w:color w:val="auto"/>
        </w:rPr>
      </w:pPr>
      <w:r>
        <w:rPr>
          <w:rFonts w:ascii="Arial" w:cs="Arial" w:eastAsia="Arial" w:hAnsi="Arial"/>
          <w:sz w:val="17"/>
          <w:szCs w:val="17"/>
          <w:color w:val="auto"/>
        </w:rPr>
        <w:t>Our operating expenses also include our “amortization and other acquisition-related (benefits) costs”, which includes the change in fair value of the contingent consideration associated with business acquisitions and, in 2016, pertain primarily to the acquisition of Edgewater.</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 because taxes associated with such income represent obligations of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17 of Notes to Consolidated Financial Statements for additional information).</w:t>
      </w:r>
    </w:p>
    <w:p>
      <w:pPr>
        <w:spacing w:after="0" w:line="17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On December 22, 2017, the Tax Cuts and Jobs Act (the “Tax Act”) was enacted. The Tax Act significantly revised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included several provisions that limited the benefit of the tax rate reduction, such as restricting the deductibility of interest expense and other corporate business expenses. The Tax Act further included anti-base erosion provisions such as the BEAT and tax on GILTI. The GILTI provisions impose a tax on certain income from foreign operations and we have elected to account for the tax on GILTI as a current period expense.</w:t>
      </w:r>
    </w:p>
    <w:p>
      <w:pPr>
        <w:spacing w:after="0" w:line="193"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See “Critical Accounting Policies and Estimates—Income Taxes” below and Note 17 of Notes to Consolidated Financial Statements for additional information regarding income taxes, the impact of the Tax Act on us and our deferred tax assets.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240" w:firstLine="598"/>
        <w:spacing w:after="0" w:line="308" w:lineRule="auto"/>
        <w:rPr>
          <w:sz w:val="20"/>
          <w:szCs w:val="20"/>
          <w:color w:val="auto"/>
        </w:rPr>
      </w:pPr>
      <w:r>
        <w:rPr>
          <w:rFonts w:ascii="Arial" w:cs="Arial" w:eastAsia="Arial" w:hAnsi="Arial"/>
          <w:sz w:val="17"/>
          <w:szCs w:val="17"/>
          <w:color w:val="auto"/>
        </w:rPr>
        <w:t>Noncontrolling interests primarily consist of amounts related to Edgewater’s management vehicles that the Company is deemed to control but not own. See Note 14 of Notes to Consolidated Financial Statements for information regarding the Company’s noncontrolling interests.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right="100" w:firstLine="598"/>
        <w:spacing w:after="0" w:line="293"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in the consolidated statements of operations.</w:t>
      </w:r>
    </w:p>
    <w:p>
      <w:pPr>
        <w:spacing w:after="0" w:line="165"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Net revenue for the years ended December 31, 2018 and 2017 was positively impacted by exchange rate movements, in each case in comparison to the relevant prior year period. The majority of the impact to net revenue, in both periods, was offset by the impact of the exchange rate movements on our operating expenses during the years denominated in currencies other than the U.S. Dollar.</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0" w:name="page41"/>
    <w:bookmarkEnd w:id="40"/>
    <w:p>
      <w:pPr>
        <w:ind w:right="420" w:firstLine="598"/>
        <w:spacing w:after="0" w:line="342" w:lineRule="auto"/>
        <w:rPr>
          <w:sz w:val="20"/>
          <w:szCs w:val="20"/>
          <w:color w:val="auto"/>
        </w:rPr>
      </w:pPr>
      <w:r>
        <w:rPr>
          <w:rFonts w:ascii="Arial" w:cs="Arial" w:eastAsia="Arial" w:hAnsi="Arial"/>
          <w:sz w:val="16"/>
          <w:szCs w:val="16"/>
          <w:color w:val="auto"/>
        </w:rPr>
        <w:t>The consolidated financial statements are prepared in conformity with U.S. GAAP. Selected financial data derived from the Company’s reported consolidated results of operations is set forth below, followed by a more detailed discussion of both the consolidated and business segment results.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2,816,861</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2,639,597</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2,329,871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0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1,508,813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1,507,332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1,338,819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649,722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495,636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436,520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(957)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32,539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2,157,578</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2,005,844</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1,807,878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659,283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633,753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521,993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10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88,363</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81,863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570,920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551,890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472,320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0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10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565,597</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545,627</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466,327</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877"/>
        <w:spacing w:after="0" w:line="312" w:lineRule="auto"/>
        <w:rPr>
          <w:sz w:val="20"/>
          <w:szCs w:val="20"/>
          <w:color w:val="auto"/>
        </w:rPr>
      </w:pPr>
      <w:r>
        <w:rPr>
          <w:rFonts w:ascii="Arial" w:cs="Arial" w:eastAsia="Arial" w:hAnsi="Arial"/>
          <w:sz w:val="16"/>
          <w:szCs w:val="16"/>
          <w:color w:val="auto"/>
        </w:rPr>
        <w:t>The tables below describe the components of operating revenue, adjusted and awarded compensation and benefits expense, adjusted non-compensation expense, earnings from operations and related key ratios, which are non-GAAP measures used by the Company to manage its business. We believe such non-GAAP measures provide the most meaningful basis for comparison between present, historical and future periods, as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7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17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2,816,861</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2,639,597</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2,329,871</w:t>
            </w:r>
          </w:p>
        </w:tc>
        <w:tc>
          <w:tcPr>
            <w:tcW w:w="100" w:type="dxa"/>
            <w:vAlign w:val="bottom"/>
          </w:tcPr>
          <w:p>
            <w:pPr>
              <w:spacing w:after="0"/>
              <w:rPr>
                <w:sz w:val="19"/>
                <w:szCs w:val="19"/>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00" w:type="dxa"/>
            <w:vAlign w:val="bottom"/>
            <w:gridSpan w:val="2"/>
          </w:tcPr>
          <w:p>
            <w:pPr>
              <w:ind w:left="260"/>
              <w:spacing w:after="0"/>
              <w:rPr>
                <w:sz w:val="20"/>
                <w:szCs w:val="20"/>
                <w:color w:val="auto"/>
              </w:rPr>
            </w:pPr>
            <w:r>
              <w:rPr>
                <w:rFonts w:ascii="Arial" w:cs="Arial" w:eastAsia="Arial" w:hAnsi="Arial"/>
                <w:sz w:val="18"/>
                <w:szCs w:val="18"/>
                <w:color w:val="auto"/>
              </w:rPr>
              <w:t>Interest expense (a)</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57,698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53,719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51,005</w:t>
            </w:r>
          </w:p>
        </w:tc>
        <w:tc>
          <w:tcPr>
            <w:tcW w:w="100" w:type="dxa"/>
            <w:vAlign w:val="bottom"/>
          </w:tcPr>
          <w:p>
            <w:pPr>
              <w:spacing w:after="0"/>
              <w:rPr>
                <w:sz w:val="19"/>
                <w:szCs w:val="19"/>
                <w:color w:val="auto"/>
              </w:rPr>
            </w:pPr>
          </w:p>
        </w:tc>
      </w:tr>
      <w:tr>
        <w:trPr>
          <w:trHeight w:val="215"/>
        </w:trPr>
        <w:tc>
          <w:tcPr>
            <w:tcW w:w="5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 fees, reimbursable deal costs and bad debt</w:t>
            </w: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5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expense (b)</w:t>
            </w:r>
          </w:p>
        </w:tc>
        <w:tc>
          <w:tcPr>
            <w:tcW w:w="1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(120,990)</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0"/>
        </w:trPr>
        <w:tc>
          <w:tcPr>
            <w:tcW w:w="5500" w:type="dxa"/>
            <w:vAlign w:val="bottom"/>
            <w:gridSpan w:val="2"/>
          </w:tcPr>
          <w:p>
            <w:pPr>
              <w:ind w:left="260"/>
              <w:spacing w:after="0"/>
              <w:rPr>
                <w:sz w:val="20"/>
                <w:szCs w:val="20"/>
                <w:color w:val="auto"/>
              </w:rPr>
            </w:pPr>
            <w:r>
              <w:rPr>
                <w:rFonts w:ascii="Arial" w:cs="Arial" w:eastAsia="Arial" w:hAnsi="Arial"/>
                <w:sz w:val="18"/>
                <w:szCs w:val="18"/>
                <w:color w:val="auto"/>
              </w:rPr>
              <w:t>Revenue related to noncontrolling interests (c)</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(18,787)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(16,228)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(20,614)</w:t>
            </w:r>
          </w:p>
        </w:tc>
      </w:tr>
      <w:tr>
        <w:trPr>
          <w:trHeight w:val="230"/>
        </w:trPr>
        <w:tc>
          <w:tcPr>
            <w:tcW w:w="5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 on acquisition of MBA Lazard (d)</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(12,668)</w:t>
            </w:r>
          </w:p>
        </w:tc>
      </w:tr>
      <w:tr>
        <w:trPr>
          <w:trHeight w:val="230"/>
        </w:trPr>
        <w:tc>
          <w:tcPr>
            <w:tcW w:w="5500" w:type="dxa"/>
            <w:vAlign w:val="bottom"/>
            <w:gridSpan w:val="2"/>
          </w:tcPr>
          <w:p>
            <w:pPr>
              <w:ind w:left="260"/>
              <w:spacing w:after="0"/>
              <w:rPr>
                <w:sz w:val="20"/>
                <w:szCs w:val="20"/>
                <w:color w:val="auto"/>
              </w:rPr>
            </w:pPr>
            <w:r>
              <w:rPr>
                <w:rFonts w:ascii="Arial" w:cs="Arial" w:eastAsia="Arial" w:hAnsi="Arial"/>
                <w:sz w:val="18"/>
                <w:szCs w:val="18"/>
                <w:color w:val="auto"/>
              </w:rPr>
              <w:t>(Gains) losses on investments pertaining to LFI (e)</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(23,526)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(3,318)</w:t>
            </w:r>
          </w:p>
        </w:tc>
      </w:tr>
      <w:tr>
        <w:trPr>
          <w:trHeight w:val="223"/>
        </w:trPr>
        <w:tc>
          <w:tcPr>
            <w:tcW w:w="55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revenue</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2,748,868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2,653,562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2,344,276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7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right="560" w:hanging="592"/>
        <w:spacing w:after="0" w:line="290" w:lineRule="auto"/>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600" w:right="480" w:hanging="592"/>
        <w:spacing w:after="0" w:line="308"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600" w:right="20" w:hanging="592"/>
        <w:spacing w:after="0" w:line="274"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600" w:right="60" w:hanging="592"/>
        <w:spacing w:after="0" w:line="274"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 gain on the acquisition of MBA Lazard (which resulted from the increase in the fair value of the Company’s investment in MBA Lazard prior to the acquisition).</w:t>
      </w:r>
    </w:p>
    <w:p>
      <w:pPr>
        <w:ind w:left="600" w:right="240" w:hanging="592"/>
        <w:spacing w:after="0" w:line="277"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Compensation and Benefits Expense: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1,508,813</w:t>
            </w:r>
          </w:p>
        </w:tc>
        <w:tc>
          <w:tcPr>
            <w:tcW w:w="180" w:type="dxa"/>
            <w:vAlign w:val="bottom"/>
          </w:tcPr>
          <w:p>
            <w:pPr>
              <w:spacing w:after="0"/>
              <w:rPr>
                <w:sz w:val="19"/>
                <w:szCs w:val="19"/>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1,507,332</w:t>
            </w:r>
          </w:p>
        </w:tc>
        <w:tc>
          <w:tcPr>
            <w:tcW w:w="2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1,338,819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(10,999)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(8,285)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(11,899)</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(23,526)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ERP system implementation (c)</w:t>
            </w: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(1,190)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compensation and benefits expense</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1,510,710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1,475,521</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1,323,602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gridSpan w:val="2"/>
          </w:tcPr>
          <w:p>
            <w:pPr>
              <w:spacing w:after="0"/>
              <w:rPr>
                <w:sz w:val="20"/>
                <w:szCs w:val="20"/>
                <w:color w:val="auto"/>
              </w:rPr>
            </w:pPr>
            <w:r>
              <w:rPr>
                <w:rFonts w:ascii="Arial" w:cs="Arial" w:eastAsia="Arial" w:hAnsi="Arial"/>
                <w:sz w:val="18"/>
                <w:szCs w:val="18"/>
                <w:color w:val="auto"/>
              </w:rPr>
              <w:t>Deduct - amortization of deferred incentive compensation</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awards</w:t>
            </w:r>
          </w:p>
        </w:tc>
        <w:tc>
          <w:tcPr>
            <w:tcW w:w="3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(375,006)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(367,027)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(352,403)</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adjusted cash compensation and benefits expense (d)</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1,135,704</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1,108,494</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971,199</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Add: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Year-end deferred incentive compensation awards (e)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376,029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349,030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342,449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Sign-on and other special incentive awards (f)</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45,423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35,749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Deduct - adjustments for estimated forfeitures (g)</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(27,394)</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(25,011)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(27,917)</w:t>
            </w: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Awarded compensation and benefits expense</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1,529,762</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1,468,262</w:t>
            </w: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1,315,510</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Adjusted compensation and benefits expense, as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 % of operating revenue</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Awarded compensation and benefits expense, as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a % of operating revenue</w:t>
            </w: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4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Lazard has no economic interest in such amounts.</w:t>
      </w:r>
    </w:p>
    <w:p>
      <w:pPr>
        <w:spacing w:after="0" w:line="61" w:lineRule="exact"/>
        <w:rPr>
          <w:rFonts w:ascii="Arial" w:cs="Arial" w:eastAsia="Arial" w:hAnsi="Arial"/>
          <w:sz w:val="17"/>
          <w:szCs w:val="17"/>
          <w:color w:val="auto"/>
        </w:rPr>
      </w:pPr>
    </w:p>
    <w:p>
      <w:pPr>
        <w:ind w:left="600" w:right="340" w:hanging="592"/>
        <w:spacing w:after="0" w:line="274"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ind w:left="600" w:hanging="59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49" w:lineRule="exact"/>
        <w:rPr>
          <w:rFonts w:ascii="Arial" w:cs="Arial" w:eastAsia="Arial" w:hAnsi="Arial"/>
          <w:sz w:val="18"/>
          <w:szCs w:val="18"/>
          <w:color w:val="auto"/>
        </w:rPr>
      </w:pPr>
    </w:p>
    <w:p>
      <w:pPr>
        <w:ind w:left="600" w:right="200" w:hanging="592"/>
        <w:spacing w:after="0" w:line="274"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base salaries and benefits of $692,277, $645,172 and $573,950 for 2018, 2017 and 2016, respectively, and cash incentive compensation of $443,426, $463,322 and $397,249 for the respective years.</w:t>
      </w:r>
    </w:p>
    <w:p>
      <w:pPr>
        <w:ind w:left="600" w:right="360" w:hanging="592"/>
        <w:spacing w:after="0" w:line="290"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Deferred incentive compensation awards applicable to the relevant year-end compensation process (</w:t>
      </w:r>
      <w:r>
        <w:rPr>
          <w:rFonts w:ascii="Arial" w:cs="Arial" w:eastAsia="Arial" w:hAnsi="Arial"/>
          <w:sz w:val="17"/>
          <w:szCs w:val="17"/>
          <w:i w:val="1"/>
          <w:iCs w:val="1"/>
          <w:color w:val="auto"/>
        </w:rPr>
        <w:t>e.g.,</w:t>
      </w:r>
      <w:r>
        <w:rPr>
          <w:rFonts w:ascii="Arial" w:cs="Arial" w:eastAsia="Arial" w:hAnsi="Arial"/>
          <w:sz w:val="17"/>
          <w:szCs w:val="17"/>
          <w:color w:val="auto"/>
        </w:rPr>
        <w:t xml:space="preserve"> deferred incentive compensation awards granted in 2019, 2018 and 2017 related to the 2018, 2017 and 2016 year-end compensation processes, respectively).</w:t>
      </w:r>
    </w:p>
    <w:p>
      <w:pPr>
        <w:ind w:left="600" w:right="160" w:hanging="592"/>
        <w:spacing w:after="0" w:line="274"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special deferred incentive awards that are granted outside the year-end compensation process, and includes grants to new hires, retention awards and performance units earned under PRSU grants.</w:t>
      </w:r>
    </w:p>
    <w:p>
      <w:pPr>
        <w:ind w:left="600" w:right="240" w:hanging="592"/>
        <w:spacing w:after="0" w:line="342"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estimate, based on historical experience and future expectations, for future forfeitures of the deferred portion of such awards in order to present awarded compensation and benefits expense on a similar basis to that under U.S. GAAP, which also considers estimated forfeitures.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98"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649,722</w:t>
            </w:r>
          </w:p>
        </w:tc>
        <w:tc>
          <w:tcPr>
            <w:tcW w:w="180" w:type="dxa"/>
            <w:vAlign w:val="bottom"/>
          </w:tcPr>
          <w:p>
            <w:pPr>
              <w:spacing w:after="0"/>
              <w:rPr>
                <w:sz w:val="19"/>
                <w:szCs w:val="19"/>
                <w:color w:val="auto"/>
              </w:rPr>
            </w:pP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495,636</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436,520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ERP system implementation (a)</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(27,495)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(25,308)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Expenses relating to office space reorganization (b)</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(2,345)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(11,354)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Distribution fees, reimbursable deal costs and bad debt</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380"/>
              <w:spacing w:after="0"/>
              <w:rPr>
                <w:sz w:val="20"/>
                <w:szCs w:val="20"/>
                <w:color w:val="auto"/>
              </w:rPr>
            </w:pPr>
            <w:r>
              <w:rPr>
                <w:rFonts w:ascii="Arial" w:cs="Arial" w:eastAsia="Arial" w:hAnsi="Arial"/>
                <w:sz w:val="18"/>
                <w:szCs w:val="18"/>
                <w:color w:val="auto"/>
              </w:rPr>
              <w:t>expense (c)</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(120,990)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pertaining to senior debt refinancing (d)</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(6,523)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(e)</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(1,754)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(1,684)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Expenses associated with the Lazard Foundation (f)</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Professional fees related to acquisitions</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non-compensation expense</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480,615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457,290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430,970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 as</w:t>
            </w: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140"/>
              <w:spacing w:after="0"/>
              <w:rPr>
                <w:sz w:val="20"/>
                <w:szCs w:val="20"/>
                <w:color w:val="auto"/>
              </w:rPr>
            </w:pPr>
            <w:r>
              <w:rPr>
                <w:rFonts w:ascii="Arial" w:cs="Arial" w:eastAsia="Arial" w:hAnsi="Arial"/>
                <w:sz w:val="18"/>
                <w:szCs w:val="18"/>
                <w:color w:val="auto"/>
              </w:rPr>
              <w:t>a % of operating revenue</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49" w:lineRule="exact"/>
        <w:rPr>
          <w:rFonts w:ascii="Arial" w:cs="Arial" w:eastAsia="Arial" w:hAnsi="Arial"/>
          <w:sz w:val="18"/>
          <w:szCs w:val="18"/>
          <w:color w:val="auto"/>
        </w:rPr>
      </w:pPr>
    </w:p>
    <w:p>
      <w:pPr>
        <w:ind w:left="600" w:hanging="59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incremental rent expense and lease abandonment costs related to office space reorganization.</w:t>
      </w:r>
    </w:p>
    <w:p>
      <w:pPr>
        <w:spacing w:after="0" w:line="49" w:lineRule="exact"/>
        <w:rPr>
          <w:rFonts w:ascii="Arial" w:cs="Arial" w:eastAsia="Arial" w:hAnsi="Arial"/>
          <w:sz w:val="18"/>
          <w:szCs w:val="18"/>
          <w:color w:val="auto"/>
        </w:rPr>
      </w:pPr>
    </w:p>
    <w:p>
      <w:pPr>
        <w:ind w:left="600" w:right="500" w:hanging="592"/>
        <w:spacing w:after="0" w:line="308" w:lineRule="auto"/>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600" w:right="200" w:hanging="592"/>
        <w:spacing w:after="0" w:line="264"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excluded charges pertaining to (i) in 2018, the partial redemption of the Company’s 2020 Notes, due to the non-operating nature of such transaction and (ii) in 2016, the redemption of the remaining balance of the Company’s 2017 Notes, due to the non-operating nature of such transaction. See “—Liquidity and Capital Resources—Financing Activities.”</w:t>
      </w:r>
    </w:p>
    <w:p>
      <w:pPr>
        <w:spacing w:after="0" w:line="5" w:lineRule="exact"/>
        <w:rPr>
          <w:rFonts w:ascii="Arial" w:cs="Arial" w:eastAsia="Arial" w:hAnsi="Arial"/>
          <w:sz w:val="18"/>
          <w:szCs w:val="18"/>
          <w:color w:val="auto"/>
        </w:rPr>
      </w:pPr>
    </w:p>
    <w:p>
      <w:pPr>
        <w:ind w:left="600" w:hanging="592"/>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72" w:lineRule="exact"/>
        <w:rPr>
          <w:rFonts w:ascii="Arial" w:cs="Arial" w:eastAsia="Arial" w:hAnsi="Arial"/>
          <w:sz w:val="16"/>
          <w:szCs w:val="16"/>
          <w:color w:val="auto"/>
        </w:rPr>
      </w:pPr>
    </w:p>
    <w:p>
      <w:pPr>
        <w:ind w:left="600" w:hanging="59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expenses associated with the unconditional commitment to the Lazard Foundation.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Operating revenue</w:t>
            </w:r>
          </w:p>
        </w:tc>
        <w:tc>
          <w:tcPr>
            <w:tcW w:w="21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2,748,868</w:t>
            </w:r>
          </w:p>
        </w:tc>
        <w:tc>
          <w:tcPr>
            <w:tcW w:w="180" w:type="dxa"/>
            <w:vAlign w:val="bottom"/>
          </w:tcPr>
          <w:p>
            <w:pPr>
              <w:spacing w:after="0"/>
              <w:rPr>
                <w:sz w:val="19"/>
                <w:szCs w:val="19"/>
                <w:color w:val="auto"/>
              </w:rPr>
            </w:pP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2,653,562</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2,344,276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(1,510,710)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(1,475,521)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(1,323,602)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(480,615)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(457,291)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(430,970)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18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757,543</w:t>
            </w:r>
          </w:p>
        </w:tc>
        <w:tc>
          <w:tcPr>
            <w:tcW w:w="1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720,750</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589,704</w:t>
            </w:r>
          </w:p>
        </w:tc>
        <w:tc>
          <w:tcPr>
            <w:tcW w:w="18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1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bottom w:val="single" w:sz="8" w:color="CFF0FC"/>
            </w:tcBorders>
            <w:vMerge w:val="restart"/>
          </w:tcPr>
          <w:p>
            <w:pPr>
              <w:jc w:val="right"/>
              <w:ind w:right="730"/>
              <w:spacing w:after="0"/>
              <w:rPr>
                <w:sz w:val="20"/>
                <w:szCs w:val="20"/>
                <w:color w:val="auto"/>
              </w:rPr>
            </w:pPr>
            <w:r>
              <w:rPr>
                <w:rFonts w:ascii="Arial" w:cs="Arial" w:eastAsia="Arial" w:hAnsi="Arial"/>
                <w:sz w:val="18"/>
                <w:szCs w:val="18"/>
                <w:color w:val="auto"/>
              </w:rPr>
              <w:t>41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8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6" w:right="219" w:bottom="1440" w:gutter="0" w:footer="0" w:header="0"/>
        </w:sectPr>
      </w:pPr>
    </w:p>
    <w:bookmarkStart w:id="43" w:name="page44"/>
    <w:bookmarkEnd w:id="43"/>
    <w:p>
      <w:pPr>
        <w:ind w:left="600"/>
        <w:spacing w:after="0"/>
        <w:rPr>
          <w:sz w:val="20"/>
          <w:szCs w:val="20"/>
          <w:color w:val="auto"/>
        </w:rPr>
      </w:pPr>
      <w:r>
        <w:rPr>
          <w:rFonts w:ascii="Arial" w:cs="Arial" w:eastAsia="Arial" w:hAnsi="Arial"/>
          <w:sz w:val="18"/>
          <w:szCs w:val="18"/>
          <w:color w:val="auto"/>
        </w:rPr>
        <w:t>Headcount information is set forth below:</w:t>
      </w:r>
    </w:p>
    <w:p>
      <w:pPr>
        <w:spacing w:after="0" w:line="230"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As of December 31,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80" w:type="dxa"/>
            <w:vAlign w:val="bottom"/>
            <w:gridSpan w:val="2"/>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6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223"/>
        </w:trPr>
        <w:tc>
          <w:tcPr>
            <w:tcW w:w="6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8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gridSpan w:val="3"/>
          </w:tcPr>
          <w:p>
            <w:pPr>
              <w:ind w:left="260"/>
              <w:spacing w:after="0"/>
              <w:rPr>
                <w:sz w:val="20"/>
                <w:szCs w:val="20"/>
                <w:color w:val="auto"/>
              </w:rPr>
            </w:pPr>
            <w:r>
              <w:rPr>
                <w:rFonts w:ascii="Arial" w:cs="Arial" w:eastAsia="Arial" w:hAnsi="Arial"/>
                <w:sz w:val="18"/>
                <w:szCs w:val="18"/>
                <w:color w:val="auto"/>
              </w:rPr>
              <w:t>Managing Directors: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gridSpan w:val="3"/>
          </w:tcPr>
          <w:p>
            <w:pPr>
              <w:ind w:left="500"/>
              <w:spacing w:after="0"/>
              <w:rPr>
                <w:sz w:val="20"/>
                <w:szCs w:val="20"/>
                <w:color w:val="auto"/>
              </w:rPr>
            </w:pPr>
            <w:r>
              <w:rPr>
                <w:rFonts w:ascii="Arial" w:cs="Arial" w:eastAsia="Arial" w:hAnsi="Arial"/>
                <w:sz w:val="18"/>
                <w:szCs w:val="18"/>
                <w:color w:val="auto"/>
              </w:rPr>
              <w:t>Asset Management</w:t>
            </w: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r>
      <w:tr>
        <w:trPr>
          <w:trHeight w:val="230"/>
        </w:trPr>
        <w:tc>
          <w:tcPr>
            <w:tcW w:w="764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Corporate (a)</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gridSpan w:val="2"/>
          </w:tcPr>
          <w:p>
            <w:pPr>
              <w:ind w:left="500"/>
              <w:spacing w:after="0"/>
              <w:rPr>
                <w:sz w:val="20"/>
                <w:szCs w:val="20"/>
                <w:color w:val="auto"/>
              </w:rPr>
            </w:pPr>
            <w:r>
              <w:rPr>
                <w:rFonts w:ascii="Arial" w:cs="Arial" w:eastAsia="Arial" w:hAnsi="Arial"/>
                <w:sz w:val="18"/>
                <w:szCs w:val="18"/>
                <w:color w:val="auto"/>
              </w:rPr>
              <w:t>Total Managing Directors</w:t>
            </w:r>
          </w:p>
        </w:tc>
        <w:tc>
          <w:tcPr>
            <w:tcW w:w="8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r>
      <w:tr>
        <w:trPr>
          <w:trHeight w:val="230"/>
        </w:trPr>
        <w:tc>
          <w:tcPr>
            <w:tcW w:w="76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Other Business Segment Professionals and Support Staff:</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40" w:type="dxa"/>
            <w:vAlign w:val="bottom"/>
            <w:gridSpan w:val="3"/>
          </w:tcPr>
          <w:p>
            <w:pPr>
              <w:ind w:left="500"/>
              <w:spacing w:after="0"/>
              <w:rPr>
                <w:sz w:val="20"/>
                <w:szCs w:val="20"/>
                <w:color w:val="auto"/>
              </w:rPr>
            </w:pPr>
            <w:r>
              <w:rPr>
                <w:rFonts w:ascii="Arial" w:cs="Arial" w:eastAsia="Arial" w:hAnsi="Arial"/>
                <w:sz w:val="18"/>
                <w:szCs w:val="18"/>
                <w:color w:val="auto"/>
              </w:rPr>
              <w:t>Financial Advisory</w:t>
            </w:r>
          </w:p>
        </w:tc>
        <w:tc>
          <w:tcPr>
            <w:tcW w:w="480" w:type="dxa"/>
            <w:vAlign w:val="bottom"/>
          </w:tcPr>
          <w:p>
            <w:pPr>
              <w:jc w:val="right"/>
              <w:spacing w:after="0"/>
              <w:rPr>
                <w:sz w:val="20"/>
                <w:szCs w:val="20"/>
                <w:color w:val="auto"/>
              </w:rPr>
            </w:pPr>
            <w:r>
              <w:rPr>
                <w:rFonts w:ascii="Arial" w:cs="Arial" w:eastAsia="Arial" w:hAnsi="Arial"/>
                <w:sz w:val="18"/>
                <w:szCs w:val="18"/>
                <w:color w:val="auto"/>
              </w:rPr>
              <w:t>1,300</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1,171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r>
      <w:tr>
        <w:trPr>
          <w:trHeight w:val="230"/>
        </w:trPr>
        <w:tc>
          <w:tcPr>
            <w:tcW w:w="764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Asset Management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gridSpan w:val="3"/>
          </w:tcPr>
          <w:p>
            <w:pPr>
              <w:ind w:left="500"/>
              <w:spacing w:after="0"/>
              <w:rPr>
                <w:sz w:val="20"/>
                <w:szCs w:val="20"/>
                <w:color w:val="auto"/>
              </w:rPr>
            </w:pPr>
            <w:r>
              <w:rPr>
                <w:rFonts w:ascii="Arial" w:cs="Arial" w:eastAsia="Arial" w:hAnsi="Arial"/>
                <w:sz w:val="18"/>
                <w:szCs w:val="18"/>
                <w:color w:val="auto"/>
              </w:rPr>
              <w:t>Corporate (a)</w:t>
            </w:r>
          </w:p>
        </w:tc>
        <w:tc>
          <w:tcPr>
            <w:tcW w:w="480" w:type="dxa"/>
            <w:vAlign w:val="bottom"/>
          </w:tcPr>
          <w:p>
            <w:pPr>
              <w:jc w:val="right"/>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585</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r>
      <w:tr>
        <w:trPr>
          <w:trHeight w:val="223"/>
        </w:trPr>
        <w:tc>
          <w:tcPr>
            <w:tcW w:w="678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2,829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hanging="592"/>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Reduction in 2018 relates to a realignment of certain headcount from Corporate to the Financial Advisory and Asset Management segments.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versus December 31, 2017</w:t>
      </w:r>
    </w:p>
    <w:p>
      <w:pPr>
        <w:spacing w:after="0" w:line="117" w:lineRule="exact"/>
        <w:rPr>
          <w:sz w:val="20"/>
          <w:szCs w:val="20"/>
          <w:color w:val="auto"/>
        </w:rPr>
      </w:pPr>
    </w:p>
    <w:p>
      <w:pPr>
        <w:ind w:right="720" w:firstLine="598"/>
        <w:spacing w:after="0" w:line="277" w:lineRule="auto"/>
        <w:rPr>
          <w:sz w:val="20"/>
          <w:szCs w:val="20"/>
          <w:color w:val="auto"/>
        </w:rPr>
      </w:pPr>
      <w:r>
        <w:rPr>
          <w:rFonts w:ascii="Arial" w:cs="Arial" w:eastAsia="Arial" w:hAnsi="Arial"/>
          <w:sz w:val="18"/>
          <w:szCs w:val="18"/>
          <w:color w:val="auto"/>
        </w:rPr>
        <w:t>The Company reported net income attributable to Lazard Group of $566 million, as compared to net income attributable to Lazard Group of $546 million in 2017. The changes in the Company’s operating results during these years are described below.</w:t>
      </w:r>
    </w:p>
    <w:p>
      <w:pPr>
        <w:spacing w:after="0" w:line="170"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Net revenue increased $177 million, or 7%, with operating revenue increasing $95 million, or 4%, as compared to 2017. Net revenue in the 2018 period reflects the adoption of the new revenue recognition guidance (see Notes 3 and 4 of Notes to Consolidated Financial Statements). Fee revenue from investment banking and other advisory activities increased $163 million, or 12%, as compared to 2017, primarily due to an increase in M&amp;A Advisory revenue, partially offset by a decrease in Restructuring revenue. Asset management fees, including incentive fees, increased $73 million, or 6%, as compared to 2017, primarily due to an increase in average AUM, as well as the impact of the new revenue recognition guidance. In the aggregate, interest income, other revenue and interest expense decreased $58 million as compared to 2017, primarily due to lower income attributable to investments held in connection with LFI.</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Compensation and benefits expense increased $1 million as compared to 2017.</w:t>
      </w:r>
    </w:p>
    <w:p>
      <w:pPr>
        <w:spacing w:after="0" w:line="225"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Adjusted compensation and benefits expense was $1,511 million, an increase of $35 million, or 2%, as compared to $1,476 million in 2017. The ratio of adjusted compensation and benefits expense to operating revenue was 55.0% for 2018, as compared to 55.6% for 2017. Awarded compensation and benefits expense in 2018 was $1,530 million, an increase of $62 million, or 4%, when compared to $1,468 million in 2017. The ratio of awarded compensation and benefits expense to operating revenue was 55.7%, as compared to 55.3% for 2017. The year-end deferred incentive compensation awarded for 2018 was $376 million, representing an increase of $27 million, or 8%, as compared to 2017. As described above, when analyzing compensation and benefits expense on a full-year basis, we believe that awarded compensation and benefits expense provides the most meaningful basis for comparison of compensation and benefits expense between present, historical and future years.</w:t>
      </w:r>
    </w:p>
    <w:p>
      <w:pPr>
        <w:spacing w:after="0" w:line="178" w:lineRule="exact"/>
        <w:rPr>
          <w:sz w:val="20"/>
          <w:szCs w:val="20"/>
          <w:color w:val="auto"/>
        </w:rPr>
      </w:pPr>
    </w:p>
    <w:p>
      <w:pPr>
        <w:ind w:right="240" w:firstLine="598"/>
        <w:spacing w:after="0" w:line="257" w:lineRule="auto"/>
        <w:rPr>
          <w:sz w:val="20"/>
          <w:szCs w:val="20"/>
          <w:color w:val="auto"/>
        </w:rPr>
      </w:pPr>
      <w:r>
        <w:rPr>
          <w:rFonts w:ascii="Arial" w:cs="Arial" w:eastAsia="Arial" w:hAnsi="Arial"/>
          <w:sz w:val="18"/>
          <w:szCs w:val="18"/>
          <w:color w:val="auto"/>
        </w:rPr>
        <w:t>Non-compensation expense increased $154 million, or 31%, as compared to 2017, primarily due to the impact of the new revenue recognition guidance discussed above, expenses associated with the unconditional commitment to the Lazard Foundation and a charge relating to the redemption of a portion of the 2020 Notes in 2018. Adjusted non-compensation expense, which excludes such items, as well as expenses associated with the ERP implementation, costs related to office space reorganization and noncontrolling interests, increased $23 million, or 5%, as compared to 2017, reflecting our increased investments in the business, principally in our technology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infrastructure. The ratio of adjusted non-compensation expense to operating revenue was 17.5% for 2018, as compared to 17.2% in 2017.</w:t>
      </w:r>
    </w:p>
    <w:p>
      <w:pPr>
        <w:spacing w:after="0" w:line="225"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Amortization and other acquisition-related (benefits) costs reflect a benefit of $1 million in the 2018 period, as compared to costs of $3 million in the 2017 period, primarily due to the change in fair market value of the contingent consideration.</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Operating income increased $26 million, or 4%, as compared to 2017.</w:t>
      </w:r>
    </w:p>
    <w:p>
      <w:pPr>
        <w:spacing w:after="0" w:line="225"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Earnings from operations increased $37 million, or 5%, as compared to 2017. Earnings from operations, as a percentage of operating revenue, was 27.6%, as compared to 27.2% in 2017.</w:t>
      </w:r>
    </w:p>
    <w:p>
      <w:pPr>
        <w:spacing w:after="0" w:line="170"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provision for income taxes reflects an effective tax rate of 13.4%, as compared to 12.9% in 2017. See Note 17 of Notes to Consolidated Financial Statements.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versus December 31, 2016</w:t>
      </w:r>
    </w:p>
    <w:p>
      <w:pPr>
        <w:spacing w:after="0" w:line="117"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The Company reported net income attributable to Lazard Group of $546 million, as compared to net income attributable to Lazard Group of $466 million in 2016. The changes in the Company’s operating results during these years are described below.</w:t>
      </w:r>
    </w:p>
    <w:p>
      <w:pPr>
        <w:spacing w:after="0" w:line="170"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Net revenue increased $310 million, or 13%, with operating revenue increasing $309 million, or 13%, as compared to 2016. Fee revenue from investment banking and other advisory activities increased $86 million, or 7%, as compared to 2016, due to an increase in M&amp;A Advisory and Restructuring revenue. Asset management fees, including incentive fees, increased $197 million, or 20%, as compared to 2016, primarily due to an increase in average AUM. In the aggregate, interest income, other revenue and interest expense increased $27 million, or 82%, as compared to 2016, primarily due to gains in 2017 attributable to investments held in connection with LFI.</w:t>
      </w:r>
    </w:p>
    <w:p>
      <w:pPr>
        <w:spacing w:after="0" w:line="188"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Compensation and benefits expense increased $169 million, or 13%, as compared to 2016, primarily associated with increased operating revenue, charges pertaining to LFI and an increase in social charges.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Adjusted compensation and benefits expense (which excludes certain items and which we believe allows for improved comparability between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periods, as described above) was $1,476 million, an increase of $152 million, or 11%, as compared to $1,324 million in 2016. The ratio of adjusted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benefits expense to operating revenue was 55.6% for 2017, as compared to 56.5% for 2016. Awarded compensation and benefits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2017 was $1,468 million, an increase of $153 million, or 12%, when compared to $1,315 million in 2016. The ratio of awarded compensation and benefits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to operating revenue was 55.3% and 56.1% for 2017 and 2016, respectively. The year-end deferred incentive compensation awarded for 2017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$349 million, representing an increase of $7 million, or 2%, as compared to 2016. As described above, when analyzing compensation and benefits expense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full-year basis, we believe that awarded compensation and benefits expense provides the most meaningful basis for comparison of compensation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benefits expense between present, historical and future years.</w:t>
      </w:r>
    </w:p>
    <w:p>
      <w:pPr>
        <w:spacing w:after="0" w:line="211" w:lineRule="exact"/>
        <w:rPr>
          <w:sz w:val="20"/>
          <w:szCs w:val="20"/>
          <w:color w:val="auto"/>
        </w:rPr>
      </w:pPr>
    </w:p>
    <w:p>
      <w:pPr>
        <w:ind w:right="400" w:firstLine="598"/>
        <w:spacing w:after="0" w:line="276" w:lineRule="auto"/>
        <w:rPr>
          <w:sz w:val="20"/>
          <w:szCs w:val="20"/>
          <w:color w:val="auto"/>
        </w:rPr>
      </w:pPr>
      <w:r>
        <w:rPr>
          <w:rFonts w:ascii="Arial" w:cs="Arial" w:eastAsia="Arial" w:hAnsi="Arial"/>
          <w:sz w:val="17"/>
          <w:szCs w:val="17"/>
          <w:color w:val="auto"/>
        </w:rPr>
        <w:t>Non-compensation expense increased $59 million, or 14%, as compared to 2016, primarily due to expenses associated with the ERP system implementation and expenses related to office space reorganization, as well as higher mutual fund service fees related to growth in AUM and higher marketing and business development expenses. Adjusted non-compensation expense, which excludes non-compensation costs related to the ERP system implementation, office space reorganization and noncontrolling interests, increased $26 million, or 6%, as compared to 2016. The ratio of adjusted non-compensation expense to operating revenue was 17.2% for 2017, as compared to 18.4% in 2016.</w:t>
      </w:r>
    </w:p>
    <w:p>
      <w:pPr>
        <w:spacing w:after="0" w:line="173"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color w:val="auto"/>
        </w:rPr>
        <w:t>Amortization and other acquisition-related costs decreased $30 million as compared to 2016, primarily due to the change in fair value of the contingent consideration in 2016 associated with the Edgewater business acquisition. The contingent consideration associated with the Edgewater business acquisition was settled during 2016.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p>
      <w:pPr>
        <w:ind w:left="600"/>
        <w:spacing w:after="0"/>
        <w:rPr>
          <w:sz w:val="20"/>
          <w:szCs w:val="20"/>
          <w:color w:val="auto"/>
        </w:rPr>
      </w:pPr>
      <w:r>
        <w:rPr>
          <w:rFonts w:ascii="Arial" w:cs="Arial" w:eastAsia="Arial" w:hAnsi="Arial"/>
          <w:sz w:val="18"/>
          <w:szCs w:val="18"/>
          <w:color w:val="auto"/>
        </w:rPr>
        <w:t>Operating income increased $112 million, or 21%, as compared to 2016.</w:t>
      </w:r>
    </w:p>
    <w:p>
      <w:pPr>
        <w:spacing w:after="0" w:line="225"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Earnings from operations increased $131 million, or 22%, as compared to 2016. Earnings from operations, as a percentage of operating revenue, was 27.2%, as compared to 25.2% in 2016.</w:t>
      </w:r>
    </w:p>
    <w:p>
      <w:pPr>
        <w:spacing w:after="0" w:line="170"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The provision for income taxes reflects an effective tax rate of 12.9%, as compared to 9.5% for 2016. See Note 17 of Notes to Consolidated Financial Statements.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20" w:firstLine="59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20" w:firstLine="8"/>
        <w:spacing w:after="0" w:line="271" w:lineRule="auto"/>
        <w:tabs>
          <w:tab w:leader="none" w:pos="265" w:val="left"/>
        </w:tabs>
        <w:numPr>
          <w:ilvl w:val="0"/>
          <w:numId w:val="29"/>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1,548,918</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1,386,688</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1,301,044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1,206,511</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1,130,186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1,011,495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8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342,407</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256,502</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289,549</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Certain Lazard fee and transaction statistics for the Financial Advisory segment are set forth below:</w:t>
      </w:r>
    </w:p>
    <w:p>
      <w:pPr>
        <w:spacing w:after="0" w:line="298"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Pr>
          <w:p>
            <w:pPr>
              <w:spacing w:after="0"/>
              <w:rPr>
                <w:sz w:val="13"/>
                <w:szCs w:val="13"/>
                <w:color w:val="auto"/>
              </w:rPr>
            </w:pPr>
          </w:p>
        </w:tc>
        <w:tc>
          <w:tcPr>
            <w:tcW w:w="92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2018</w:t>
            </w:r>
          </w:p>
        </w:tc>
        <w:tc>
          <w:tcPr>
            <w:tcW w:w="1660" w:type="dxa"/>
            <w:vAlign w:val="bottom"/>
            <w:tcBorders>
              <w:top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9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Number of clients with fees greater than $1 million:</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Financial Advisory</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FF0FC"/>
          </w:tcPr>
          <w:p>
            <w:pPr>
              <w:spacing w:after="0"/>
              <w:rPr>
                <w:sz w:val="19"/>
                <w:szCs w:val="19"/>
                <w:color w:val="auto"/>
              </w:rPr>
            </w:pPr>
          </w:p>
        </w:tc>
      </w:tr>
      <w:tr>
        <w:trPr>
          <w:trHeight w:val="215"/>
        </w:trPr>
        <w:tc>
          <w:tcPr>
            <w:tcW w:w="7540" w:type="dxa"/>
            <w:vAlign w:val="bottom"/>
            <w:gridSpan w:val="2"/>
          </w:tcPr>
          <w:p>
            <w:pPr>
              <w:spacing w:after="0"/>
              <w:rPr>
                <w:sz w:val="20"/>
                <w:szCs w:val="20"/>
                <w:color w:val="auto"/>
              </w:rPr>
            </w:pPr>
            <w:r>
              <w:rPr>
                <w:rFonts w:ascii="Arial" w:cs="Arial" w:eastAsia="Arial" w:hAnsi="Arial"/>
                <w:sz w:val="18"/>
                <w:szCs w:val="18"/>
                <w:color w:val="auto"/>
              </w:rPr>
              <w:t>Percentage of total Financial Advisory net revenue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7540" w:type="dxa"/>
            <w:vAlign w:val="bottom"/>
            <w:gridSpan w:val="2"/>
          </w:tcPr>
          <w:p>
            <w:pPr>
              <w:ind w:left="140"/>
              <w:spacing w:after="0"/>
              <w:rPr>
                <w:sz w:val="20"/>
                <w:szCs w:val="20"/>
                <w:color w:val="auto"/>
              </w:rPr>
            </w:pPr>
            <w:r>
              <w:rPr>
                <w:rFonts w:ascii="Arial" w:cs="Arial" w:eastAsia="Arial" w:hAnsi="Arial"/>
                <w:sz w:val="18"/>
                <w:szCs w:val="18"/>
                <w:color w:val="auto"/>
              </w:rPr>
              <w:t>from top 10 clients (a)</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9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5"/>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Number of M&amp;A transactions completed with</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values greater than $500 million (b)</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right="400" w:hanging="592"/>
        <w:spacing w:after="0" w:line="27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individual client constituted more than 10% of our Financial Advisory segment net revenue in the years ended December 31, 2018, 2017 and 2016.</w:t>
      </w:r>
    </w:p>
    <w:p>
      <w:pPr>
        <w:ind w:left="600" w:hanging="59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Source: Dealogic as of January 4,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ind w:right="60" w:firstLine="598"/>
        <w:spacing w:after="0" w:line="259"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and Latin America), EMEA (primarily in the U.K., France, Germany, Italy and Spain) and the Asia Pacific region (primarily in Australia) and therefore may not be reflective of the geography in which the clients are located.</w:t>
      </w:r>
    </w:p>
    <w:p>
      <w:pPr>
        <w:spacing w:after="0" w:line="260"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EMEA</w:t>
            </w: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9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9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restructuring and other strategic advisory matters,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or other services. Accordingly, Lazard measures performance in its Financial Advisory segment based on overall segment operating revenue and operating income margins.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versus December 31, 2017</w:t>
      </w:r>
    </w:p>
    <w:p>
      <w:pPr>
        <w:spacing w:after="0" w:line="117" w:lineRule="exact"/>
        <w:rPr>
          <w:sz w:val="20"/>
          <w:szCs w:val="20"/>
          <w:color w:val="auto"/>
        </w:rPr>
      </w:pPr>
    </w:p>
    <w:p>
      <w:pPr>
        <w:ind w:right="400" w:firstLine="598"/>
        <w:spacing w:after="0" w:line="264" w:lineRule="auto"/>
        <w:rPr>
          <w:sz w:val="20"/>
          <w:szCs w:val="20"/>
          <w:color w:val="auto"/>
        </w:rPr>
      </w:pPr>
      <w:r>
        <w:rPr>
          <w:rFonts w:ascii="Arial" w:cs="Arial" w:eastAsia="Arial" w:hAnsi="Arial"/>
          <w:sz w:val="18"/>
          <w:szCs w:val="18"/>
          <w:color w:val="auto"/>
        </w:rPr>
        <w:t>Financial Advisory net revenue increased $162 million, or 12%, as compared to 2017, which reflected an increase in M&amp;A Advisory revenue, partially offset by a decrease in Restructuring revenue. The increase in Financial Advisory net revenue was primarily due to an increase in the number of completed transactions involving fees greater than $5 million as compared to 2017.</w:t>
      </w:r>
    </w:p>
    <w:p>
      <w:pPr>
        <w:spacing w:after="0" w:line="181"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Operating expenses increased $76 million, or 7%, as compared to 2017, primarily due to an increase in compensation associated with increased revenue and the impact of the new revenue recognition guidance.</w:t>
      </w:r>
    </w:p>
    <w:p>
      <w:pPr>
        <w:spacing w:after="0" w:line="170"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Financial Advisory operating income was $342 million, an increase of $86 million, or 33%, as compared to operating income of $257 million in 2017 and, as a percentage of net revenue, was 22.1%, as compared to 18.5% in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versus December 31, 2016</w:t>
      </w:r>
    </w:p>
    <w:p>
      <w:pPr>
        <w:spacing w:after="0" w:line="117"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Financial Advisory net revenue increased $86 million, or 7%, as compared to 2016, which reflected an increase in M&amp;A Advisory revenue and Restructuring revenue. The increase in Financial Advisory revenue was primarily due to an increase in the number of completed transactions involving fees greater than $1 million as compared to 2016.</w:t>
      </w:r>
    </w:p>
    <w:p>
      <w:pPr>
        <w:spacing w:after="0" w:line="181"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Operating expenses increased $119 million, or 12%, as compared to 2016, primarily due to an increase in compensation associated with increased revenue.</w:t>
      </w:r>
    </w:p>
    <w:p>
      <w:pPr>
        <w:spacing w:after="0" w:line="170"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Financial Advisory operating income was $257 million, a decrease of $33 million, or 11%, as compared to operating income of $290 million in 2016 and, as a percentage of net revenue, was 18.5%, as compared to 22.3% in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The following table shows the composition of AUM for the Asset Management segment (see Item 1, “Business—Principal Business Lines—Asset Management—Investment Strategies”):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4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7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41,899</w:t>
            </w:r>
          </w:p>
        </w:tc>
        <w:tc>
          <w:tcPr>
            <w:tcW w:w="64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52,349</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41,363</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Global</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41,490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43,663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30,567</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36,020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36,243</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57,589</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70,696</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54,668</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176,998</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10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15,580</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Global</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4,245</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6,994</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7,847</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32,938</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35,080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31,155</w:t>
            </w:r>
          </w:p>
        </w:tc>
        <w:tc>
          <w:tcPr>
            <w:tcW w:w="10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4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214,734</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249,459</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197,910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Total AUM at December 31, 2018 was $215 billion, a decrease of $34 billion, or 14%, as compared to total AUM of $249 billion at December 31, 2017, due to market depreciation, foreign exchange depreciation and net outflows. Average AUM for the year ended December 31, 2018 increased $15 billion, or 6%, as compared to 2017.</w:t>
      </w:r>
    </w:p>
    <w:p>
      <w:pPr>
        <w:spacing w:after="0" w:line="181" w:lineRule="exact"/>
        <w:rPr>
          <w:sz w:val="20"/>
          <w:szCs w:val="20"/>
          <w:color w:val="auto"/>
        </w:rPr>
      </w:pPr>
    </w:p>
    <w:p>
      <w:pPr>
        <w:ind w:right="340" w:firstLine="598"/>
        <w:spacing w:after="0" w:line="259" w:lineRule="auto"/>
        <w:rPr>
          <w:sz w:val="20"/>
          <w:szCs w:val="20"/>
          <w:color w:val="auto"/>
        </w:rPr>
      </w:pPr>
      <w:r>
        <w:rPr>
          <w:rFonts w:ascii="Arial" w:cs="Arial" w:eastAsia="Arial" w:hAnsi="Arial"/>
          <w:sz w:val="18"/>
          <w:szCs w:val="18"/>
          <w:color w:val="auto"/>
        </w:rPr>
        <w:t>As of both December 31, 2018 and 2017, approximately 88% of our AUM was managed on behalf of institutional clients, including corporations, labor unions, public pension funds, insurance companies and banks, and through sub-advisory relationships, mutual fund sponsors, broker-dealers and registered advisors. As of both December 31, 2018 and 2017, approximately 12% of our AUM was managed on behalf of individual client relationships, which are principally with family offices and individuals.</w:t>
      </w:r>
    </w:p>
    <w:p>
      <w:pPr>
        <w:spacing w:after="0" w:line="187"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As of December 31, 2018, AUM with foreign currency exposure represented approximately 70% of our total AUM, as compared to 74% at December 31, 2017.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changes in AUM by asset class for the years ended December 31, 2018, 2017 and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 2018</w:t>
            </w: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right"/>
              <w:ind w:right="160"/>
              <w:spacing w:after="0" w:line="155" w:lineRule="exact"/>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(37,211)</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(5,554)</w:t>
            </w:r>
          </w:p>
        </w:tc>
        <w:tc>
          <w:tcPr>
            <w:tcW w:w="40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(19,967)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(6,839)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(1,662)</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249,459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(44,838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(21,298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46</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48" w:name="page49"/>
    <w:bookmarkEnd w:id="48"/>
    <w:p>
      <w:pPr>
        <w:ind w:right="40" w:firstLine="598"/>
        <w:spacing w:after="0" w:line="259" w:lineRule="auto"/>
        <w:rPr>
          <w:sz w:val="20"/>
          <w:szCs w:val="20"/>
          <w:color w:val="auto"/>
        </w:rPr>
      </w:pPr>
      <w:r>
        <w:rPr>
          <w:rFonts w:ascii="Arial" w:cs="Arial" w:eastAsia="Arial" w:hAnsi="Arial"/>
          <w:sz w:val="18"/>
          <w:szCs w:val="18"/>
          <w:color w:val="auto"/>
        </w:rPr>
        <w:t>Inflows in the Equity asset class were primarily attributable to the Global, Multi-Regional and Emerging Markets platforms, and inflows in the Fixed Income asset class were primarily attributable to the Emerging Markets, Global and Local platforms. Outflows in the Equity asset class were primarily attributable to the Multi-Regional, Emerging Markets and Global equity platforms, and outflows in the Fixed Income asset class were primarily attributable to the Emerging Markets and Global platforms.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center"/>
              <w:ind w:left="376"/>
              <w:spacing w:after="0"/>
              <w:rPr>
                <w:sz w:val="20"/>
                <w:szCs w:val="20"/>
                <w:color w:val="auto"/>
              </w:rPr>
            </w:pPr>
            <w:r>
              <w:rPr>
                <w:rFonts w:ascii="Arial" w:cs="Arial" w:eastAsia="Arial" w:hAnsi="Arial"/>
                <w:sz w:val="14"/>
                <w:szCs w:val="14"/>
                <w:b w:val="1"/>
                <w:bCs w:val="1"/>
                <w:color w:val="auto"/>
                <w:w w:val="92"/>
              </w:rPr>
              <w:t>Year Ended December 31, 2017</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(33,778)</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3,380</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34,556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5,558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43,804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37,864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center"/>
              <w:ind w:left="376"/>
              <w:spacing w:after="0"/>
              <w:rPr>
                <w:sz w:val="20"/>
                <w:szCs w:val="20"/>
                <w:color w:val="auto"/>
              </w:rPr>
            </w:pPr>
            <w:r>
              <w:rPr>
                <w:rFonts w:ascii="Arial" w:cs="Arial" w:eastAsia="Arial" w:hAnsi="Arial"/>
                <w:sz w:val="14"/>
                <w:szCs w:val="14"/>
                <w:b w:val="1"/>
                <w:bCs w:val="1"/>
                <w:color w:val="auto"/>
                <w:w w:val="92"/>
              </w:rPr>
              <w:t>Year Ended December 31, 2016</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31,722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(30,931)</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13,568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(3,013)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186,380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39,226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(39,066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14,986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As of February 19, 2019, AUM was $232.2 billion, a $17.5 billion increase since December 31, 2018. The increase in AUM was due to market appreciation of $16.2 billion and net inflows of $1.4 billion, offset by foreign exchange depreciation of $0.1 billion.</w:t>
      </w:r>
    </w:p>
    <w:p>
      <w:pPr>
        <w:spacing w:after="0" w:line="170"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Average AUM for the years ended December 31, 2018, 2017 and 2016 for each significant asset class is set forth below. Average AUM generally represents the average of the monthly ending AUM balances for the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4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Equity</w:t>
            </w:r>
          </w:p>
        </w:tc>
        <w:tc>
          <w:tcPr>
            <w:tcW w:w="2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201,404</w:t>
            </w:r>
          </w:p>
        </w:tc>
        <w:tc>
          <w:tcPr>
            <w:tcW w:w="6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188,796</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158,747</w:t>
            </w: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34,883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31,516</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241,247</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226,525</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194,808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6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1,331,801</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1,255,820</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1,051,316</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912,110</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810,870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769,737</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3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419,691</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444,950</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281,579</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2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340" w:type="dxa"/>
            <w:vAlign w:val="bottom"/>
            <w:vMerge w:val="restart"/>
          </w:tcPr>
          <w:p>
            <w:pPr>
              <w:jc w:val="right"/>
              <w:ind w:right="730"/>
              <w:spacing w:after="0"/>
              <w:rPr>
                <w:sz w:val="20"/>
                <w:szCs w:val="20"/>
                <w:color w:val="auto"/>
              </w:rPr>
            </w:pPr>
            <w:r>
              <w:rPr>
                <w:rFonts w:ascii="Arial" w:cs="Arial" w:eastAsia="Arial" w:hAnsi="Arial"/>
                <w:sz w:val="18"/>
                <w:szCs w:val="18"/>
                <w:color w:val="auto"/>
              </w:rPr>
              <w:t>47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49" w:name="page50"/>
    <w:bookmarkEnd w:id="49"/>
    <w:p>
      <w:pPr>
        <w:ind w:right="120" w:firstLine="598"/>
        <w:spacing w:after="0" w:line="277" w:lineRule="auto"/>
        <w:rPr>
          <w:sz w:val="20"/>
          <w:szCs w:val="20"/>
          <w:color w:val="auto"/>
        </w:rPr>
      </w:pPr>
      <w:r>
        <w:rPr>
          <w:rFonts w:ascii="Arial" w:cs="Arial" w:eastAsia="Arial" w:hAnsi="Arial"/>
          <w:sz w:val="18"/>
          <w:szCs w:val="18"/>
          <w:color w:val="auto"/>
        </w:rPr>
        <w:t>Our top ten clients accounted for 26%, 25% and 21% of our total AUM at December 31, 2018, 2017 and 2016, respectively, and no individual client constituted more than 10% of our Asset Management segment net revenue during any of the respective years.</w:t>
      </w:r>
    </w:p>
    <w:p>
      <w:pPr>
        <w:spacing w:after="0" w:line="170" w:lineRule="exact"/>
        <w:rPr>
          <w:sz w:val="20"/>
          <w:szCs w:val="20"/>
          <w:color w:val="auto"/>
        </w:rPr>
      </w:pPr>
    </w:p>
    <w:p>
      <w:pPr>
        <w:ind w:right="380" w:firstLine="598"/>
        <w:spacing w:after="0" w:line="264" w:lineRule="auto"/>
        <w:rPr>
          <w:sz w:val="20"/>
          <w:szCs w:val="20"/>
          <w:color w:val="auto"/>
        </w:rPr>
      </w:pPr>
      <w:r>
        <w:rPr>
          <w:rFonts w:ascii="Arial" w:cs="Arial" w:eastAsia="Arial" w:hAnsi="Arial"/>
          <w:sz w:val="18"/>
          <w:szCs w:val="18"/>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254"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EMEA</w:t>
            </w: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versus December 31, 2017</w:t>
      </w:r>
    </w:p>
    <w:p>
      <w:pPr>
        <w:spacing w:after="0" w:line="117" w:lineRule="exact"/>
        <w:rPr>
          <w:sz w:val="20"/>
          <w:szCs w:val="20"/>
          <w:color w:val="auto"/>
        </w:rPr>
      </w:pPr>
    </w:p>
    <w:p>
      <w:pPr>
        <w:jc w:val="both"/>
        <w:ind w:right="460" w:firstLine="598"/>
        <w:spacing w:after="0" w:line="286" w:lineRule="auto"/>
        <w:rPr>
          <w:sz w:val="20"/>
          <w:szCs w:val="20"/>
          <w:color w:val="auto"/>
        </w:rPr>
      </w:pPr>
      <w:r>
        <w:rPr>
          <w:rFonts w:ascii="Arial" w:cs="Arial" w:eastAsia="Arial" w:hAnsi="Arial"/>
          <w:sz w:val="17"/>
          <w:szCs w:val="17"/>
          <w:color w:val="auto"/>
        </w:rPr>
        <w:t>Asset Management net revenue increased $76 million, or 6%, as compared to 2017. Management fees and other revenue was $1,311 million, an increase of $101 million, or 8%, as compared to $1,210 million in 2017, primarily due to an increase in average AUM, as well as the impact of the new revenue recognition guidance. Incentive fees were $21 million, a decrease of $25 million as compared to $46 million in 2017.</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Operating expenses increased $101 million, or 12%, as compared to 2017, primarily due to the impact of the new revenue recognition guidance.</w:t>
      </w:r>
    </w:p>
    <w:p>
      <w:pPr>
        <w:spacing w:after="0" w:line="248" w:lineRule="exact"/>
        <w:rPr>
          <w:sz w:val="20"/>
          <w:szCs w:val="20"/>
          <w:color w:val="auto"/>
        </w:rPr>
      </w:pPr>
    </w:p>
    <w:p>
      <w:pPr>
        <w:jc w:val="both"/>
        <w:ind w:right="160" w:firstLine="598"/>
        <w:spacing w:after="0" w:line="277" w:lineRule="auto"/>
        <w:rPr>
          <w:sz w:val="20"/>
          <w:szCs w:val="20"/>
          <w:color w:val="auto"/>
        </w:rPr>
      </w:pPr>
      <w:r>
        <w:rPr>
          <w:rFonts w:ascii="Arial" w:cs="Arial" w:eastAsia="Arial" w:hAnsi="Arial"/>
          <w:sz w:val="18"/>
          <w:szCs w:val="18"/>
          <w:color w:val="auto"/>
        </w:rPr>
        <w:t>Asset Management operating income was $420 million, a decrease of $25 million, or 6%, as compared to operating income of $445 million in 2017 and, as a percentage of net revenue, was 31.5%, as compared to 35.4% in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versus December 31, 2016</w:t>
      </w:r>
    </w:p>
    <w:p>
      <w:pPr>
        <w:spacing w:after="0" w:line="117" w:lineRule="exact"/>
        <w:rPr>
          <w:sz w:val="20"/>
          <w:szCs w:val="20"/>
          <w:color w:val="auto"/>
        </w:rPr>
      </w:pPr>
    </w:p>
    <w:p>
      <w:pPr>
        <w:jc w:val="both"/>
        <w:ind w:right="180" w:firstLine="598"/>
        <w:spacing w:after="0" w:line="264" w:lineRule="auto"/>
        <w:rPr>
          <w:sz w:val="20"/>
          <w:szCs w:val="20"/>
          <w:color w:val="auto"/>
        </w:rPr>
      </w:pPr>
      <w:r>
        <w:rPr>
          <w:rFonts w:ascii="Arial" w:cs="Arial" w:eastAsia="Arial" w:hAnsi="Arial"/>
          <w:sz w:val="18"/>
          <w:szCs w:val="18"/>
          <w:color w:val="auto"/>
        </w:rPr>
        <w:t>Asset Management net revenue increased $205 million, or 20%, as compared to 2016. Management fees and other revenue was $1,210 million, an increase of $175 million, or 17%, as compared to $1,035 million in 2016, primarily due to an increase in average AUM. Incentive fees were $46 million, an increase of $30 million as compared to $16 million in 2016.</w:t>
      </w:r>
    </w:p>
    <w:p>
      <w:pPr>
        <w:spacing w:after="0" w:line="181" w:lineRule="exact"/>
        <w:rPr>
          <w:sz w:val="20"/>
          <w:szCs w:val="20"/>
          <w:color w:val="auto"/>
        </w:rPr>
      </w:pPr>
    </w:p>
    <w:p>
      <w:pPr>
        <w:ind w:right="620" w:firstLine="598"/>
        <w:spacing w:after="0" w:line="277" w:lineRule="auto"/>
        <w:rPr>
          <w:sz w:val="20"/>
          <w:szCs w:val="20"/>
          <w:color w:val="auto"/>
        </w:rPr>
      </w:pPr>
      <w:r>
        <w:rPr>
          <w:rFonts w:ascii="Arial" w:cs="Arial" w:eastAsia="Arial" w:hAnsi="Arial"/>
          <w:sz w:val="18"/>
          <w:szCs w:val="18"/>
          <w:color w:val="auto"/>
        </w:rPr>
        <w:t>Operating expenses increased $41 million, or 5%, as compared to 2016, primarily due to increases in compensation associated with increased revenue.</w:t>
      </w:r>
    </w:p>
    <w:p>
      <w:pPr>
        <w:spacing w:after="0" w:line="170"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Asset Management operating income was $445 million, an increase of $163 million, or 58%, as compared to operating income of $282 million in 2016 and, as a percentage of net revenue, was 35.4%, as compared to 26.8% in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7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17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7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11,176</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3,601</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(58,593)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(55,188)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(52,896)</w:t>
            </w:r>
          </w:p>
        </w:tc>
      </w:tr>
      <w:tr>
        <w:trPr>
          <w:trHeight w:val="223"/>
        </w:trPr>
        <w:tc>
          <w:tcPr>
            <w:tcW w:w="43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4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(47,417)</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(49,593)</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Other Revenue (Expense)</w:t>
            </w:r>
          </w:p>
        </w:tc>
        <w:tc>
          <w:tcPr>
            <w:tcW w:w="2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(16,441)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46,682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26,806</w:t>
            </w:r>
          </w:p>
        </w:tc>
        <w:tc>
          <w:tcPr>
            <w:tcW w:w="100" w:type="dxa"/>
            <w:vAlign w:val="bottom"/>
          </w:tcPr>
          <w:p>
            <w:pPr>
              <w:spacing w:after="0"/>
              <w:rPr>
                <w:sz w:val="19"/>
                <w:szCs w:val="19"/>
                <w:color w:val="auto"/>
              </w:rPr>
            </w:pPr>
          </w:p>
        </w:tc>
      </w:tr>
      <w:tr>
        <w:trPr>
          <w:trHeight w:val="223"/>
        </w:trPr>
        <w:tc>
          <w:tcPr>
            <w:tcW w:w="43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4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(63,858)</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(2,911)</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(22,489)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Expenses (a)</w:t>
            </w:r>
          </w:p>
        </w:tc>
        <w:tc>
          <w:tcPr>
            <w:tcW w:w="24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38,957</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64,788</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26,646</w:t>
            </w:r>
          </w:p>
        </w:tc>
        <w:tc>
          <w:tcPr>
            <w:tcW w:w="100" w:type="dxa"/>
            <w:vAlign w:val="bottom"/>
            <w:tcBorders>
              <w:bottom w:val="single" w:sz="8" w:color="CFF0FC"/>
            </w:tcBorders>
          </w:tcPr>
          <w:p>
            <w:pPr>
              <w:spacing w:after="0"/>
              <w:rPr>
                <w:sz w:val="19"/>
                <w:szCs w:val="19"/>
                <w:color w:val="auto"/>
              </w:rPr>
            </w:pPr>
          </w:p>
        </w:tc>
      </w:tr>
      <w:tr>
        <w:trPr>
          <w:trHeight w:val="223"/>
        </w:trPr>
        <w:tc>
          <w:tcPr>
            <w:tcW w:w="4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4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(102,815)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(67,699)</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26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right="240" w:hanging="592"/>
        <w:spacing w:after="0" w:line="264"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(i) in 2018, $6,523 relating to the partial redemption of the Company’s 2020 Notes and $10,000 relating to expenses associated with the unconditional commitment to the Lazard Foundation and (ii) in 2016, $3,148 relating to the redemption of the remaining portion of the Company’s 2017 Notes.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versus December 31, 2017</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interest expense decreased $2 million, or 4%, as compared to 2017.</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revenue decreased $63 million as compared to 2017, primarily due to lower gains in 2018 attributable to investments held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LFI.</w:t>
      </w:r>
    </w:p>
    <w:p>
      <w:pPr>
        <w:spacing w:after="0" w:line="211"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Operating expenses decreased $26 million as compared to 2017, primarily due to a decrease in compensation and benefits expense, including a decrease in charges pertaining to LFI, partially offset by charges of $10 million associated with the unconditional commitment to the Lazard Foundation and $7 million relating to the redemption of a portion of the 2020 Notes in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versus December 31, 2016</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interest expense remained substantially unchanged as compared to 2016.</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revenue increased $20 million, or 74%, as compared to 2016, primarily due to gains in 2017 attributable to investments held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LFI.</w:t>
      </w:r>
    </w:p>
    <w:p>
      <w:pPr>
        <w:spacing w:after="0" w:line="211"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Operating expenses increased $38 million as compared to 2016, primarily due to an increase in compensation and benefits expense, including an increase in charges pertaining to LFI.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members, payments of incentive compensation to managing directors and employees and purchases of Class A common stock. Cash flows also were affected: (i) in 2018, by Lazard Group’s issuance of $500 million aggregate principal amount of its 4.50% senior notes maturing in 2028 (the “2028 Notes”) and the redemption of a portion of the 2020 Notes and (ii) in 2016, by the issuance of the 2027 Notes and the redemption of the remaining balance of the 2017 Notes.</w:t>
      </w:r>
    </w:p>
    <w:p>
      <w:pPr>
        <w:spacing w:after="0" w:line="80" w:lineRule="exact"/>
        <w:rPr>
          <w:sz w:val="20"/>
          <w:szCs w:val="20"/>
          <w:color w:val="auto"/>
        </w:rPr>
      </w:pPr>
    </w:p>
    <w:p>
      <w:pPr>
        <w:jc w:val="both"/>
        <w:ind w:right="480" w:firstLine="598"/>
        <w:spacing w:after="0" w:line="264" w:lineRule="auto"/>
        <w:rPr>
          <w:sz w:val="20"/>
          <w:szCs w:val="20"/>
          <w:color w:val="auto"/>
        </w:rPr>
      </w:pPr>
      <w:r>
        <w:rPr>
          <w:rFonts w:ascii="Arial" w:cs="Arial" w:eastAsia="Arial" w:hAnsi="Arial"/>
          <w:sz w:val="18"/>
          <w:szCs w:val="18"/>
          <w:color w:val="auto"/>
        </w:rPr>
        <w:t>M&amp;A and other advisory and Asset Management fees are generally collected within 60 days of billing, while Restructuring fee collections may extend beyond 60 days, particularly those that involve bankruptcies with court-ordered holdbacks. Fees from our Private Capital Advisory activities are generally collected over a four-year period from billing and typically include an interest component.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1" w:name="page52"/>
    <w:bookmarkEnd w:id="51"/>
    <w:p>
      <w:pPr>
        <w:ind w:right="400" w:firstLine="598"/>
        <w:spacing w:after="0" w:line="277"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93"/>
              <w:spacing w:after="0" w:line="155"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4"/>
          </w:tcPr>
          <w:p>
            <w:pPr>
              <w:jc w:val="center"/>
              <w:ind w:right="36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40" w:type="dxa"/>
            <w:vAlign w:val="bottom"/>
            <w:shd w:val="clear" w:color="auto" w:fill="CFF0FC"/>
          </w:tcPr>
          <w:p>
            <w:pPr>
              <w:spacing w:after="0"/>
              <w:rPr>
                <w:sz w:val="19"/>
                <w:szCs w:val="19"/>
                <w:color w:val="auto"/>
              </w:rPr>
            </w:pPr>
          </w:p>
        </w:tc>
        <w:tc>
          <w:tcPr>
            <w:tcW w:w="6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FF0FC"/>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w w:val="94"/>
              </w:rPr>
              <w:t>Adjustments to reconcile net income to net cash provided by operating activities (a)</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r>
      <w:tr>
        <w:trPr>
          <w:trHeight w:val="230"/>
        </w:trPr>
        <w:tc>
          <w:tcPr>
            <w:tcW w:w="240" w:type="dxa"/>
            <w:vAlign w:val="bottom"/>
            <w:shd w:val="clear" w:color="auto" w:fill="CFF0FC"/>
          </w:tcPr>
          <w:p>
            <w:pPr>
              <w:spacing w:after="0"/>
              <w:rPr>
                <w:sz w:val="19"/>
                <w:szCs w:val="19"/>
                <w:color w:val="auto"/>
              </w:rPr>
            </w:pPr>
          </w:p>
        </w:tc>
        <w:tc>
          <w:tcPr>
            <w:tcW w:w="6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operating activities (b)</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(198)</w:t>
            </w:r>
          </w:p>
        </w:tc>
      </w:tr>
      <w:tr>
        <w:trPr>
          <w:trHeight w:val="223"/>
        </w:trPr>
        <w:tc>
          <w:tcPr>
            <w:tcW w:w="240" w:type="dxa"/>
            <w:vAlign w:val="bottom"/>
            <w:tcBorders>
              <w:bottom w:val="single" w:sz="8" w:color="CFF0FC"/>
            </w:tcBorders>
          </w:tcPr>
          <w:p>
            <w:pPr>
              <w:spacing w:after="0"/>
              <w:rPr>
                <w:sz w:val="19"/>
                <w:szCs w:val="19"/>
                <w:color w:val="auto"/>
              </w:rPr>
            </w:pPr>
          </w:p>
        </w:tc>
        <w:tc>
          <w:tcPr>
            <w:tcW w:w="63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FF0FC"/>
            </w:tcBorders>
          </w:tcPr>
          <w:p>
            <w:pPr>
              <w:spacing w:after="0"/>
              <w:rPr>
                <w:sz w:val="19"/>
                <w:szCs w:val="19"/>
                <w:color w:val="auto"/>
              </w:rPr>
            </w:pPr>
          </w:p>
        </w:tc>
      </w:tr>
      <w:tr>
        <w:trPr>
          <w:trHeight w:val="223"/>
        </w:trPr>
        <w:tc>
          <w:tcPr>
            <w:tcW w:w="240" w:type="dxa"/>
            <w:vAlign w:val="bottom"/>
            <w:shd w:val="clear" w:color="auto" w:fill="CFF0FC"/>
          </w:tcPr>
          <w:p>
            <w:pPr>
              <w:spacing w:after="0"/>
              <w:rPr>
                <w:sz w:val="19"/>
                <w:szCs w:val="19"/>
                <w:color w:val="auto"/>
              </w:rPr>
            </w:pPr>
          </w:p>
        </w:tc>
        <w:tc>
          <w:tcPr>
            <w:tcW w:w="6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Financing activities (c)</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(435)</w:t>
            </w:r>
          </w:p>
        </w:tc>
      </w:tr>
      <w:tr>
        <w:trPr>
          <w:trHeight w:val="230"/>
        </w:trPr>
        <w:tc>
          <w:tcPr>
            <w:tcW w:w="240" w:type="dxa"/>
            <w:vAlign w:val="bottom"/>
            <w:shd w:val="clear" w:color="auto" w:fill="CFF0FC"/>
          </w:tcPr>
          <w:p>
            <w:pPr>
              <w:spacing w:after="0"/>
              <w:rPr>
                <w:sz w:val="19"/>
                <w:szCs w:val="19"/>
                <w:color w:val="auto"/>
              </w:rPr>
            </w:pPr>
          </w:p>
        </w:tc>
        <w:tc>
          <w:tcPr>
            <w:tcW w:w="6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(64)</w:t>
            </w:r>
          </w:p>
        </w:tc>
      </w:tr>
      <w:tr>
        <w:trPr>
          <w:trHeight w:val="205"/>
        </w:trPr>
        <w:tc>
          <w:tcPr>
            <w:tcW w:w="65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Net (Decrease) Increase in Cash and Cash Equivalents and</w:t>
            </w:r>
          </w:p>
        </w:tc>
        <w:tc>
          <w:tcPr>
            <w:tcW w:w="2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540" w:type="dxa"/>
            <w:vAlign w:val="bottom"/>
            <w:gridSpan w:val="3"/>
          </w:tcPr>
          <w:p>
            <w:pPr>
              <w:ind w:left="140"/>
              <w:spacing w:after="0"/>
              <w:rPr>
                <w:sz w:val="20"/>
                <w:szCs w:val="20"/>
                <w:color w:val="auto"/>
              </w:rPr>
            </w:pPr>
            <w:r>
              <w:rPr>
                <w:rFonts w:ascii="Arial" w:cs="Arial" w:eastAsia="Arial" w:hAnsi="Arial"/>
                <w:sz w:val="18"/>
                <w:szCs w:val="18"/>
                <w:b w:val="1"/>
                <w:bCs w:val="1"/>
                <w:color w:val="auto"/>
              </w:rPr>
              <w:t>Restricted Cash</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r>
      <w:tr>
        <w:trPr>
          <w:trHeight w:val="230"/>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and Restricted Cash:</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40" w:type="dxa"/>
            <w:vAlign w:val="bottom"/>
            <w:tcBorders>
              <w:bottom w:val="single" w:sz="8" w:color="CFF0FC"/>
            </w:tcBorders>
          </w:tcPr>
          <w:p>
            <w:pPr>
              <w:spacing w:after="0"/>
              <w:rPr>
                <w:sz w:val="19"/>
                <w:szCs w:val="19"/>
                <w:color w:val="auto"/>
              </w:rPr>
            </w:pPr>
          </w:p>
        </w:tc>
        <w:tc>
          <w:tcPr>
            <w:tcW w:w="6300" w:type="dxa"/>
            <w:vAlign w:val="bottom"/>
            <w:tcBorders>
              <w:bottom w:val="single" w:sz="8" w:color="CFF0FC"/>
            </w:tcBorders>
            <w:gridSpan w:val="2"/>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240" w:type="dxa"/>
            <w:vAlign w:val="bottom"/>
            <w:tcBorders>
              <w:bottom w:val="single" w:sz="8" w:color="CFF0FC"/>
            </w:tcBorders>
            <w:shd w:val="clear" w:color="auto" w:fill="CFF0FC"/>
          </w:tcPr>
          <w:p>
            <w:pPr>
              <w:spacing w:after="0"/>
              <w:rPr>
                <w:sz w:val="19"/>
                <w:szCs w:val="19"/>
                <w:color w:val="auto"/>
              </w:rPr>
            </w:pPr>
          </w:p>
        </w:tc>
        <w:tc>
          <w:tcPr>
            <w:tcW w:w="6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End of Period</w:t>
            </w:r>
          </w:p>
        </w:tc>
        <w:tc>
          <w:tcPr>
            <w:tcW w:w="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2,441</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2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4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0"/>
        </w:trPr>
        <w:tc>
          <w:tcPr>
            <w:tcW w:w="240" w:type="dxa"/>
            <w:vAlign w:val="bottom"/>
          </w:tcPr>
          <w:p>
            <w:pPr>
              <w:spacing w:after="0"/>
              <w:rPr>
                <w:sz w:val="20"/>
                <w:szCs w:val="20"/>
                <w:color w:val="auto"/>
              </w:rPr>
            </w:pPr>
            <w:r>
              <w:rPr>
                <w:rFonts w:ascii="Arial" w:cs="Arial" w:eastAsia="Arial" w:hAnsi="Arial"/>
                <w:sz w:val="18"/>
                <w:szCs w:val="18"/>
                <w:color w:val="auto"/>
                <w:w w:val="99"/>
              </w:rPr>
              <w:t>(a)</w:t>
            </w:r>
          </w:p>
        </w:tc>
        <w:tc>
          <w:tcPr>
            <w:tcW w:w="6300" w:type="dxa"/>
            <w:vAlign w:val="bottom"/>
            <w:gridSpan w:val="2"/>
          </w:tcPr>
          <w:p>
            <w:pPr>
              <w:ind w:left="360"/>
              <w:spacing w:after="0"/>
              <w:rPr>
                <w:sz w:val="20"/>
                <w:szCs w:val="20"/>
                <w:color w:val="auto"/>
              </w:rPr>
            </w:pPr>
            <w:r>
              <w:rPr>
                <w:rFonts w:ascii="Arial" w:cs="Arial" w:eastAsia="Arial" w:hAnsi="Arial"/>
                <w:sz w:val="18"/>
                <w:szCs w:val="18"/>
                <w:color w:val="auto"/>
              </w:rPr>
              <w:t>Consists of the following:</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4"/>
          </w:tcPr>
          <w:p>
            <w:pPr>
              <w:jc w:val="center"/>
              <w:ind w:right="36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110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Amortization of deferred expenses and stock units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tax provision (benefit)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Amortization and other acquisition-related (benefits) costs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Gain on acquisition of portion of business already owned</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r>
      <w:tr>
        <w:trPr>
          <w:trHeight w:val="230"/>
        </w:trPr>
        <w:tc>
          <w:tcPr>
            <w:tcW w:w="65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
        </w:trPr>
        <w:tc>
          <w:tcPr>
            <w:tcW w:w="24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47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49" w:lineRule="exact"/>
        <w:rPr>
          <w:rFonts w:ascii="Arial" w:cs="Arial" w:eastAsia="Arial" w:hAnsi="Arial"/>
          <w:sz w:val="18"/>
          <w:szCs w:val="18"/>
          <w:color w:val="auto"/>
        </w:rPr>
      </w:pPr>
    </w:p>
    <w:p>
      <w:pPr>
        <w:ind w:left="600" w:right="120" w:hanging="592"/>
        <w:spacing w:after="0" w:line="259"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RSUs, restricted stock awards and PRSUs, changes in customer deposits, distributions to members and noncontrolling interest holders and activity relating to borrowings (including, in 2018, the redemption of a portion of the 2020 Notes and issuance of the 2028 Notes and, in 2016, the redemption of the remaining balance of the Company’s 2017 Notes and issuance of the 2027 Notes).</w:t>
      </w:r>
    </w:p>
    <w:p>
      <w:pPr>
        <w:spacing w:after="0" w:line="268"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See Note 3 of Notes to Consolidated Financial Statements for a discussion of new accounting guidance impacting the Consolidated Statements of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00" w:firstLine="59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87"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In the year ended December 31, 2018, as reflected on the consolidated statements of financial condition, both “deposits with banks and short-term investments” and “deposits and other customer payables” increased as compared to December 31, 2017, due to a higher level of LFB customer-related demand deposits, primarily from clients and funds managed by LFG.</w:t>
      </w:r>
    </w:p>
    <w:p>
      <w:pPr>
        <w:spacing w:after="0" w:line="173"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Lazard’s consolidated financial statements are presented in U.S. Dollars. Many of Lazard’s non-U.S. subsidiaries have a functional currency (</w:t>
      </w:r>
      <w:r>
        <w:rPr>
          <w:rFonts w:ascii="Arial" w:cs="Arial" w:eastAsia="Arial" w:hAnsi="Arial"/>
          <w:sz w:val="17"/>
          <w:szCs w:val="17"/>
          <w:i w:val="1"/>
          <w:iCs w:val="1"/>
          <w:color w:val="auto"/>
        </w:rPr>
        <w:t>i.e.</w:t>
      </w:r>
      <w:r>
        <w:rPr>
          <w:rFonts w:ascii="Arial" w:cs="Arial" w:eastAsia="Arial" w:hAnsi="Arial"/>
          <w:sz w:val="17"/>
          <w:szCs w:val="17"/>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78" w:lineRule="exact"/>
        <w:rPr>
          <w:sz w:val="20"/>
          <w:szCs w:val="20"/>
          <w:color w:val="auto"/>
        </w:rPr>
      </w:pPr>
    </w:p>
    <w:p>
      <w:pPr>
        <w:ind w:right="100" w:firstLine="598"/>
        <w:spacing w:after="0" w:line="293" w:lineRule="auto"/>
        <w:rPr>
          <w:sz w:val="20"/>
          <w:szCs w:val="20"/>
          <w:color w:val="auto"/>
        </w:rPr>
      </w:pPr>
      <w:r>
        <w:rPr>
          <w:rFonts w:ascii="Arial" w:cs="Arial" w:eastAsia="Arial" w:hAnsi="Arial"/>
          <w:sz w:val="16"/>
          <w:szCs w:val="16"/>
          <w:color w:val="auto"/>
        </w:rPr>
        <w:t>We regularly monitor our liquidity position, including cash levels, investments in U.S. Treasury securities, credit lines, principal investment commitments, interest and principal payments on debt, capital expenditures, distributions to members, purchases of shares of Class A common stock and matters relating to liquidity and to compliance with regulatory net capital requirements. At December 31, 2018, Lazard had approximately $1,185 million of cash, with such amount including approximately $663 million held at Lazard’s operations outside the U.S. Lazard provides for income taxes on substantially all of its foreign earnings, and pursuant to the Tax Act there are no additional U.S. taxes that would be imposed on undistributed foreign earnings. We expect that no material amount of additional taxes would be recognized upon receipt of dividends or distributions of such earnings from our foreign operations.</w:t>
      </w:r>
    </w:p>
    <w:p>
      <w:pPr>
        <w:spacing w:after="0" w:line="165" w:lineRule="exact"/>
        <w:rPr>
          <w:sz w:val="20"/>
          <w:szCs w:val="20"/>
          <w:color w:val="auto"/>
        </w:rPr>
      </w:pPr>
    </w:p>
    <w:p>
      <w:pPr>
        <w:jc w:val="both"/>
        <w:ind w:right="280" w:firstLine="59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December 31, 2018, Lazard had approximately $168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$17 million (at December 31, 2018 exchange rates).</w:t>
      </w:r>
    </w:p>
    <w:p>
      <w:pPr>
        <w:spacing w:after="0" w:line="187" w:lineRule="exact"/>
        <w:rPr>
          <w:sz w:val="20"/>
          <w:szCs w:val="20"/>
          <w:color w:val="auto"/>
        </w:rPr>
      </w:pPr>
    </w:p>
    <w:p>
      <w:pPr>
        <w:ind w:right="340" w:firstLine="59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520" w:firstLine="598"/>
        <w:spacing w:after="0" w:line="308" w:lineRule="auto"/>
        <w:rPr>
          <w:sz w:val="20"/>
          <w:szCs w:val="20"/>
          <w:color w:val="auto"/>
        </w:rPr>
      </w:pPr>
      <w:r>
        <w:rPr>
          <w:rFonts w:ascii="Arial" w:cs="Arial" w:eastAsia="Arial" w:hAnsi="Arial"/>
          <w:sz w:val="17"/>
          <w:szCs w:val="17"/>
          <w:color w:val="auto"/>
        </w:rPr>
        <w:t>The table below sets forth our corporate indebtedness as of December 31, 2018 and 2017. The agreements with respect to this indebtedness are discussed in more detail in our consolidated financial statements and related notes included elsewhere in this Form 10-K.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3"/>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Lazard Group 2028 Senior Notes</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2028</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1,450.0</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During September 2018, Lazard Group completed an offering of the 2028 Notes. Lazard Group used a portion of the net proceeds of the 2028 Notes to redeem or otherwise retire $250 million of the 2020 Notes, which, including the recognition of unamortized issuance costs, resulted in a loss on debt extinguishment in connection with the redemption of such 2020 Notes of approximately $7 million.</w:t>
      </w:r>
    </w:p>
    <w:p>
      <w:pPr>
        <w:spacing w:after="0" w:line="181"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During November 2016, Lazard Group completed an offering of the 2027 Notes. Lazard Group used a portion of the net proceeds of the 2027 Notes to redeem or otherwise retire the remaining $98 million of 2017 Notes, which, including the recognition of unamortized issuance costs, resulted in a loss on debt extinguishment in connection with the redemption of such 2017 Notes of approximately $3 million.</w:t>
      </w:r>
    </w:p>
    <w:p>
      <w:pPr>
        <w:spacing w:after="0" w:line="181"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ind w:right="120" w:firstLine="598"/>
        <w:spacing w:after="0" w:line="254" w:lineRule="auto"/>
        <w:rPr>
          <w:sz w:val="20"/>
          <w:szCs w:val="20"/>
          <w:color w:val="auto"/>
        </w:rPr>
      </w:pPr>
      <w:r>
        <w:rPr>
          <w:rFonts w:ascii="Arial" w:cs="Arial" w:eastAsia="Arial" w:hAnsi="Arial"/>
          <w:sz w:val="18"/>
          <w:szCs w:val="18"/>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December 31, 2018, Lazard Group was in compliance with such ratios, with its Consolidated Leverage Ratio being 1.33 to 1.00 and its Consolidated Interest Coverage Ratio being 20.23 to 1.00. In any event, no amounts were outstanding under the Amended and Restated Credit Agreement as of December 31, 2018.</w:t>
      </w:r>
    </w:p>
    <w:p>
      <w:pPr>
        <w:spacing w:after="0" w:line="192"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December 31, 2018,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12 of Notes to Consolidated Financial Statements for additional information regarding senior debt.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At December 31, 2018, total members’ equity was $583 million, as compared to $907 million and $736 million at December 31, 2017 and 2016, respectively, including $530 million, $848 million and $679 million attributable to Lazard Group on the respective dates. The net activity in members’ equity during the years ended December 31, 2018 and 2017 is reflected in the table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40" w:type="dxa"/>
            <w:vAlign w:val="bottom"/>
            <w:tcBorders>
              <w:bottom w:val="single" w:sz="8" w:color="auto"/>
            </w:tcBorders>
            <w:gridSpan w:val="5"/>
          </w:tcPr>
          <w:p>
            <w:pPr>
              <w:jc w:val="right"/>
              <w:ind w:right="225"/>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980" w:type="dxa"/>
            <w:vAlign w:val="bottom"/>
            <w:gridSpan w:val="2"/>
          </w:tcPr>
          <w:p>
            <w:pPr>
              <w:jc w:val="right"/>
              <w:ind w:right="27"/>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5"/>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4"/>
          </w:tcPr>
          <w:p>
            <w:pPr>
              <w:jc w:val="right"/>
              <w:ind w:right="665"/>
              <w:spacing w:after="0"/>
              <w:rPr>
                <w:sz w:val="20"/>
                <w:szCs w:val="20"/>
                <w:color w:val="auto"/>
              </w:rPr>
            </w:pPr>
            <w:r>
              <w:rPr>
                <w:rFonts w:ascii="Arial" w:cs="Arial" w:eastAsia="Arial" w:hAnsi="Arial"/>
                <w:sz w:val="13"/>
                <w:szCs w:val="13"/>
                <w:b w:val="1"/>
                <w:bCs w:val="1"/>
                <w:color w:val="auto"/>
              </w:rPr>
              <w:t>($ in millions)</w:t>
            </w: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Members’ Equity - Beginning of Year</w:t>
            </w:r>
          </w:p>
        </w:tc>
        <w:tc>
          <w:tcPr>
            <w:tcW w:w="1980" w:type="dxa"/>
            <w:vAlign w:val="bottom"/>
            <w:gridSpan w:val="2"/>
            <w:shd w:val="clear" w:color="auto" w:fill="CFF0FC"/>
          </w:tcPr>
          <w:p>
            <w:pPr>
              <w:jc w:val="right"/>
              <w:ind w:right="80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785"/>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Adjustment for the cumulative effect on prior years from the adoption</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060" w:type="dxa"/>
            <w:vAlign w:val="bottom"/>
            <w:gridSpan w:val="2"/>
          </w:tcPr>
          <w:p>
            <w:pPr>
              <w:ind w:left="140"/>
              <w:spacing w:after="0"/>
              <w:rPr>
                <w:sz w:val="20"/>
                <w:szCs w:val="20"/>
                <w:color w:val="auto"/>
              </w:rPr>
            </w:pPr>
            <w:r>
              <w:rPr>
                <w:rFonts w:ascii="Arial" w:cs="Arial" w:eastAsia="Arial" w:hAnsi="Arial"/>
                <w:sz w:val="18"/>
                <w:szCs w:val="18"/>
                <w:color w:val="auto"/>
              </w:rPr>
              <w:t>of new accounting guidance related to share-based</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6060" w:type="dxa"/>
            <w:vAlign w:val="bottom"/>
            <w:gridSpan w:val="2"/>
          </w:tcPr>
          <w:p>
            <w:pPr>
              <w:ind w:left="140"/>
              <w:spacing w:after="0"/>
              <w:rPr>
                <w:sz w:val="20"/>
                <w:szCs w:val="20"/>
                <w:color w:val="auto"/>
              </w:rPr>
            </w:pPr>
            <w:r>
              <w:rPr>
                <w:rFonts w:ascii="Arial" w:cs="Arial" w:eastAsia="Arial" w:hAnsi="Arial"/>
                <w:sz w:val="18"/>
                <w:szCs w:val="18"/>
                <w:color w:val="auto"/>
              </w:rPr>
              <w:t>incentive compensation</w:t>
            </w: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as adjusted, Beginning of Year</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rPr>
              <w:t>Other comprehensive income (loss)</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Amortization of share-based incentive compensation</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rPr>
              <w:t>Purchase of Class A common stock</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(553)</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r>
      <w:tr>
        <w:trPr>
          <w:trHeight w:val="230"/>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Settlement of share-based incentive compensation (a)</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w:t>
            </w:r>
          </w:p>
        </w:tc>
      </w:tr>
      <w:tr>
        <w:trPr>
          <w:trHeight w:val="230"/>
        </w:trPr>
        <w:tc>
          <w:tcPr>
            <w:tcW w:w="58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rPr>
              <w:t>Distribution to members and noncontrolling interests, net</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r>
      <w:tr>
        <w:trPr>
          <w:trHeight w:val="230"/>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 net</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6640" w:type="dxa"/>
            <w:vAlign w:val="bottom"/>
            <w:gridSpan w:val="3"/>
          </w:tcPr>
          <w:p>
            <w:pPr>
              <w:ind w:left="580"/>
              <w:spacing w:after="0"/>
              <w:rPr>
                <w:sz w:val="20"/>
                <w:szCs w:val="20"/>
                <w:color w:val="auto"/>
              </w:rPr>
            </w:pPr>
            <w:r>
              <w:rPr>
                <w:rFonts w:ascii="Arial" w:cs="Arial" w:eastAsia="Arial" w:hAnsi="Arial"/>
                <w:sz w:val="18"/>
                <w:szCs w:val="18"/>
                <w:color w:val="auto"/>
              </w:rPr>
              <w:t>Members’ Equity - End of Year</w:t>
            </w:r>
          </w:p>
        </w:tc>
        <w:tc>
          <w:tcPr>
            <w:tcW w:w="10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hanging="59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tax withholding portion of share-based compensation is settled in cash, not shares.</w:t>
      </w:r>
    </w:p>
    <w:p>
      <w:pPr>
        <w:spacing w:after="0" w:line="225" w:lineRule="exact"/>
        <w:rPr>
          <w:sz w:val="20"/>
          <w:szCs w:val="20"/>
          <w:color w:val="auto"/>
        </w:rPr>
      </w:pPr>
    </w:p>
    <w:p>
      <w:pPr>
        <w:ind w:right="200" w:firstLine="59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Class A common stock, which help offset the dilutive effect of our share-based incentive compensation plans. During a given year Lazard Ltd intends to repurchase at least as many shares as it expects to ultimately issue pursuant to such compensation plans in respect of year-end incentive compensation attributable to the prior year. The rate at which Lazard Ltd purchases shares in connection with this annual objective may vary from period to period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8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497"/>
              <w:spacing w:after="0" w:line="158"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2016</w:t>
            </w:r>
          </w:p>
        </w:tc>
        <w:tc>
          <w:tcPr>
            <w:tcW w:w="624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8,551,271</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2017</w:t>
            </w:r>
          </w:p>
        </w:tc>
        <w:tc>
          <w:tcPr>
            <w:tcW w:w="6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6,956,097</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6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12,206,652</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As of December 31, 2018, a total of $296 million of share repurchase authorization remained available under Lazard Ltd’s share repurchase program, all of which will expire on December 31, 2020.</w:t>
      </w:r>
    </w:p>
    <w:p>
      <w:pPr>
        <w:spacing w:after="0" w:line="170"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In addition, on February 4, 2019, the Board of Directors of Lazard authorized the repurchase of up to $300 million of additional shares of Class A common stock, which authorization will expire on December 31, 2020, bringing the total available share repurchase authorization as of February 4, 2019 to approximately $510 million.</w:t>
      </w:r>
    </w:p>
    <w:p>
      <w:pPr>
        <w:spacing w:after="0" w:line="181"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During the year ended December 31, 2018, Lazard Ltd had in place trading plans under Rule 10b5-1 of the Securities Exchange Act of 1934, as amended, pursuant to which it effected stock repurchases in the open market.</w:t>
      </w:r>
    </w:p>
    <w:p>
      <w:pPr>
        <w:spacing w:after="0" w:line="170" w:lineRule="exact"/>
        <w:rPr>
          <w:sz w:val="20"/>
          <w:szCs w:val="20"/>
          <w:color w:val="auto"/>
        </w:rPr>
      </w:pPr>
    </w:p>
    <w:p>
      <w:pPr>
        <w:ind w:right="360" w:firstLine="598"/>
        <w:spacing w:after="0" w:line="308" w:lineRule="auto"/>
        <w:rPr>
          <w:sz w:val="20"/>
          <w:szCs w:val="20"/>
          <w:color w:val="auto"/>
        </w:rPr>
      </w:pPr>
      <w:r>
        <w:rPr>
          <w:rFonts w:ascii="Arial" w:cs="Arial" w:eastAsia="Arial" w:hAnsi="Arial"/>
          <w:sz w:val="17"/>
          <w:szCs w:val="17"/>
          <w:color w:val="auto"/>
        </w:rPr>
        <w:t>The Company plans to continue to deploy excess cash and may do so in a variety of ways, which may include repurchasing outstanding shares of Class A common stock, distributions to members and noncontrolling interest holders and repurchasing its outstanding debt.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5" w:name="page56"/>
    <w:bookmarkEnd w:id="55"/>
    <w:p>
      <w:pPr>
        <w:ind w:right="360" w:firstLine="598"/>
        <w:spacing w:after="0" w:line="277" w:lineRule="auto"/>
        <w:rPr>
          <w:sz w:val="20"/>
          <w:szCs w:val="20"/>
          <w:color w:val="auto"/>
        </w:rPr>
      </w:pPr>
      <w:r>
        <w:rPr>
          <w:rFonts w:ascii="Arial" w:cs="Arial" w:eastAsia="Arial" w:hAnsi="Arial"/>
          <w:sz w:val="18"/>
          <w:szCs w:val="18"/>
          <w:color w:val="auto"/>
        </w:rPr>
        <w:t>See Notes 14 and 15 of Notes to Consolidated Financial Statements for additional information regarding Lazard’s members’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19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this Form 10-K and Note 19 of Notes to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information relating to Lazard’s contractual obligations as of December 31,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1,885,479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357,375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$26,941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 (b)</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878,637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86,664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172,777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130,584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488,612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capital funding commitments (c)</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8,338</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8,338</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2,772,454</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154,002</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530,152</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227,334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 Note 12 of Notes to Consolidated Financial Statements.</w:t>
      </w:r>
    </w:p>
    <w:p>
      <w:pPr>
        <w:spacing w:after="0" w:line="49" w:lineRule="exact"/>
        <w:rPr>
          <w:rFonts w:ascii="Arial" w:cs="Arial" w:eastAsia="Arial" w:hAnsi="Arial"/>
          <w:sz w:val="18"/>
          <w:szCs w:val="18"/>
          <w:color w:val="auto"/>
        </w:rPr>
      </w:pPr>
    </w:p>
    <w:p>
      <w:pPr>
        <w:ind w:left="600" w:right="140" w:hanging="592"/>
        <w:spacing w:after="0" w:line="264"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August 2018, the Company entered into a lease agreement for additional office facilities, which are currently under construction, with delivery anticipated in the third quarter of 2019. Operating lease commitments in the table above include the impact of the new lease agreement. See Note 13 of Notes to Consolidated Financial Statements.</w:t>
      </w:r>
    </w:p>
    <w:p>
      <w:pPr>
        <w:spacing w:after="0" w:line="5" w:lineRule="exact"/>
        <w:rPr>
          <w:rFonts w:ascii="Arial" w:cs="Arial" w:eastAsia="Arial" w:hAnsi="Arial"/>
          <w:sz w:val="18"/>
          <w:szCs w:val="18"/>
          <w:color w:val="auto"/>
        </w:rPr>
      </w:pPr>
    </w:p>
    <w:p>
      <w:pPr>
        <w:ind w:left="600" w:right="100" w:hanging="592"/>
        <w:spacing w:after="0" w:line="281" w:lineRule="auto"/>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Unfunded commitments to private equity investments consolidated but not owned by Lazard of $14,437 are excluded. Such commitments are required to be funded by capital contributions from noncontrolling interest holders. See Note 7 of Notes to Consolidated Financial Statements. These amounts are generally due on demand and therefore are presented in the “less than 1 year” category.</w:t>
      </w:r>
    </w:p>
    <w:p>
      <w:pPr>
        <w:spacing w:after="0" w:line="2" w:lineRule="exact"/>
        <w:rPr>
          <w:rFonts w:ascii="Arial" w:cs="Arial" w:eastAsia="Arial" w:hAnsi="Arial"/>
          <w:sz w:val="17"/>
          <w:szCs w:val="17"/>
          <w:color w:val="auto"/>
        </w:rPr>
      </w:pPr>
    </w:p>
    <w:p>
      <w:pPr>
        <w:ind w:left="600" w:right="60" w:hanging="592"/>
        <w:spacing w:after="0" w:line="312" w:lineRule="auto"/>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make a reasonably reliable estimate of the timing of the amounts of any such payments. See also Notes 13, 15, 16, and 17 of Notes to Consolidated Financial Statements regarding information in connection with commitments, incentive plans, employee benefit plans and income taxes,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21"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 markets or general macroeconomic conditions, it may adversely affect our financial position and results of operations by impacting overall levels of M&amp;A activity, reducing our AUM or net revenue, or otherwise. See Item 1A, “Risk Factors—Other Business Risks—Difficult market conditions can adversely affect our business in many ways, including by reducing the volume of the transactions involving our Financial Advisory business and reducing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ind w:right="20"/>
        <w:spacing w:after="0" w:line="277" w:lineRule="auto"/>
        <w:rPr>
          <w:sz w:val="20"/>
          <w:szCs w:val="20"/>
          <w:color w:val="auto"/>
        </w:rPr>
      </w:pPr>
      <w:r>
        <w:rPr>
          <w:rFonts w:ascii="Arial" w:cs="Arial" w:eastAsia="Arial" w:hAnsi="Arial"/>
          <w:sz w:val="18"/>
          <w:szCs w:val="18"/>
          <w:color w:val="auto"/>
        </w:rPr>
        <w:t>the value or performance of the assets we manage in our Asset Management business, which, in each case, could materially reduce our revenue or income and adversely affect our financial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Management’s discussion and analysis of our consolidated financial condition and results of operations is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liabilities,that are not readily apparent from other sources. Actual results may differ from these estimates.</w:t>
      </w:r>
    </w:p>
    <w:p>
      <w:pPr>
        <w:spacing w:after="0" w:line="178"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contract with a client has been identified;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performance obligations in the contract have been identified;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fee or other transaction price has been determined;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fee or other transaction price has been allocated to each performance obligation in the contract;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has satisfied the applicable performance obligation.</w:t>
      </w:r>
    </w:p>
    <w:p>
      <w:pPr>
        <w:spacing w:after="0" w:line="225" w:lineRule="exact"/>
        <w:rPr>
          <w:sz w:val="20"/>
          <w:szCs w:val="20"/>
          <w:color w:val="auto"/>
        </w:rPr>
      </w:pPr>
    </w:p>
    <w:p>
      <w:pPr>
        <w:ind w:right="220" w:firstLine="59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7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On January 1, 2018, the Company adopted new revenue recognition guidance. See Notes 3 and 4 of Notes to Consolidated Financial Statements.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7" w:name="page58"/>
    <w:bookmarkEnd w:id="57"/>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2018, on a consolidated basis, we recorded gross deferred tax assets of approximately $144.1 million, with such amount partially offset by a valuation allowance of approximately $68.0 million (as described below).</w:t>
      </w:r>
    </w:p>
    <w:p>
      <w:pPr>
        <w:spacing w:after="0" w:line="187"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Certain of our tax-paying entities have individually experienced losses on a cumulative three year basis or have tax attributes that may expire unused.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$68.0 million of deferred tax assets held by these entities as of December 31, 2018.</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58" w:name="page59"/>
    <w:bookmarkEnd w:id="58"/>
    <w:p>
      <w:pPr>
        <w:ind w:right="100" w:firstLine="59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3"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On January 1, 2017, we adopted new accounting guidance on share-based incentive compensation. As a result of the adoption of this new guidance, we recognized excess tax benefits of $14.0 million and $2.0 million from the vesting of share-based incentive compensation in the provision for income taxes in the consolidated statements of operations for the years ended December 31, 2018 and 2017, respectively. Upon adoption of the new guidance, we also recorded deferred tax assets of $4.9 million, net of a valuation allowance of $12.1 million, for previously unrecognized excess tax benefits (including tax benefits from dividends or dividend equivalents) on share-based incentive compensation, with an offsetting adjustment to retained earnings. See Note 17 of Notes to Consolidated Financial Statements for further information on the adoption of this new guidance.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consolidated statements of operations and the classification of cash flows in the relevant periods.</w:t>
      </w:r>
    </w:p>
    <w:p>
      <w:pPr>
        <w:spacing w:after="0" w:line="182" w:lineRule="exact"/>
        <w:rPr>
          <w:sz w:val="20"/>
          <w:szCs w:val="20"/>
          <w:color w:val="auto"/>
        </w:rPr>
      </w:pPr>
    </w:p>
    <w:p>
      <w:pPr>
        <w:ind w:right="180" w:firstLine="598"/>
        <w:spacing w:after="0" w:line="297" w:lineRule="auto"/>
        <w:rPr>
          <w:sz w:val="20"/>
          <w:szCs w:val="20"/>
          <w:color w:val="auto"/>
        </w:rPr>
      </w:pPr>
      <w:r>
        <w:rPr>
          <w:rFonts w:ascii="Arial" w:cs="Arial" w:eastAsia="Arial" w:hAnsi="Arial"/>
          <w:sz w:val="16"/>
          <w:szCs w:val="16"/>
          <w:color w:val="auto"/>
        </w:rPr>
        <w:t>On December 22, 2017, the Tax Act was enacted. The Tax Act significantly revised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included several provisions that limited the benefit of the tax rate reduction, such as restricting the deductibility of interest expense and other corporate business expenses. The Tax Act further included anti-base erosion provisions such as the BEAT and tax on GILTI. See Note 17 of Notes to Consolidated Financial Statements for additional information regarding the impact of the Tax Act on us.</w:t>
      </w:r>
    </w:p>
    <w:p>
      <w:pPr>
        <w:spacing w:after="0" w:line="158"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Item 1A, “Risk Factors” and Note 17 of Notes to Consolidated Financial Statements for additional information related to income taxes.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and interests in alternative investment, debt, equity and private equity funds.</w:t>
      </w:r>
    </w:p>
    <w:p>
      <w:pPr>
        <w:spacing w:after="0" w:line="170" w:lineRule="exact"/>
        <w:rPr>
          <w:sz w:val="20"/>
          <w:szCs w:val="20"/>
          <w:color w:val="auto"/>
        </w:rPr>
      </w:pPr>
    </w:p>
    <w:p>
      <w:pPr>
        <w:jc w:val="both"/>
        <w:ind w:right="40" w:firstLine="598"/>
        <w:spacing w:after="0" w:line="259" w:lineRule="auto"/>
        <w:rPr>
          <w:sz w:val="20"/>
          <w:szCs w:val="20"/>
          <w:color w:val="auto"/>
        </w:rPr>
      </w:pPr>
      <w:r>
        <w:rPr>
          <w:rFonts w:ascii="Arial" w:cs="Arial" w:eastAsia="Arial" w:hAnsi="Arial"/>
          <w:sz w:val="18"/>
          <w:szCs w:val="18"/>
          <w:color w:val="auto"/>
        </w:rPr>
        <w:t>These investments, with the exception of interest-bearing deposits, are carried at fair value on the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7 of Notes to Consolidated Financial Statements for additional information on the measurement of the fair value of investments.</w:t>
      </w:r>
    </w:p>
    <w:p>
      <w:pPr>
        <w:spacing w:after="0" w:line="18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ind w:left="600"/>
        <w:spacing w:after="0"/>
        <w:rPr>
          <w:sz w:val="20"/>
          <w:szCs w:val="20"/>
          <w:color w:val="auto"/>
        </w:rPr>
      </w:pPr>
      <w:r>
        <w:rPr>
          <w:rFonts w:ascii="Arial" w:cs="Arial" w:eastAsia="Arial" w:hAnsi="Arial"/>
          <w:sz w:val="18"/>
          <w:szCs w:val="18"/>
          <w:color w:val="auto"/>
        </w:rPr>
        <w:t>Data relating to investments is set forth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tcPr>
          <w:p>
            <w:pPr>
              <w:ind w:left="240"/>
              <w:spacing w:after="0"/>
              <w:rPr>
                <w:sz w:val="20"/>
                <w:szCs w:val="20"/>
                <w:color w:val="auto"/>
              </w:rPr>
            </w:pPr>
            <w:r>
              <w:rPr>
                <w:rFonts w:ascii="Arial" w:cs="Arial" w:eastAsia="Arial" w:hAnsi="Arial"/>
                <w:sz w:val="18"/>
                <w:szCs w:val="18"/>
                <w:color w:val="auto"/>
              </w:rPr>
              <w:t>Equities (a)</w:t>
            </w:r>
          </w:p>
        </w:tc>
        <w:tc>
          <w:tcPr>
            <w:tcW w:w="17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73,410</w:t>
            </w:r>
          </w:p>
        </w:tc>
        <w:tc>
          <w:tcPr>
            <w:tcW w:w="6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111,067</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Fixed income</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9,548</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Alternative investments</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8,392</w:t>
            </w:r>
          </w:p>
        </w:tc>
        <w:tc>
          <w:tcPr>
            <w:tcW w:w="80" w:type="dxa"/>
            <w:vAlign w:val="bottom"/>
            <w:tcBorders>
              <w:bottom w:val="single" w:sz="8" w:color="CFF0FC"/>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14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90,089</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134,674</w:t>
            </w:r>
          </w:p>
        </w:tc>
        <w:tc>
          <w:tcPr>
            <w:tcW w:w="80" w:type="dxa"/>
            <w:vAlign w:val="bottom"/>
            <w:shd w:val="clear" w:color="auto" w:fill="CFF0FC"/>
          </w:tcPr>
          <w:p>
            <w:pPr>
              <w:spacing w:after="0"/>
              <w:rPr>
                <w:sz w:val="19"/>
                <w:szCs w:val="19"/>
                <w:color w:val="auto"/>
              </w:rPr>
            </w:pPr>
          </w:p>
        </w:tc>
      </w:tr>
      <w:tr>
        <w:trPr>
          <w:trHeight w:val="223"/>
        </w:trPr>
        <w:tc>
          <w:tcPr>
            <w:tcW w:w="5920" w:type="dxa"/>
            <w:vAlign w:val="bottom"/>
            <w:gridSpan w:val="3"/>
          </w:tcPr>
          <w:p>
            <w:pPr>
              <w:ind w:left="1140"/>
              <w:spacing w:after="0"/>
              <w:rPr>
                <w:sz w:val="20"/>
                <w:szCs w:val="20"/>
                <w:color w:val="auto"/>
              </w:rPr>
            </w:pPr>
            <w:r>
              <w:rPr>
                <w:rFonts w:ascii="Arial" w:cs="Arial" w:eastAsia="Arial" w:hAnsi="Arial"/>
                <w:sz w:val="18"/>
                <w:szCs w:val="18"/>
                <w:color w:val="auto"/>
              </w:rPr>
              <w:t>Other investments owned:</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Private equity (b)</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41,788</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57,457</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tcPr>
          <w:p>
            <w:pPr>
              <w:ind w:left="240"/>
              <w:spacing w:after="0"/>
              <w:rPr>
                <w:sz w:val="20"/>
                <w:szCs w:val="20"/>
                <w:color w:val="auto"/>
              </w:rPr>
            </w:pPr>
            <w:r>
              <w:rPr>
                <w:rFonts w:ascii="Arial" w:cs="Arial" w:eastAsia="Arial" w:hAnsi="Arial"/>
                <w:sz w:val="18"/>
                <w:szCs w:val="18"/>
                <w:color w:val="auto"/>
              </w:rPr>
              <w:t>Interest-bearing deposits</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Fixed income and other (c)</w:t>
            </w:r>
          </w:p>
        </w:tc>
        <w:tc>
          <w:tcPr>
            <w:tcW w:w="14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226,346</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23,780</w:t>
            </w:r>
          </w:p>
        </w:tc>
        <w:tc>
          <w:tcPr>
            <w:tcW w:w="80" w:type="dxa"/>
            <w:vAlign w:val="bottom"/>
            <w:shd w:val="clear" w:color="auto" w:fill="CFF0FC"/>
          </w:tcPr>
          <w:p>
            <w:pPr>
              <w:spacing w:after="0"/>
              <w:rPr>
                <w:sz w:val="19"/>
                <w:szCs w:val="19"/>
                <w:color w:val="auto"/>
              </w:rPr>
            </w:pPr>
          </w:p>
        </w:tc>
      </w:tr>
      <w:tr>
        <w:trPr>
          <w:trHeight w:val="223"/>
        </w:trPr>
        <w:tc>
          <w:tcPr>
            <w:tcW w:w="5920" w:type="dxa"/>
            <w:vAlign w:val="bottom"/>
            <w:gridSpan w:val="3"/>
          </w:tcPr>
          <w:p>
            <w:pPr>
              <w:ind w:left="1140"/>
              <w:spacing w:after="0"/>
              <w:rPr>
                <w:sz w:val="20"/>
                <w:szCs w:val="20"/>
                <w:color w:val="auto"/>
              </w:rPr>
            </w:pPr>
            <w:r>
              <w:rPr>
                <w:rFonts w:ascii="Arial" w:cs="Arial" w:eastAsia="Arial" w:hAnsi="Arial"/>
                <w:sz w:val="18"/>
                <w:szCs w:val="18"/>
                <w:color w:val="auto"/>
              </w:rPr>
              <w:t>Total other investments owned</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268,644</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81,793</w:t>
            </w:r>
          </w:p>
        </w:tc>
        <w:tc>
          <w:tcPr>
            <w:tcW w:w="8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7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14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358,733</w:t>
            </w: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216,467</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920" w:type="dxa"/>
            <w:vAlign w:val="bottom"/>
            <w:gridSpan w:val="3"/>
          </w:tcPr>
          <w:p>
            <w:pPr>
              <w:ind w:left="1140"/>
              <w:spacing w:after="0"/>
              <w:rPr>
                <w:sz w:val="20"/>
                <w:szCs w:val="20"/>
                <w:color w:val="auto"/>
              </w:rPr>
            </w:pPr>
            <w:r>
              <w:rPr>
                <w:rFonts w:ascii="Arial" w:cs="Arial" w:eastAsia="Arial" w:hAnsi="Arial"/>
                <w:sz w:val="18"/>
                <w:szCs w:val="18"/>
                <w:color w:val="auto"/>
              </w:rPr>
              <w:t>Add:</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Private equity consolidated, not owned (d)</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14,555</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19,222</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LFI (e)</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201,860</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191,497</w:t>
            </w:r>
          </w:p>
        </w:tc>
        <w:tc>
          <w:tcPr>
            <w:tcW w:w="80" w:type="dxa"/>
            <w:vAlign w:val="bottom"/>
            <w:tcBorders>
              <w:bottom w:val="single" w:sz="8" w:color="CFF0FC"/>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14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575,148</w:t>
            </w:r>
          </w:p>
        </w:tc>
        <w:tc>
          <w:tcPr>
            <w:tcW w:w="2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427,186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6"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December 31, 2018 and 2017, seed investments in directly owned equity securities were invested as follows:</w:t>
      </w:r>
    </w:p>
    <w:p>
      <w:pPr>
        <w:spacing w:after="0" w:line="122"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36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080" w:type="dxa"/>
            <w:vAlign w:val="bottom"/>
            <w:gridSpan w:val="2"/>
          </w:tcPr>
          <w:p>
            <w:pPr>
              <w:ind w:left="240"/>
              <w:spacing w:after="0"/>
              <w:rPr>
                <w:sz w:val="20"/>
                <w:szCs w:val="20"/>
                <w:color w:val="auto"/>
              </w:rPr>
            </w:pPr>
            <w:r>
              <w:rPr>
                <w:rFonts w:ascii="Arial" w:cs="Arial" w:eastAsia="Arial" w:hAnsi="Arial"/>
                <w:sz w:val="18"/>
                <w:szCs w:val="18"/>
                <w:color w:val="auto"/>
              </w:rPr>
              <w:t>Financials</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30"/>
        </w:trPr>
        <w:tc>
          <w:tcPr>
            <w:tcW w:w="6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r>
      <w:tr>
        <w:trPr>
          <w:trHeight w:val="230"/>
        </w:trPr>
        <w:tc>
          <w:tcPr>
            <w:tcW w:w="6080" w:type="dxa"/>
            <w:vAlign w:val="bottom"/>
            <w:gridSpan w:val="2"/>
          </w:tcPr>
          <w:p>
            <w:pPr>
              <w:ind w:left="240"/>
              <w:spacing w:after="0"/>
              <w:rPr>
                <w:sz w:val="20"/>
                <w:szCs w:val="20"/>
                <w:color w:val="auto"/>
              </w:rPr>
            </w:pPr>
            <w:r>
              <w:rPr>
                <w:rFonts w:ascii="Arial" w:cs="Arial" w:eastAsia="Arial" w:hAnsi="Arial"/>
                <w:sz w:val="18"/>
                <w:szCs w:val="18"/>
                <w:color w:val="auto"/>
              </w:rPr>
              <w:t>Industrial</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r>
      <w:tr>
        <w:trPr>
          <w:trHeight w:val="230"/>
        </w:trPr>
        <w:tc>
          <w:tcPr>
            <w:tcW w:w="6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6" w:lineRule="exact"/>
        <w:rPr>
          <w:sz w:val="20"/>
          <w:szCs w:val="20"/>
          <w:color w:val="auto"/>
        </w:rPr>
      </w:pPr>
    </w:p>
    <w:p>
      <w:pPr>
        <w:ind w:left="600" w:right="80" w:hanging="592"/>
        <w:spacing w:after="0" w:line="290" w:lineRule="auto"/>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Private equity investments include investments related to certain legacy businesses and co-investments in private equity funds managed by our Asset Management business. Co-investments owned were $27 million and $36 million as of December 31, 2018 and 2017, respectively.</w:t>
      </w:r>
    </w:p>
    <w:p>
      <w:pPr>
        <w:ind w:left="600" w:right="120" w:hanging="592"/>
        <w:spacing w:after="0" w:line="274"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December 31, 2018, includes investments in U.S. Treasury securities of approximately $200 million with original maturities of greater than three months and less than one year.</w:t>
      </w:r>
    </w:p>
    <w:p>
      <w:pPr>
        <w:ind w:left="600" w:right="380" w:hanging="592"/>
        <w:spacing w:after="0" w:line="264"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“members’ equity” on the consolidated statements of financial condition.</w:t>
      </w:r>
    </w:p>
    <w:p>
      <w:pPr>
        <w:spacing w:after="0" w:line="5" w:lineRule="exact"/>
        <w:rPr>
          <w:rFonts w:ascii="Arial" w:cs="Arial" w:eastAsia="Arial" w:hAnsi="Arial"/>
          <w:sz w:val="18"/>
          <w:szCs w:val="18"/>
          <w:color w:val="auto"/>
        </w:rPr>
      </w:pPr>
    </w:p>
    <w:p>
      <w:pPr>
        <w:ind w:left="600" w:hanging="592"/>
        <w:spacing w:after="0" w:line="297" w:lineRule="auto"/>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 LFI investments held in entities in which the Company maintained a controlling interest were $69 million in three entities as of December 31, 2018, as compared to $53 million in two entities as of December 31, 2017.</w:t>
      </w:r>
    </w:p>
    <w:p>
      <w:pPr>
        <w:spacing w:after="0" w:line="158"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At December 31, 2018 and 2017, total investments with a fair value of $575 million and $427 million, respectively, included $57 million and $80 million, respectively, or 10% and 19%, respectively, of investments that were classified using NAV or its equivalent as a practical expedient. See Notes 6 and 7 of Notes to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0" w:name="page61"/>
    <w:bookmarkEnd w:id="60"/>
    <w:p>
      <w:pPr>
        <w:ind w:right="60" w:firstLine="598"/>
        <w:spacing w:after="0" w:line="264" w:lineRule="auto"/>
        <w:rPr>
          <w:sz w:val="20"/>
          <w:szCs w:val="20"/>
          <w:color w:val="auto"/>
        </w:rPr>
      </w:pPr>
      <w:r>
        <w:rPr>
          <w:rFonts w:ascii="Arial" w:cs="Arial" w:eastAsia="Arial" w:hAnsi="Arial"/>
          <w:sz w:val="18"/>
          <w:szCs w:val="18"/>
          <w:color w:val="auto"/>
        </w:rPr>
        <w:t>As of December 31, 2018 and 2017, the Company held seed investments of approximately $90 million and $135 million, respectively. Seed investments held in entities in which the Company maintained a controlling interest were $31 million in eight entities as of December 31, 2018, as compared to $28 million in eight entities as of December 31, 2017.</w:t>
      </w:r>
    </w:p>
    <w:p>
      <w:pPr>
        <w:spacing w:after="0" w:line="181" w:lineRule="exact"/>
        <w:rPr>
          <w:sz w:val="20"/>
          <w:szCs w:val="20"/>
          <w:color w:val="auto"/>
        </w:rPr>
      </w:pPr>
    </w:p>
    <w:p>
      <w:pPr>
        <w:ind w:right="220" w:firstLine="598"/>
        <w:spacing w:after="0" w:line="259" w:lineRule="auto"/>
        <w:rPr>
          <w:sz w:val="20"/>
          <w:szCs w:val="20"/>
          <w:color w:val="auto"/>
        </w:rPr>
      </w:pPr>
      <w:r>
        <w:rPr>
          <w:rFonts w:ascii="Arial" w:cs="Arial" w:eastAsia="Arial" w:hAnsi="Arial"/>
          <w:sz w:val="18"/>
          <w:szCs w:val="18"/>
          <w:color w:val="auto"/>
        </w:rPr>
        <w:t>As of December 31, 2018 and 2017, the Company did not consolidate or deconsolidate any seed investment entities or LFI investment entities. As such, 100% of the recorded balance of seed investments and LFI investments as of December 31, 2018 and 2017 represented the Company’s economic interest in the seed investments. See “—Consolidation of Variable Interest Entities” below for more information on the Company’s policy regarding the consolidation of seed and LFI investment entities.</w:t>
      </w:r>
    </w:p>
    <w:p>
      <w:pPr>
        <w:spacing w:after="0" w:line="187" w:lineRule="exact"/>
        <w:rPr>
          <w:sz w:val="20"/>
          <w:szCs w:val="20"/>
          <w:color w:val="auto"/>
        </w:rPr>
      </w:pPr>
    </w:p>
    <w:p>
      <w:pPr>
        <w:ind w:right="120" w:firstLine="598"/>
        <w:spacing w:after="0" w:line="342" w:lineRule="auto"/>
        <w:rPr>
          <w:sz w:val="20"/>
          <w:szCs w:val="20"/>
          <w:color w:val="auto"/>
        </w:rPr>
      </w:pPr>
      <w:r>
        <w:rPr>
          <w:rFonts w:ascii="Arial" w:cs="Arial" w:eastAsia="Arial" w:hAnsi="Arial"/>
          <w:sz w:val="16"/>
          <w:szCs w:val="16"/>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100" w:firstLine="59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10 of Notes to Consolidated Financial Statements for additional information regarding goodwill.</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1200" w:right="340" w:hanging="598"/>
        <w:spacing w:after="0" w:line="312" w:lineRule="auto"/>
        <w:tabs>
          <w:tab w:leader="none" w:pos="12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38" w:lineRule="exact"/>
        <w:rPr>
          <w:rFonts w:ascii="Arial" w:cs="Arial" w:eastAsia="Arial" w:hAnsi="Arial"/>
          <w:sz w:val="16"/>
          <w:szCs w:val="16"/>
          <w:color w:val="auto"/>
        </w:rPr>
      </w:pPr>
    </w:p>
    <w:p>
      <w:pPr>
        <w:ind w:left="1200" w:hanging="598"/>
        <w:spacing w:after="0" w:line="25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1" w:name="page62"/>
    <w:bookmarkEnd w:id="61"/>
    <w:p>
      <w:pPr>
        <w:ind w:firstLine="598"/>
        <w:spacing w:after="0" w:line="259"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7"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Lazard makes seed and LFI investments in certain entities that are considered VOEs and often require consolidation as a result of our investment. The impact of seed and LFI investment entities that require consolidation on the consolidated financial statements, including any consolidation or deconsolidation of such entities, is not material to our financial statements. Our exposure to loss from entities in which we have made such investments is limited to the extent of our investment in, or investment commitment to, such entities. See “Critical Accounting Policies and Estimates—Investments” above for more information regarding our investments.</w:t>
      </w:r>
    </w:p>
    <w:p>
      <w:pPr>
        <w:spacing w:after="0" w:line="188"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with maturities over 90 days that allow daily withdrawals without principal penalties.</w:t>
      </w:r>
    </w:p>
    <w:p>
      <w:pPr>
        <w:spacing w:after="0" w:line="193"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200" w:firstLine="598"/>
        <w:spacing w:after="0" w:line="297" w:lineRule="auto"/>
        <w:rPr>
          <w:sz w:val="20"/>
          <w:szCs w:val="20"/>
          <w:color w:val="auto"/>
        </w:rPr>
      </w:pPr>
      <w:r>
        <w:rPr>
          <w:rFonts w:ascii="Arial" w:cs="Arial" w:eastAsia="Arial" w:hAnsi="Arial"/>
          <w:sz w:val="16"/>
          <w:szCs w:val="16"/>
          <w:color w:val="auto"/>
        </w:rPr>
        <w:t>Equity Market Price Risk—At December 31, 2018 and 2017, the Company’s exposure to equity market price risk in its investment portfolio, which primarily relates to investments in equity securities, equity funds and hedge funds, was approximately $84 million and $107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$0.8 million and $2.0 million in the carrying value of such investments as of December 31, 2018 and 2017, respectively, including the effect of the hedging transactions.</w:t>
      </w:r>
    </w:p>
    <w:p>
      <w:pPr>
        <w:spacing w:after="0" w:line="158"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Interest Rate/Credit Spread Risk—At December 31, 2018 and 2017, the Company’s exposure to interest rate and credit spread risk in its investment portfolio related to investments in debt securities or funds which invest primarily in debt securities was $245 million and $58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$0.9 million and $1.3 million in the carrying value of such investments as of December 31, 2018 and 2017, respectively, including the effect of the hedging transactions.</w:t>
      </w:r>
    </w:p>
    <w:p>
      <w:pPr>
        <w:spacing w:after="0" w:line="158"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Foreign Exchange Rate Risk—At December 31, 2018 and 2017, the Company’s exposure to foreign exchange rate risk in its investment portfolio, which primarily relates to investments in foreign currency denominated equity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ind w:right="20"/>
        <w:spacing w:after="0" w:line="259" w:lineRule="auto"/>
        <w:rPr>
          <w:sz w:val="20"/>
          <w:szCs w:val="20"/>
          <w:color w:val="auto"/>
        </w:rPr>
      </w:pPr>
      <w:r>
        <w:rPr>
          <w:rFonts w:ascii="Arial" w:cs="Arial" w:eastAsia="Arial" w:hAnsi="Arial"/>
          <w:sz w:val="18"/>
          <w:szCs w:val="18"/>
          <w:color w:val="auto"/>
        </w:rPr>
        <w:t>and debt securities, was $41 million and $65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$0.1 million and $1.7 million in the carrying value of such investments as of both December 31, 2018 and 2017, respectively, including the effect of the hedging transactions.</w:t>
      </w:r>
    </w:p>
    <w:p>
      <w:pPr>
        <w:spacing w:after="0" w:line="187" w:lineRule="exact"/>
        <w:rPr>
          <w:sz w:val="20"/>
          <w:szCs w:val="20"/>
          <w:color w:val="auto"/>
        </w:rPr>
      </w:pPr>
    </w:p>
    <w:p>
      <w:pPr>
        <w:ind w:right="160" w:firstLine="598"/>
        <w:spacing w:after="0" w:line="279" w:lineRule="auto"/>
        <w:rPr>
          <w:sz w:val="20"/>
          <w:szCs w:val="20"/>
          <w:color w:val="auto"/>
        </w:rPr>
      </w:pPr>
      <w:r>
        <w:rPr>
          <w:rFonts w:ascii="Arial" w:cs="Arial" w:eastAsia="Arial" w:hAnsi="Arial"/>
          <w:sz w:val="17"/>
          <w:szCs w:val="17"/>
          <w:color w:val="auto"/>
        </w:rPr>
        <w:t>Private Equity—The Company invests in private equity primarily as a part of its co-investment activities and in connection with certain legacy businesses. At December 31, 2018 and 2017, the Company’s exposure to changes in fair value of such investments was approximately $42 million and $57 million, respectively. The Company estimates that a hypothetical 10% adverse change in fair value would result in a decrease of approximately $4.2 million and $5.7 million in the carrying value of such investments as of December 31, 2018 and 2017, respectively.</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60" w:firstLine="598"/>
        <w:spacing w:after="0" w:line="253" w:lineRule="auto"/>
        <w:rPr>
          <w:sz w:val="20"/>
          <w:szCs w:val="20"/>
          <w:color w:val="auto"/>
        </w:rPr>
      </w:pPr>
      <w:r>
        <w:rPr>
          <w:rFonts w:ascii="Arial" w:cs="Arial" w:eastAsia="Arial" w:hAnsi="Arial"/>
          <w:sz w:val="18"/>
          <w:szCs w:val="18"/>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December 31, 2018, total receivables amounted to $704 million, net of an allowance for doubtful accounts of $40 million. As of that date, Financial Advisory and Asset Management fees, receivables from Lazard Ltd subsidiaries, and customers and other receivables comprised 71%, 3%, and 26% of total receivables, respectively. At December 31, 2017, total receivables amounted to $589 million, net of an allowance for doubtful accounts of $24 million. As of that date, Financial Advisory and Asset Management fees, receivables from Lazard Ltd subsidiaries, and customers and other receivables comprised 83%, 3% and 14% of total receivables, respectively. At December 31, 2018 and 2017, the Company had receivables past due or deemed uncollectible of approximately $42 million and $35 million, respectively. See also “Critical Accounting Policies and Estimates—Revenue Recognition” above and Note 5 of Notes to Consolidated Financial Statements for additional information regarding receivables.</w:t>
      </w:r>
    </w:p>
    <w:p>
      <w:pPr>
        <w:spacing w:after="0" w:line="195"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December 31, 2018 and 2017, customer receivables included $64 million and $61 million of LFB loans, respectively, with such loans being fully collateralized and closely monitored for counterparty creditworthiness.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$12 million and $4 million at December 31, 2018 and 2017, respectively, and derivative liabilities, excluding the derivative liability arising from the Company’s obligation pertaining to LFI and other similar deferred compensation arrangements, amounted to $1 million and $16 million at such respective dates.</w:t>
      </w:r>
    </w:p>
    <w:p>
      <w:pPr>
        <w:spacing w:after="0" w:line="173"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$188 million and $182 million at December 31, 2018 and 2017, respectively.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firstLine="59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December 31, 2018, Lazard estimates that its annual operating income relating to cash and cash equivalents would increase by approximately $12 million in the event interest rates were to increase by 1% and decrease by approximately $12 million if rates were to decrease by 1%.</w:t>
      </w:r>
    </w:p>
    <w:p>
      <w:pPr>
        <w:spacing w:after="0" w:line="147"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As of December 31, 2018, the Company’s cash and cash equivalents totaled approximately $1,185 million. Substantially all of the Company’s cash and cash equivalents were invested in (i) highly liquid institutional money market funds (a significant majority of which were invested solely in U.S. Government or agency money market funds), (ii) short-term interest bearing and non-interest bearing accounts at a number of leading banks throughout the world, (iii) short-term certificates of deposit from such banks and (iv) short-term U.S. Treasury securities.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 See Item 1A, “Risk Factors” above for more information regarding operational risk in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3 of Notes to Consolidated Financial Statements.</w:t>
      </w:r>
    </w:p>
    <w:p>
      <w:pPr>
        <w:spacing w:after="0" w:line="1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5"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200" w:type="dxa"/>
            <w:vAlign w:val="bottom"/>
            <w:gridSpan w:val="17"/>
          </w:tcPr>
          <w:p>
            <w:pPr>
              <w:ind w:left="700"/>
              <w:spacing w:after="0"/>
              <w:rPr>
                <w:sz w:val="20"/>
                <w:szCs w:val="20"/>
                <w:color w:val="auto"/>
              </w:rPr>
            </w:pPr>
            <w:r>
              <w:rPr>
                <w:rFonts w:ascii="Arial" w:cs="Arial" w:eastAsia="Arial" w:hAnsi="Arial"/>
                <w:sz w:val="18"/>
                <w:szCs w:val="18"/>
                <w:b w:val="1"/>
                <w:bCs w:val="1"/>
                <w:color w:val="auto"/>
              </w:rPr>
              <w:t>Financial Statements and Supplementary Data</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0860" w:type="dxa"/>
            <w:vAlign w:val="bottom"/>
            <w:gridSpan w:val="19"/>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r>
      <w:tr>
        <w:trPr>
          <w:trHeight w:val="291"/>
        </w:trPr>
        <w:tc>
          <w:tcPr>
            <w:tcW w:w="440" w:type="dxa"/>
            <w:vAlign w:val="bottom"/>
          </w:tcPr>
          <w:p>
            <w:pPr>
              <w:spacing w:after="0"/>
              <w:rPr>
                <w:sz w:val="24"/>
                <w:szCs w:val="24"/>
                <w:color w:val="auto"/>
              </w:rPr>
            </w:pPr>
          </w:p>
        </w:tc>
        <w:tc>
          <w:tcPr>
            <w:tcW w:w="49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Management’s Report on Internal Control Over Financial Reporting</w:t>
              </w:r>
            </w:hyperlink>
          </w:p>
        </w:tc>
        <w:tc>
          <w:tcPr>
            <w:tcW w:w="5500" w:type="dxa"/>
            <w:vAlign w:val="bottom"/>
            <w:gridSpan w:val="10"/>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r>
      <w:tr>
        <w:trPr>
          <w:trHeight w:val="318"/>
        </w:trPr>
        <w:tc>
          <w:tcPr>
            <w:tcW w:w="440" w:type="dxa"/>
            <w:vAlign w:val="bottom"/>
          </w:tcPr>
          <w:p>
            <w:pPr>
              <w:spacing w:after="0"/>
              <w:rPr>
                <w:sz w:val="24"/>
                <w:szCs w:val="24"/>
                <w:color w:val="auto"/>
              </w:rPr>
            </w:pPr>
          </w:p>
        </w:tc>
        <w:tc>
          <w:tcPr>
            <w:tcW w:w="43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Reports of Independent Registered Public Accounting Firm</w:t>
              </w:r>
            </w:hyperlink>
          </w:p>
        </w:tc>
        <w:tc>
          <w:tcPr>
            <w:tcW w:w="6120" w:type="dxa"/>
            <w:vAlign w:val="bottom"/>
            <w:gridSpan w:val="11"/>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r>
        <w:trPr>
          <w:trHeight w:val="318"/>
        </w:trPr>
        <w:tc>
          <w:tcPr>
            <w:tcW w:w="440" w:type="dxa"/>
            <w:vAlign w:val="bottom"/>
          </w:tcPr>
          <w:p>
            <w:pPr>
              <w:spacing w:after="0"/>
              <w:rPr>
                <w:sz w:val="24"/>
                <w:szCs w:val="24"/>
                <w:color w:val="auto"/>
              </w:rPr>
            </w:pPr>
          </w:p>
        </w:tc>
        <w:tc>
          <w:tcPr>
            <w:tcW w:w="10420" w:type="dxa"/>
            <w:vAlign w:val="bottom"/>
            <w:gridSpan w:val="1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Statements of Financial Condition as of December 31, 2018 and 2017</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r>
      <w:tr>
        <w:trPr>
          <w:trHeight w:val="20"/>
        </w:trPr>
        <w:tc>
          <w:tcPr>
            <w:tcW w:w="4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420" w:type="dxa"/>
            <w:vAlign w:val="bottom"/>
            <w:gridSpan w:val="1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Operations for the years ended December 31, 2018, 2017 and 2016</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318"/>
        </w:trPr>
        <w:tc>
          <w:tcPr>
            <w:tcW w:w="440" w:type="dxa"/>
            <w:vAlign w:val="bottom"/>
          </w:tcPr>
          <w:p>
            <w:pPr>
              <w:spacing w:after="0"/>
              <w:rPr>
                <w:sz w:val="24"/>
                <w:szCs w:val="24"/>
                <w:color w:val="auto"/>
              </w:rPr>
            </w:pPr>
          </w:p>
        </w:tc>
        <w:tc>
          <w:tcPr>
            <w:tcW w:w="67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Consolidated Statements of Comprehensive Income for the years ended December 31, 2018,</w:t>
              </w:r>
            </w:hyperlink>
          </w:p>
        </w:tc>
        <w:tc>
          <w:tcPr>
            <w:tcW w:w="120" w:type="dxa"/>
            <w:vAlign w:val="bottom"/>
            <w:tcBorders>
              <w:top w:val="single" w:sz="8" w:color="0000EE"/>
            </w:tcBorders>
            <w:gridSpan w:val="2"/>
          </w:tcPr>
          <w:p>
            <w:pPr>
              <w:spacing w:after="0"/>
              <w:rPr>
                <w:sz w:val="24"/>
                <w:szCs w:val="24"/>
                <w:color w:val="auto"/>
              </w:rPr>
            </w:pPr>
          </w:p>
        </w:tc>
        <w:tc>
          <w:tcPr>
            <w:tcW w:w="356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2017 and 2016</w:t>
              </w:r>
            </w:hyperlink>
          </w:p>
        </w:tc>
        <w:tc>
          <w:tcPr>
            <w:tcW w:w="9120" w:type="dxa"/>
            <w:vAlign w:val="bottom"/>
            <w:gridSpan w:val="1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r>
      <w:tr>
        <w:trPr>
          <w:trHeight w:val="318"/>
        </w:trPr>
        <w:tc>
          <w:tcPr>
            <w:tcW w:w="440" w:type="dxa"/>
            <w:vAlign w:val="bottom"/>
          </w:tcPr>
          <w:p>
            <w:pPr>
              <w:spacing w:after="0"/>
              <w:rPr>
                <w:sz w:val="24"/>
                <w:szCs w:val="24"/>
                <w:color w:val="auto"/>
              </w:rPr>
            </w:pPr>
          </w:p>
        </w:tc>
        <w:tc>
          <w:tcPr>
            <w:tcW w:w="69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Cash Flows for the years ended December 31, 2018, 2017 and 2016</w:t>
              </w:r>
            </w:hyperlink>
          </w:p>
        </w:tc>
        <w:tc>
          <w:tcPr>
            <w:tcW w:w="3500" w:type="dxa"/>
            <w:vAlign w:val="bottom"/>
            <w:gridSpan w:val="2"/>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318"/>
        </w:trPr>
        <w:tc>
          <w:tcPr>
            <w:tcW w:w="440" w:type="dxa"/>
            <w:vAlign w:val="bottom"/>
          </w:tcPr>
          <w:p>
            <w:pPr>
              <w:spacing w:after="0"/>
              <w:rPr>
                <w:sz w:val="24"/>
                <w:szCs w:val="24"/>
                <w:color w:val="auto"/>
              </w:rPr>
            </w:pPr>
          </w:p>
        </w:tc>
        <w:tc>
          <w:tcPr>
            <w:tcW w:w="10420" w:type="dxa"/>
            <w:vAlign w:val="bottom"/>
            <w:gridSpan w:val="1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Changes in Members’ Equity for the years ended December 31, 2018, 2017 and 2016</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318"/>
        </w:trPr>
        <w:tc>
          <w:tcPr>
            <w:tcW w:w="44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Notes to Consolidated Financial Statements</w:t>
              </w:r>
            </w:hyperlink>
          </w:p>
        </w:tc>
        <w:tc>
          <w:tcPr>
            <w:tcW w:w="5020" w:type="dxa"/>
            <w:vAlign w:val="bottom"/>
            <w:tcBorders>
              <w:top w:val="single" w:sz="8" w:color="0000EE"/>
            </w:tcBorders>
            <w:gridSpan w:val="11"/>
          </w:tcPr>
          <w:p>
            <w:pPr>
              <w:spacing w:after="0"/>
              <w:rPr>
                <w:sz w:val="24"/>
                <w:szCs w:val="24"/>
                <w:color w:val="auto"/>
              </w:rPr>
            </w:pPr>
          </w:p>
        </w:tc>
        <w:tc>
          <w:tcPr>
            <w:tcW w:w="22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318"/>
        </w:trPr>
        <w:tc>
          <w:tcPr>
            <w:tcW w:w="2820" w:type="dxa"/>
            <w:vAlign w:val="bottom"/>
            <w:tcBorders>
              <w:bottom w:val="single" w:sz="8" w:color="0000EE"/>
            </w:tcBorders>
            <w:gridSpan w:val="5"/>
          </w:tcPr>
          <w:p>
            <w:pPr>
              <w:spacing w:after="0"/>
              <w:rPr>
                <w:rFonts w:ascii="Arial" w:cs="Arial" w:eastAsia="Arial" w:hAnsi="Arial"/>
                <w:sz w:val="18"/>
                <w:szCs w:val="18"/>
                <w:b w:val="1"/>
                <w:bCs w:val="1"/>
                <w:color w:val="0000EE"/>
                <w:w w:val="91"/>
              </w:rPr>
            </w:pPr>
            <w:hyperlink w:anchor="page125">
              <w:r>
                <w:rPr>
                  <w:rFonts w:ascii="Arial" w:cs="Arial" w:eastAsia="Arial" w:hAnsi="Arial"/>
                  <w:sz w:val="18"/>
                  <w:szCs w:val="18"/>
                  <w:b w:val="1"/>
                  <w:bCs w:val="1"/>
                  <w:color w:val="0000EE"/>
                  <w:w w:val="91"/>
                </w:rPr>
                <w:t>Supplemental Financial Information</w:t>
              </w:r>
            </w:hyperlink>
          </w:p>
        </w:tc>
        <w:tc>
          <w:tcPr>
            <w:tcW w:w="8040" w:type="dxa"/>
            <w:vAlign w:val="bottom"/>
            <w:gridSpan w:val="14"/>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440" w:type="dxa"/>
            <w:vAlign w:val="bottom"/>
          </w:tcPr>
          <w:p>
            <w:pPr>
              <w:spacing w:after="0"/>
              <w:rPr>
                <w:sz w:val="24"/>
                <w:szCs w:val="24"/>
                <w:color w:val="auto"/>
              </w:rPr>
            </w:pPr>
          </w:p>
        </w:tc>
        <w:tc>
          <w:tcPr>
            <w:tcW w:w="12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25">
              <w:r>
                <w:rPr>
                  <w:rFonts w:ascii="Arial" w:cs="Arial" w:eastAsia="Arial" w:hAnsi="Arial"/>
                  <w:sz w:val="18"/>
                  <w:szCs w:val="18"/>
                  <w:color w:val="0000EE"/>
                  <w:w w:val="90"/>
                </w:rPr>
                <w:t>Quarterly Results</w:t>
              </w:r>
            </w:hyperlink>
          </w:p>
        </w:tc>
        <w:tc>
          <w:tcPr>
            <w:tcW w:w="9140" w:type="dxa"/>
            <w:vAlign w:val="bottom"/>
            <w:gridSpan w:val="16"/>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r>
      <w:tr>
        <w:trPr>
          <w:trHeight w:val="358"/>
        </w:trPr>
        <w:tc>
          <w:tcPr>
            <w:tcW w:w="10860" w:type="dxa"/>
            <w:vAlign w:val="bottom"/>
            <w:gridSpan w:val="19"/>
          </w:tcPr>
          <w:p>
            <w:pPr>
              <w:spacing w:after="0"/>
              <w:rPr>
                <w:sz w:val="20"/>
                <w:szCs w:val="20"/>
                <w:color w:val="auto"/>
              </w:rPr>
            </w:pPr>
            <w:r>
              <w:rPr>
                <w:rFonts w:ascii="Arial" w:cs="Arial" w:eastAsia="Arial" w:hAnsi="Arial"/>
                <w:sz w:val="18"/>
                <w:szCs w:val="18"/>
                <w:b w:val="1"/>
                <w:bCs w:val="1"/>
                <w:color w:val="auto"/>
              </w:rPr>
              <w:t>Financial Statement Schedules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440" w:type="dxa"/>
            <w:vAlign w:val="bottom"/>
          </w:tcPr>
          <w:p>
            <w:pPr>
              <w:spacing w:after="0"/>
              <w:rPr>
                <w:sz w:val="24"/>
                <w:szCs w:val="24"/>
                <w:color w:val="auto"/>
              </w:rPr>
            </w:pPr>
          </w:p>
        </w:tc>
        <w:tc>
          <w:tcPr>
            <w:tcW w:w="10420" w:type="dxa"/>
            <w:vAlign w:val="bottom"/>
            <w:gridSpan w:val="18"/>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440" w:type="dxa"/>
            <w:vAlign w:val="bottom"/>
          </w:tcPr>
          <w:p>
            <w:pPr>
              <w:spacing w:after="0"/>
              <w:rPr>
                <w:sz w:val="24"/>
                <w:szCs w:val="24"/>
                <w:color w:val="auto"/>
              </w:rPr>
            </w:pPr>
          </w:p>
        </w:tc>
        <w:tc>
          <w:tcPr>
            <w:tcW w:w="58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33">
              <w:r>
                <w:rPr>
                  <w:rFonts w:ascii="Arial" w:cs="Arial" w:eastAsia="Arial" w:hAnsi="Arial"/>
                  <w:sz w:val="18"/>
                  <w:szCs w:val="18"/>
                  <w:color w:val="0000EE"/>
                  <w:w w:val="89"/>
                </w:rPr>
                <w:t>Condensed Statements of Financial Condition as of December 31, 2018 and 2017</w:t>
              </w:r>
            </w:hyperlink>
          </w:p>
        </w:tc>
        <w:tc>
          <w:tcPr>
            <w:tcW w:w="4540" w:type="dxa"/>
            <w:vAlign w:val="bottom"/>
            <w:gridSpan w:val="9"/>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r>
      <w:tr>
        <w:trPr>
          <w:trHeight w:val="318"/>
        </w:trPr>
        <w:tc>
          <w:tcPr>
            <w:tcW w:w="440" w:type="dxa"/>
            <w:vAlign w:val="bottom"/>
          </w:tcPr>
          <w:p>
            <w:pPr>
              <w:spacing w:after="0"/>
              <w:rPr>
                <w:sz w:val="24"/>
                <w:szCs w:val="24"/>
                <w:color w:val="auto"/>
              </w:rPr>
            </w:pPr>
          </w:p>
        </w:tc>
        <w:tc>
          <w:tcPr>
            <w:tcW w:w="67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34">
              <w:r>
                <w:rPr>
                  <w:rFonts w:ascii="Arial" w:cs="Arial" w:eastAsia="Arial" w:hAnsi="Arial"/>
                  <w:sz w:val="18"/>
                  <w:szCs w:val="18"/>
                  <w:color w:val="0000EE"/>
                  <w:w w:val="88"/>
                </w:rPr>
                <w:t>Condensed Statements of Operations for the years ended December 31, 2018, 2017 and 2016</w:t>
              </w:r>
            </w:hyperlink>
          </w:p>
        </w:tc>
        <w:tc>
          <w:tcPr>
            <w:tcW w:w="3700" w:type="dxa"/>
            <w:vAlign w:val="bottom"/>
            <w:gridSpan w:val="6"/>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r>
      <w:tr>
        <w:trPr>
          <w:trHeight w:val="318"/>
        </w:trPr>
        <w:tc>
          <w:tcPr>
            <w:tcW w:w="440" w:type="dxa"/>
            <w:vAlign w:val="bottom"/>
          </w:tcPr>
          <w:p>
            <w:pPr>
              <w:spacing w:after="0"/>
              <w:rPr>
                <w:sz w:val="24"/>
                <w:szCs w:val="24"/>
                <w:color w:val="auto"/>
              </w:rPr>
            </w:pPr>
          </w:p>
        </w:tc>
        <w:tc>
          <w:tcPr>
            <w:tcW w:w="65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35">
              <w:r>
                <w:rPr>
                  <w:rFonts w:ascii="Arial" w:cs="Arial" w:eastAsia="Arial" w:hAnsi="Arial"/>
                  <w:sz w:val="18"/>
                  <w:szCs w:val="18"/>
                  <w:color w:val="0000EE"/>
                  <w:w w:val="89"/>
                </w:rPr>
                <w:t>Condensed Statements of Comprehensive Income for the years ended December 31, 2018,</w:t>
              </w:r>
            </w:hyperlink>
          </w:p>
        </w:tc>
        <w:tc>
          <w:tcPr>
            <w:tcW w:w="386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2017 and 2016</w:t>
              </w:r>
            </w:hyperlink>
          </w:p>
        </w:tc>
        <w:tc>
          <w:tcPr>
            <w:tcW w:w="9120" w:type="dxa"/>
            <w:vAlign w:val="bottom"/>
            <w:gridSpan w:val="1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r>
      <w:tr>
        <w:trPr>
          <w:trHeight w:val="318"/>
        </w:trPr>
        <w:tc>
          <w:tcPr>
            <w:tcW w:w="440" w:type="dxa"/>
            <w:vAlign w:val="bottom"/>
          </w:tcPr>
          <w:p>
            <w:pPr>
              <w:spacing w:after="0"/>
              <w:rPr>
                <w:sz w:val="24"/>
                <w:szCs w:val="24"/>
                <w:color w:val="auto"/>
              </w:rPr>
            </w:pPr>
          </w:p>
        </w:tc>
        <w:tc>
          <w:tcPr>
            <w:tcW w:w="10420" w:type="dxa"/>
            <w:vAlign w:val="bottom"/>
            <w:gridSpan w:val="18"/>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Condensed Statements of Cash Flows for the years ended December 31, 2018, 2017 and 2016</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r>
      <w:tr>
        <w:trPr>
          <w:trHeight w:val="318"/>
        </w:trPr>
        <w:tc>
          <w:tcPr>
            <w:tcW w:w="440" w:type="dxa"/>
            <w:vAlign w:val="bottom"/>
          </w:tcPr>
          <w:p>
            <w:pPr>
              <w:spacing w:after="0"/>
              <w:rPr>
                <w:sz w:val="24"/>
                <w:szCs w:val="24"/>
                <w:color w:val="auto"/>
              </w:rPr>
            </w:pPr>
          </w:p>
        </w:tc>
        <w:tc>
          <w:tcPr>
            <w:tcW w:w="6760" w:type="dxa"/>
            <w:vAlign w:val="bottom"/>
            <w:tcBorders>
              <w:top w:val="single" w:sz="8" w:color="0000EE"/>
            </w:tcBorders>
            <w:gridSpan w:val="14"/>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Notes to Condensed Financial Statements</w:t>
              </w:r>
            </w:hyperlink>
          </w:p>
        </w:tc>
        <w:tc>
          <w:tcPr>
            <w:tcW w:w="3660" w:type="dxa"/>
            <w:vAlign w:val="bottom"/>
            <w:gridSpan w:val="4"/>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r>
      <w:tr>
        <w:trPr>
          <w:trHeight w:val="858"/>
        </w:trPr>
        <w:tc>
          <w:tcPr>
            <w:tcW w:w="4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780" w:type="dxa"/>
            <w:vAlign w:val="bottom"/>
            <w:tcBorders>
              <w:top w:val="single" w:sz="8" w:color="0000EE"/>
            </w:tcBorders>
            <w:gridSpan w:val="4"/>
          </w:tcPr>
          <w:p>
            <w:pPr>
              <w:spacing w:after="0"/>
              <w:rPr>
                <w:sz w:val="24"/>
                <w:szCs w:val="24"/>
                <w:color w:val="auto"/>
              </w:rPr>
            </w:pPr>
          </w:p>
        </w:tc>
        <w:tc>
          <w:tcPr>
            <w:tcW w:w="2880" w:type="dxa"/>
            <w:vAlign w:val="bottom"/>
            <w:gridSpan w:val="4"/>
          </w:tcPr>
          <w:p>
            <w:pPr>
              <w:jc w:val="right"/>
              <w:ind w:right="52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Management of Lazard Group LLC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consolidated financial statements for external purposes in accordance with U.S. generally accepted accounting principles.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1200" w:right="140" w:hanging="598"/>
        <w:spacing w:after="0" w:line="277" w:lineRule="auto"/>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1200" w:right="300" w:hanging="598"/>
        <w:spacing w:after="0" w:line="264" w:lineRule="auto"/>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consolidated financial statements in accordance with U.S. generally accepted accounting principles, and that our receipts and expenditures are being made only in accordance with authorizations of the Company’s management and directors; and</w:t>
      </w:r>
    </w:p>
    <w:p>
      <w:pPr>
        <w:spacing w:after="0" w:line="73" w:lineRule="exact"/>
        <w:rPr>
          <w:rFonts w:ascii="Arial" w:cs="Arial" w:eastAsia="Arial" w:hAnsi="Arial"/>
          <w:sz w:val="18"/>
          <w:szCs w:val="18"/>
          <w:color w:val="auto"/>
        </w:rPr>
      </w:pPr>
    </w:p>
    <w:p>
      <w:pPr>
        <w:ind w:left="1200" w:right="40" w:hanging="598"/>
        <w:spacing w:after="0" w:line="277" w:lineRule="auto"/>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7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2018.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 xml:space="preserve">Internal Control-Integrated Framework (2013). </w:t>
      </w:r>
      <w:r>
        <w:rPr>
          <w:rFonts w:ascii="Arial" w:cs="Arial" w:eastAsia="Arial" w:hAnsi="Arial"/>
          <w:sz w:val="18"/>
          <w:szCs w:val="18"/>
          <w:color w:val="auto"/>
        </w:rPr>
        <w:t>Based on management’s assessment and those criteria, management concluded that the Company maintained effective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as of December 31, 2018.</w:t>
      </w:r>
    </w:p>
    <w:p>
      <w:pPr>
        <w:spacing w:after="0" w:line="187"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560" w:firstLine="598"/>
        <w:spacing w:after="0" w:line="342" w:lineRule="auto"/>
        <w:rPr>
          <w:sz w:val="20"/>
          <w:szCs w:val="20"/>
          <w:color w:val="auto"/>
        </w:rPr>
      </w:pPr>
      <w:r>
        <w:rPr>
          <w:rFonts w:ascii="Arial" w:cs="Arial" w:eastAsia="Arial" w:hAnsi="Arial"/>
          <w:sz w:val="16"/>
          <w:szCs w:val="16"/>
          <w:color w:val="auto"/>
        </w:rPr>
        <w:t>The Company’s independent registered public accounting firm, Deloitte &amp; Touche LLP, audited the Company’s internal control over financial reporting as of December 31, 2018, as stated in their report which appears under “Report of Independent Registered Public Accounting Firm.”</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6" w:name="page67"/>
    <w:bookmarkEnd w:id="66"/>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and Board of Directors of Lazard Group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20" w:firstLine="877"/>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Lazard Group LLC and subsidiaries (the “Company”) as of December 31, 2018,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COSO.</w:t>
      </w:r>
    </w:p>
    <w:p>
      <w:pPr>
        <w:spacing w:after="0" w:line="158" w:lineRule="exact"/>
        <w:rPr>
          <w:sz w:val="20"/>
          <w:szCs w:val="20"/>
          <w:color w:val="auto"/>
        </w:rPr>
      </w:pPr>
    </w:p>
    <w:p>
      <w:pPr>
        <w:jc w:val="both"/>
        <w:ind w:right="420" w:firstLine="877"/>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financial statement schedule as listed in the Index at Item 8 as of and for the year ended December 31, 2018 of the Company, and our report dated February 25, 2019, expressed an unqualified opinion on those consolidated financial statements and financial statement schedule.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6" w:lineRule="exact"/>
        <w:rPr>
          <w:sz w:val="20"/>
          <w:szCs w:val="20"/>
          <w:color w:val="auto"/>
        </w:rPr>
      </w:pPr>
    </w:p>
    <w:p>
      <w:pPr>
        <w:ind w:right="240" w:firstLine="877"/>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ind w:firstLine="877"/>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ind w:right="20" w:firstLine="877"/>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40" w:firstLine="877"/>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7" w:name="page68"/>
    <w:bookmarkEnd w:id="67"/>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and Board of Directors of Lazard Group LLC: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16" w:lineRule="exact"/>
        <w:rPr>
          <w:sz w:val="20"/>
          <w:szCs w:val="20"/>
          <w:color w:val="auto"/>
        </w:rPr>
      </w:pPr>
    </w:p>
    <w:p>
      <w:pPr>
        <w:jc w:val="both"/>
        <w:ind w:right="40" w:firstLine="877"/>
        <w:spacing w:after="0" w:line="273" w:lineRule="auto"/>
        <w:rPr>
          <w:sz w:val="20"/>
          <w:szCs w:val="20"/>
          <w:color w:val="auto"/>
        </w:rPr>
      </w:pPr>
      <w:r>
        <w:rPr>
          <w:rFonts w:ascii="Arial" w:cs="Arial" w:eastAsia="Arial" w:hAnsi="Arial"/>
          <w:sz w:val="17"/>
          <w:szCs w:val="17"/>
          <w:color w:val="auto"/>
        </w:rPr>
        <w:t>We have audited the accompanying consolidated statements of financial condition of Lazard Group LLC and subsidiaries (the “Company”) as of December 31, 2018 and 2017, and the related consolidated statements of operations, comprehensive income, cash flows, and changes in members’ equity for each of the three years in the period ended December 31, 2018, the related notes and the schedule listed in the Index at Item 8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51" w:lineRule="exact"/>
        <w:rPr>
          <w:sz w:val="20"/>
          <w:szCs w:val="20"/>
          <w:color w:val="auto"/>
        </w:rPr>
      </w:pPr>
    </w:p>
    <w:p>
      <w:pPr>
        <w:ind w:right="20" w:firstLine="877"/>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2018,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February 25, 2019, expressed an unqualified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on the Company’s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6" w:lineRule="exact"/>
        <w:rPr>
          <w:sz w:val="20"/>
          <w:szCs w:val="20"/>
          <w:color w:val="auto"/>
        </w:rPr>
      </w:pPr>
    </w:p>
    <w:p>
      <w:pPr>
        <w:ind w:right="160" w:firstLine="877"/>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firstLine="877"/>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auditors since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8" w:name="page69"/>
    <w:bookmarkEnd w:id="6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8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1,185,040</w:t>
            </w:r>
          </w:p>
        </w:tc>
        <w:tc>
          <w:tcPr>
            <w:tcW w:w="7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1,470,296</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1,006,969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935,431</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38,379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35,539</w:t>
            </w:r>
          </w:p>
        </w:tc>
        <w:tc>
          <w:tcPr>
            <w:tcW w:w="120" w:type="dxa"/>
            <w:vAlign w:val="bottom"/>
          </w:tcPr>
          <w:p>
            <w:pPr>
              <w:spacing w:after="0"/>
              <w:rPr>
                <w:sz w:val="19"/>
                <w:szCs w:val="19"/>
                <w:color w:val="auto"/>
              </w:rPr>
            </w:pPr>
          </w:p>
        </w:tc>
      </w:tr>
      <w:tr>
        <w:trPr>
          <w:trHeight w:val="215"/>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$40,115 and $23,692</w:t>
            </w: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December 31, 2018 and 2017, respectively):</w:t>
            </w:r>
          </w:p>
        </w:tc>
        <w:tc>
          <w:tcPr>
            <w:tcW w:w="1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Fees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499,068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487,800</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184,137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83,816</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Lazard Ltd subsidiaries</w:t>
            </w:r>
          </w:p>
        </w:tc>
        <w:tc>
          <w:tcPr>
            <w:tcW w:w="1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21,103</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17,135</w:t>
            </w:r>
          </w:p>
        </w:tc>
        <w:tc>
          <w:tcPr>
            <w:tcW w:w="12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704,308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588,751</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Investments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575,148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427,186</w:t>
            </w:r>
          </w:p>
        </w:tc>
        <w:tc>
          <w:tcPr>
            <w:tcW w:w="120" w:type="dxa"/>
            <w:vAlign w:val="bottom"/>
          </w:tcPr>
          <w:p>
            <w:pPr>
              <w:spacing w:after="0"/>
              <w:rPr>
                <w:sz w:val="19"/>
                <w:szCs w:val="19"/>
                <w:color w:val="auto"/>
              </w:rPr>
            </w:pPr>
          </w:p>
        </w:tc>
      </w:tr>
      <w:tr>
        <w:trPr>
          <w:trHeight w:val="215"/>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Property (net of accumulated amortization and depreciation of $339,448</w:t>
            </w: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$317,816 at December 31, 2018 and 2017, respectively)</w:t>
            </w:r>
          </w:p>
        </w:tc>
        <w:tc>
          <w:tcPr>
            <w:tcW w:w="1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211,713</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203,828</w:t>
            </w:r>
          </w:p>
        </w:tc>
        <w:tc>
          <w:tcPr>
            <w:tcW w:w="120" w:type="dxa"/>
            <w:vAlign w:val="bottom"/>
            <w:shd w:val="clear" w:color="auto" w:fill="CFF0FC"/>
          </w:tcPr>
          <w:p>
            <w:pPr>
              <w:spacing w:after="0"/>
              <w:rPr>
                <w:sz w:val="20"/>
                <w:szCs w:val="20"/>
                <w:color w:val="auto"/>
              </w:rPr>
            </w:pPr>
          </w:p>
        </w:tc>
      </w:tr>
      <w:tr>
        <w:trPr>
          <w:trHeight w:val="215"/>
        </w:trPr>
        <w:tc>
          <w:tcPr>
            <w:tcW w:w="6680" w:type="dxa"/>
            <w:vAlign w:val="bottom"/>
          </w:tcPr>
          <w:p>
            <w:pPr>
              <w:spacing w:after="0"/>
              <w:rPr>
                <w:sz w:val="20"/>
                <w:szCs w:val="20"/>
                <w:color w:val="auto"/>
              </w:rPr>
            </w:pPr>
            <w:r>
              <w:rPr>
                <w:rFonts w:ascii="Arial" w:cs="Arial" w:eastAsia="Arial" w:hAnsi="Arial"/>
                <w:sz w:val="18"/>
                <w:szCs w:val="18"/>
                <w:color w:val="auto"/>
              </w:rPr>
              <w:t>Goodwill and other intangible assets (net of accumulated amortization</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of $63,591 and $61,202 at December 31, 2018 and 2017, respectively)</w:t>
            </w: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354,463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368,034</w:t>
            </w:r>
          </w:p>
        </w:tc>
        <w:tc>
          <w:tcPr>
            <w:tcW w:w="120" w:type="dxa"/>
            <w:vAlign w:val="bottom"/>
          </w:tcPr>
          <w:p>
            <w:pPr>
              <w:spacing w:after="0"/>
              <w:rPr>
                <w:sz w:val="20"/>
                <w:szCs w:val="20"/>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55,042</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46,646</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258,413</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224,862</w:t>
            </w:r>
          </w:p>
        </w:tc>
        <w:tc>
          <w:tcPr>
            <w:tcW w:w="120" w:type="dxa"/>
            <w:vAlign w:val="bottom"/>
            <w:tcBorders>
              <w:bottom w:val="single" w:sz="8" w:color="CFF0FC"/>
            </w:tcBorders>
          </w:tcPr>
          <w:p>
            <w:pPr>
              <w:spacing w:after="0"/>
              <w:rPr>
                <w:sz w:val="19"/>
                <w:szCs w:val="19"/>
                <w:color w:val="auto"/>
              </w:rPr>
            </w:pPr>
          </w:p>
        </w:tc>
      </w:tr>
      <w:tr>
        <w:trPr>
          <w:trHeight w:val="223"/>
        </w:trPr>
        <w:tc>
          <w:tcPr>
            <w:tcW w:w="66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4,389,475</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4,300,573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9" w:name="page70"/>
    <w:bookmarkEnd w:id="6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6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1,154,208</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992,338</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583,730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591,394</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1,434,260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1,190,383</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Payable to Lazard Ltd subsidiaries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63,185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65,271</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9,195</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565,801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545,092</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3,806,723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3,393,673</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MEMBERS’ EQUITY</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80" w:type="dxa"/>
            <w:vAlign w:val="bottom"/>
          </w:tcPr>
          <w:p>
            <w:pPr>
              <w:ind w:left="260"/>
              <w:spacing w:after="0"/>
              <w:rPr>
                <w:sz w:val="20"/>
                <w:szCs w:val="20"/>
                <w:color w:val="auto"/>
              </w:rPr>
            </w:pPr>
            <w:r>
              <w:rPr>
                <w:rFonts w:ascii="Arial" w:cs="Arial" w:eastAsia="Arial" w:hAnsi="Arial"/>
                <w:sz w:val="18"/>
                <w:szCs w:val="18"/>
                <w:color w:val="auto"/>
                <w:w w:val="92"/>
              </w:rPr>
              <w:t>Members' equity (net of 16,737,000 and 9,907,479 shares of Lazard Ltd Class A common stock, at a</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cost of $729,910 and $411,560 at December 31, 2018 and 2017, respectively)</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758,705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1,043,574</w:t>
            </w:r>
          </w:p>
        </w:tc>
        <w:tc>
          <w:tcPr>
            <w:tcW w:w="120" w:type="dxa"/>
            <w:vAlign w:val="bottom"/>
          </w:tcPr>
          <w:p>
            <w:pPr>
              <w:spacing w:after="0"/>
              <w:rPr>
                <w:sz w:val="20"/>
                <w:szCs w:val="20"/>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(228,660)</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(195,256)</w:t>
            </w:r>
          </w:p>
        </w:tc>
      </w:tr>
      <w:tr>
        <w:trPr>
          <w:trHeight w:val="223"/>
        </w:trPr>
        <w:tc>
          <w:tcPr>
            <w:tcW w:w="7680" w:type="dxa"/>
            <w:vAlign w:val="bottom"/>
          </w:tcPr>
          <w:p>
            <w:pPr>
              <w:ind w:left="540"/>
              <w:spacing w:after="0"/>
              <w:rPr>
                <w:sz w:val="20"/>
                <w:szCs w:val="20"/>
                <w:color w:val="auto"/>
              </w:rPr>
            </w:pPr>
            <w:r>
              <w:rPr>
                <w:rFonts w:ascii="Arial" w:cs="Arial" w:eastAsia="Arial" w:hAnsi="Arial"/>
                <w:sz w:val="18"/>
                <w:szCs w:val="18"/>
                <w:color w:val="auto"/>
              </w:rPr>
              <w:t>Total Lazard Group LLC Members' Equity</w:t>
            </w:r>
          </w:p>
        </w:tc>
        <w:tc>
          <w:tcPr>
            <w:tcW w:w="1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530,045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848,318</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58,582</w:t>
            </w:r>
          </w:p>
        </w:tc>
        <w:tc>
          <w:tcPr>
            <w:tcW w:w="120" w:type="dxa"/>
            <w:vAlign w:val="bottom"/>
            <w:shd w:val="clear" w:color="auto" w:fill="CFF0FC"/>
          </w:tcPr>
          <w:p>
            <w:pPr>
              <w:spacing w:after="0"/>
              <w:rPr>
                <w:sz w:val="19"/>
                <w:szCs w:val="19"/>
                <w:color w:val="auto"/>
              </w:rPr>
            </w:pPr>
          </w:p>
        </w:tc>
      </w:tr>
      <w:tr>
        <w:trPr>
          <w:trHeight w:val="223"/>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Members’ Equity</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582,752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906,900</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Members’ Equity</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4,389,475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4,300,573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62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1,547,506</w:t>
            </w:r>
          </w:p>
        </w:tc>
        <w:tc>
          <w:tcPr>
            <w:tcW w:w="10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1,384,671</w:t>
            </w:r>
          </w:p>
        </w:tc>
        <w:tc>
          <w:tcPr>
            <w:tcW w:w="18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1,298,364</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1,268,399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1,195,550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998,887</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7,201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5,449</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49,858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109,429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80,901</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2,878,914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2,696,851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2,383,601</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62,053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57,254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53,730</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1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2,816,861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2,639,597</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2,329,871</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1,508,813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1,507,332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1,338,819</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120,394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124,636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109,237</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108,373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88,943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82,975</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139,587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121,532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97,442</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45,191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42,772</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132,963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71,254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63,420</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(957)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32,539</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89,281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44,080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40,674</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2,157,578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2,005,844</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1,807,878</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659,283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633,753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521,993</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1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88,363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81,863</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49,673</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570,920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551,890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472,320</w:t>
            </w:r>
          </w:p>
        </w:tc>
        <w:tc>
          <w:tcPr>
            <w:tcW w:w="100" w:type="dxa"/>
            <w:vAlign w:val="bottom"/>
            <w:shd w:val="clear" w:color="auto" w:fill="CFF0FC"/>
          </w:tcPr>
          <w:p>
            <w:pPr>
              <w:spacing w:after="0"/>
              <w:rPr>
                <w:sz w:val="19"/>
                <w:szCs w:val="19"/>
                <w:color w:val="auto"/>
              </w:rPr>
            </w:pPr>
          </w:p>
        </w:tc>
      </w:tr>
      <w:tr>
        <w:trPr>
          <w:trHeight w:val="211"/>
        </w:trPr>
        <w:tc>
          <w:tcPr>
            <w:tcW w:w="5620" w:type="dxa"/>
            <w:vAlign w:val="bottom"/>
          </w:tcPr>
          <w:p>
            <w:pPr>
              <w:spacing w:after="0"/>
              <w:rPr>
                <w:sz w:val="20"/>
                <w:szCs w:val="20"/>
                <w:color w:val="auto"/>
              </w:rPr>
            </w:pPr>
            <w:r>
              <w:rPr>
                <w:rFonts w:ascii="Arial" w:cs="Arial" w:eastAsia="Arial" w:hAnsi="Arial"/>
                <w:sz w:val="18"/>
                <w:szCs w:val="18"/>
                <w:b w:val="1"/>
                <w:bCs w:val="1"/>
                <w:color w:val="auto"/>
              </w:rPr>
              <w:t>LESS - NET INCOME ATTRIBUTABLE TO</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11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w:t>
            </w:r>
          </w:p>
        </w:tc>
        <w:tc>
          <w:tcPr>
            <w:tcW w:w="1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5,993</w:t>
            </w:r>
          </w:p>
        </w:tc>
        <w:tc>
          <w:tcPr>
            <w:tcW w:w="100" w:type="dxa"/>
            <w:vAlign w:val="bottom"/>
            <w:tcBorders>
              <w:bottom w:val="single" w:sz="8" w:color="CFF0FC"/>
            </w:tcBorders>
          </w:tcPr>
          <w:p>
            <w:pPr>
              <w:spacing w:after="0"/>
              <w:rPr>
                <w:sz w:val="20"/>
                <w:szCs w:val="20"/>
                <w:color w:val="auto"/>
              </w:rPr>
            </w:pPr>
          </w:p>
        </w:tc>
      </w:tr>
      <w:tr>
        <w:trPr>
          <w:trHeight w:val="205"/>
        </w:trPr>
        <w:tc>
          <w:tcPr>
            <w:tcW w:w="56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INCOME ATTRIBUTABLE TO LAZARD GROUP</w:t>
            </w:r>
          </w:p>
        </w:tc>
        <w:tc>
          <w:tcPr>
            <w:tcW w:w="1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6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LLC</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565,597</w:t>
            </w:r>
          </w:p>
        </w:tc>
        <w:tc>
          <w:tcPr>
            <w:tcW w:w="1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545,627</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466,327</w:t>
            </w:r>
          </w:p>
        </w:tc>
        <w:tc>
          <w:tcPr>
            <w:tcW w:w="100" w:type="dxa"/>
            <w:vAlign w:val="bottom"/>
            <w:shd w:val="clear" w:color="auto" w:fill="CFF0FC"/>
          </w:tcPr>
          <w:p>
            <w:pPr>
              <w:spacing w:after="0"/>
              <w:rPr>
                <w:sz w:val="20"/>
                <w:szCs w:val="20"/>
                <w:color w:val="auto"/>
              </w:rPr>
            </w:pP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2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570,920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551,890</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472,320</w:t>
            </w:r>
          </w:p>
        </w:tc>
        <w:tc>
          <w:tcPr>
            <w:tcW w:w="120" w:type="dxa"/>
            <w:vAlign w:val="bottom"/>
            <w:shd w:val="clear" w:color="auto" w:fill="CFF0FC"/>
          </w:tcPr>
          <w:p>
            <w:pPr>
              <w:spacing w:after="0"/>
              <w:rPr>
                <w:sz w:val="19"/>
                <w:szCs w:val="19"/>
                <w:color w:val="auto"/>
              </w:rPr>
            </w:pPr>
          </w:p>
        </w:tc>
      </w:tr>
      <w:tr>
        <w:trPr>
          <w:trHeight w:val="205"/>
        </w:trPr>
        <w:tc>
          <w:tcPr>
            <w:tcW w:w="582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TAX:</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(39,039)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65,516</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(56,619)</w:t>
            </w: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5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Prior service costs (net of tax benefit of $543</w:t>
            </w: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for the year ended December 31, 2018)</w:t>
            </w: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(2,653)</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15"/>
        </w:trPr>
        <w:tc>
          <w:tcPr>
            <w:tcW w:w="5820" w:type="dxa"/>
            <w:vAlign w:val="bottom"/>
          </w:tcPr>
          <w:p>
            <w:pPr>
              <w:ind w:left="500"/>
              <w:spacing w:after="0"/>
              <w:rPr>
                <w:sz w:val="20"/>
                <w:szCs w:val="20"/>
                <w:color w:val="auto"/>
              </w:rPr>
            </w:pPr>
            <w:r>
              <w:rPr>
                <w:rFonts w:ascii="Arial" w:cs="Arial" w:eastAsia="Arial" w:hAnsi="Arial"/>
                <w:sz w:val="18"/>
                <w:szCs w:val="18"/>
                <w:color w:val="auto"/>
              </w:rPr>
              <w:t>Actuarial gain (loss) (net of tax benefit of $203, $3,475</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tcPr>
          <w:p>
            <w:pPr>
              <w:ind w:left="640"/>
              <w:spacing w:after="0"/>
              <w:rPr>
                <w:sz w:val="20"/>
                <w:szCs w:val="20"/>
                <w:color w:val="auto"/>
              </w:rPr>
            </w:pPr>
            <w:r>
              <w:rPr>
                <w:rFonts w:ascii="Arial" w:cs="Arial" w:eastAsia="Arial" w:hAnsi="Arial"/>
                <w:sz w:val="18"/>
                <w:szCs w:val="18"/>
                <w:color w:val="auto"/>
              </w:rPr>
              <w:t>and $2,754 for the years ended December 31, 2018, 2017</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20" w:type="dxa"/>
            <w:vAlign w:val="bottom"/>
          </w:tcPr>
          <w:p>
            <w:pPr>
              <w:ind w:left="640"/>
              <w:spacing w:after="0"/>
              <w:rPr>
                <w:sz w:val="20"/>
                <w:szCs w:val="20"/>
                <w:color w:val="auto"/>
              </w:rPr>
            </w:pPr>
            <w:r>
              <w:rPr>
                <w:rFonts w:ascii="Arial" w:cs="Arial" w:eastAsia="Arial" w:hAnsi="Arial"/>
                <w:sz w:val="18"/>
                <w:szCs w:val="18"/>
                <w:color w:val="auto"/>
              </w:rPr>
              <w:t>and 2016, respectively)</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(2,447)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2,054</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(26,924)</w:t>
            </w:r>
          </w:p>
        </w:tc>
      </w:tr>
      <w:tr>
        <w:trPr>
          <w:trHeight w:val="215"/>
        </w:trPr>
        <w:tc>
          <w:tcPr>
            <w:tcW w:w="5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 for items reclassified to earnings (net of tax</w:t>
            </w: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expense of $2,335, $2,220 and $1,757 for the years</w:t>
            </w: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ended December 31, 2018, 2017 and 2016, respectively)</w:t>
            </w:r>
          </w:p>
        </w:tc>
        <w:tc>
          <w:tcPr>
            <w:tcW w:w="10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7,951</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w:t>
            </w:r>
          </w:p>
        </w:tc>
        <w:tc>
          <w:tcPr>
            <w:tcW w:w="120" w:type="dxa"/>
            <w:vAlign w:val="bottom"/>
            <w:shd w:val="clear" w:color="auto" w:fill="CFF0FC"/>
          </w:tcPr>
          <w:p>
            <w:pPr>
              <w:spacing w:after="0"/>
              <w:rPr>
                <w:sz w:val="20"/>
                <w:szCs w:val="20"/>
                <w:color w:val="auto"/>
              </w:rPr>
            </w:pPr>
          </w:p>
        </w:tc>
      </w:tr>
      <w:tr>
        <w:trPr>
          <w:trHeight w:val="205"/>
        </w:trPr>
        <w:tc>
          <w:tcPr>
            <w:tcW w:w="582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(33,404)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75,521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(81,017)</w:t>
            </w: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w:t>
            </w:r>
          </w:p>
        </w:tc>
        <w:tc>
          <w:tcPr>
            <w:tcW w:w="10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537,516</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627,411</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391,303</w:t>
            </w:r>
          </w:p>
        </w:tc>
        <w:tc>
          <w:tcPr>
            <w:tcW w:w="120" w:type="dxa"/>
            <w:vAlign w:val="bottom"/>
            <w:tcBorders>
              <w:top w:val="single" w:sz="8" w:color="CFF0FC"/>
            </w:tcBorders>
            <w:shd w:val="clear" w:color="auto" w:fill="CFF0FC"/>
          </w:tcPr>
          <w:p>
            <w:pPr>
              <w:spacing w:after="0"/>
              <w:rPr>
                <w:sz w:val="19"/>
                <w:szCs w:val="19"/>
                <w:color w:val="auto"/>
              </w:rPr>
            </w:pPr>
          </w:p>
        </w:tc>
      </w:tr>
      <w:tr>
        <w:trPr>
          <w:trHeight w:val="211"/>
        </w:trPr>
        <w:tc>
          <w:tcPr>
            <w:tcW w:w="5820" w:type="dxa"/>
            <w:vAlign w:val="bottom"/>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82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10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6,265</w:t>
            </w:r>
          </w:p>
        </w:tc>
        <w:tc>
          <w:tcPr>
            <w:tcW w:w="20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5,993</w:t>
            </w:r>
          </w:p>
        </w:tc>
        <w:tc>
          <w:tcPr>
            <w:tcW w:w="120" w:type="dxa"/>
            <w:vAlign w:val="bottom"/>
            <w:tcBorders>
              <w:bottom w:val="single" w:sz="8" w:color="CFF0FC"/>
            </w:tcBorders>
          </w:tcPr>
          <w:p>
            <w:pPr>
              <w:spacing w:after="0"/>
              <w:rPr>
                <w:sz w:val="20"/>
                <w:szCs w:val="20"/>
                <w:color w:val="auto"/>
              </w:rPr>
            </w:pPr>
          </w:p>
        </w:tc>
      </w:tr>
      <w:tr>
        <w:trPr>
          <w:trHeight w:val="205"/>
        </w:trPr>
        <w:tc>
          <w:tcPr>
            <w:tcW w:w="58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LAZARD GROUP LLC</w:t>
            </w:r>
          </w:p>
        </w:tc>
        <w:tc>
          <w:tcPr>
            <w:tcW w:w="1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532,193</w:t>
            </w:r>
          </w:p>
        </w:tc>
        <w:tc>
          <w:tcPr>
            <w:tcW w:w="1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621,146</w:t>
            </w:r>
          </w:p>
        </w:tc>
        <w:tc>
          <w:tcPr>
            <w:tcW w:w="2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385,310</w:t>
            </w:r>
          </w:p>
        </w:tc>
        <w:tc>
          <w:tcPr>
            <w:tcW w:w="120" w:type="dxa"/>
            <w:vAlign w:val="bottom"/>
            <w:shd w:val="clear" w:color="auto" w:fill="CFF0FC"/>
          </w:tcPr>
          <w:p>
            <w:pPr>
              <w:spacing w:after="0"/>
              <w:rPr>
                <w:sz w:val="20"/>
                <w:szCs w:val="20"/>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Net income</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570,920</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551,890</w:t>
            </w:r>
          </w:p>
        </w:tc>
        <w:tc>
          <w:tcPr>
            <w:tcW w:w="2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472,320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33,778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31,491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expenses and share-based incentive</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ind w:left="620"/>
              <w:spacing w:after="0"/>
              <w:rPr>
                <w:sz w:val="20"/>
                <w:szCs w:val="20"/>
                <w:color w:val="auto"/>
              </w:rPr>
            </w:pPr>
            <w:r>
              <w:rPr>
                <w:rFonts w:ascii="Arial" w:cs="Arial" w:eastAsia="Arial" w:hAnsi="Arial"/>
                <w:sz w:val="16"/>
                <w:szCs w:val="16"/>
                <w:color w:val="auto"/>
              </w:rPr>
              <w:t>compensation</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369,888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358,039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340,903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Amortization and other acquisition-related (benefits) costs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(957)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2,876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 provision (benefit)</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(9,337)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16,385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(5,225)</w:t>
            </w: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Loss on extinguishment of debt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Gain on acquisition of portion of business already owned</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(12,668)</w:t>
            </w:r>
          </w:p>
        </w:tc>
        <w:tc>
          <w:tcPr>
            <w:tcW w:w="0" w:type="dxa"/>
            <w:vAlign w:val="bottom"/>
          </w:tcPr>
          <w:p>
            <w:pPr>
              <w:spacing w:after="0"/>
              <w:rPr>
                <w:sz w:val="1"/>
                <w:szCs w:val="1"/>
                <w:color w:val="auto"/>
              </w:rPr>
            </w:pPr>
          </w:p>
        </w:tc>
      </w:tr>
      <w:tr>
        <w:trPr>
          <w:trHeight w:val="206"/>
        </w:trPr>
        <w:tc>
          <w:tcPr>
            <w:tcW w:w="5840" w:type="dxa"/>
            <w:vAlign w:val="bottom"/>
          </w:tcPr>
          <w:p>
            <w:pPr>
              <w:ind w:left="260"/>
              <w:spacing w:after="0"/>
              <w:rPr>
                <w:sz w:val="20"/>
                <w:szCs w:val="20"/>
                <w:color w:val="auto"/>
              </w:rPr>
            </w:pPr>
            <w:r>
              <w:rPr>
                <w:rFonts w:ascii="Arial" w:cs="Arial" w:eastAsia="Arial" w:hAnsi="Arial"/>
                <w:sz w:val="16"/>
                <w:szCs w:val="16"/>
                <w:color w:val="auto"/>
              </w:rPr>
              <w:t>(Increase) decrease in operating assets and increase (decrease) in</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380"/>
              <w:spacing w:after="0"/>
              <w:rPr>
                <w:sz w:val="20"/>
                <w:szCs w:val="20"/>
                <w:color w:val="auto"/>
              </w:rPr>
            </w:pPr>
            <w:r>
              <w:rPr>
                <w:rFonts w:ascii="Arial" w:cs="Arial" w:eastAsia="Arial" w:hAnsi="Arial"/>
                <w:sz w:val="16"/>
                <w:szCs w:val="16"/>
                <w:color w:val="auto"/>
              </w:rPr>
              <w:t>operating liabilities: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Receivables-net</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(133,156)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107,543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(76,014)</w:t>
            </w: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Investments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(150,839)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28,922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(139,952)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(79,120)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(53,391)</w:t>
            </w: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Accrued compensation and benefits and other liabilities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160,258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31,373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(128,990)</w:t>
            </w:r>
          </w:p>
        </w:tc>
        <w:tc>
          <w:tcPr>
            <w:tcW w:w="0" w:type="dxa"/>
            <w:vAlign w:val="bottom"/>
          </w:tcPr>
          <w:p>
            <w:pPr>
              <w:spacing w:after="0"/>
              <w:rPr>
                <w:sz w:val="1"/>
                <w:szCs w:val="1"/>
                <w:color w:val="auto"/>
              </w:rPr>
            </w:pPr>
          </w:p>
        </w:tc>
      </w:tr>
      <w:tr>
        <w:trPr>
          <w:trHeight w:val="213"/>
        </w:trPr>
        <w:tc>
          <w:tcPr>
            <w:tcW w:w="58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707,126</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1,049,399</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666,243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Additions to property</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(49,390)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(26,234)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(38,749)</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Disposals of property</w:t>
            </w:r>
          </w:p>
        </w:tc>
        <w:tc>
          <w:tcPr>
            <w:tcW w:w="10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3,384</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used in investing activities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(46,006)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(25,484)</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(37,653)</w:t>
            </w:r>
          </w:p>
        </w:tc>
        <w:tc>
          <w:tcPr>
            <w:tcW w:w="0" w:type="dxa"/>
            <w:vAlign w:val="bottom"/>
          </w:tcPr>
          <w:p>
            <w:pPr>
              <w:spacing w:after="0"/>
              <w:rPr>
                <w:sz w:val="1"/>
                <w:szCs w:val="1"/>
                <w:color w:val="auto"/>
              </w:rPr>
            </w:pPr>
          </w:p>
        </w:tc>
      </w:tr>
      <w:tr>
        <w:trPr>
          <w:trHeight w:val="207"/>
        </w:trPr>
        <w:tc>
          <w:tcPr>
            <w:tcW w:w="58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Customer deposits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112,061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421,885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Contributions from noncontrolling interests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Issuance of senior debt, net of expenses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490,970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296,757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Excess tax benefits from share-based incentive compensation</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Other financing activities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for:</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Senior debt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(255,543)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(101,441)</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Capital lease obligations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(7,337)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Distributions to noncontrolling interests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(12,879)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(5,133)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(1,981)</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 of Class A common stock</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(552,872)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(310,872)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(300,217)</w:t>
            </w: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Distribution to members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(448,912)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(346,072)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(301,262)</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Settlement of share-based incentive compensation</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(110,361)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(67,899)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(56,078)</w:t>
            </w: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Other financing activities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(6,339)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(11,044)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(4,797)</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840" w:type="dxa"/>
            <w:vAlign w:val="bottom"/>
            <w:vMerge w:val="continue"/>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(782,237)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(326,472)</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(434,792)</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20"/>
                <w:szCs w:val="20"/>
                <w:color w:val="auto"/>
              </w:rPr>
            </w:pPr>
            <w:r>
              <w:rPr>
                <w:rFonts w:ascii="Arial" w:cs="Arial" w:eastAsia="Arial" w:hAnsi="Arial"/>
                <w:sz w:val="16"/>
                <w:szCs w:val="16"/>
                <w:b w:val="1"/>
                <w:bCs w:val="1"/>
                <w:color w:val="auto"/>
              </w:rPr>
              <w:t>EFFECT OF EXCHANGE RATE CHANGES ON CASH AND</w:t>
            </w:r>
          </w:p>
        </w:tc>
        <w:tc>
          <w:tcPr>
            <w:tcW w:w="10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120"/>
              <w:spacing w:after="0"/>
              <w:rPr>
                <w:sz w:val="20"/>
                <w:szCs w:val="20"/>
                <w:color w:val="auto"/>
              </w:rPr>
            </w:pPr>
            <w:r>
              <w:rPr>
                <w:rFonts w:ascii="Arial" w:cs="Arial" w:eastAsia="Arial" w:hAnsi="Arial"/>
                <w:sz w:val="16"/>
                <w:szCs w:val="16"/>
                <w:b w:val="1"/>
                <w:bCs w:val="1"/>
                <w:color w:val="auto"/>
              </w:rPr>
              <w:t>CASH EQUIVALENTS AND RESTRICTED CASH</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(89,761)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163,685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(64,313)</w:t>
            </w:r>
          </w:p>
        </w:tc>
        <w:tc>
          <w:tcPr>
            <w:tcW w:w="0" w:type="dxa"/>
            <w:vAlign w:val="bottom"/>
          </w:tcPr>
          <w:p>
            <w:pPr>
              <w:spacing w:after="0"/>
              <w:rPr>
                <w:sz w:val="1"/>
                <w:szCs w:val="1"/>
                <w:color w:val="auto"/>
              </w:rPr>
            </w:pPr>
          </w:p>
        </w:tc>
      </w:tr>
      <w:tr>
        <w:trPr>
          <w:trHeight w:val="199"/>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INCREASE (DECREASE) IN CASH AND</w:t>
            </w:r>
          </w:p>
        </w:tc>
        <w:tc>
          <w:tcPr>
            <w:tcW w:w="10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CASH EQUIVALENTS AND RESTRICTED CASH</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(210,878)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861,128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129,485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40" w:type="dxa"/>
            <w:vAlign w:val="bottom"/>
          </w:tcPr>
          <w:p>
            <w:pPr>
              <w:spacing w:after="0"/>
              <w:rPr>
                <w:sz w:val="20"/>
                <w:szCs w:val="20"/>
                <w:color w:val="auto"/>
              </w:rPr>
            </w:pPr>
            <w:r>
              <w:rPr>
                <w:rFonts w:ascii="Arial" w:cs="Arial" w:eastAsia="Arial" w:hAnsi="Arial"/>
                <w:sz w:val="16"/>
                <w:szCs w:val="16"/>
                <w:b w:val="1"/>
                <w:bCs w:val="1"/>
                <w:color w:val="auto"/>
              </w:rPr>
              <w:t>CASH AND CASH EQUIVALENTS AND RESTRICTED CASH—</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January 1</w:t>
            </w:r>
          </w:p>
        </w:tc>
        <w:tc>
          <w:tcPr>
            <w:tcW w:w="10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2,441,266</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1,580,138</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1,450,653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AND RESTRICTED CASH—</w:t>
            </w: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December 31</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2,230,388</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2,441,266</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1,580,138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RECONCILIATION OF CASH AND CASH EQUIVALENTS AND</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RESTRICTED CASH WITHIN THE CONSOLIDATED</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STATEMENTS OF FINANCIAL CONDITION: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0"/>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0"/>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0"/>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48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1,185,040</w:t>
            </w:r>
          </w:p>
        </w:tc>
        <w:tc>
          <w:tcPr>
            <w:tcW w:w="56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1,470,296</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1,131,440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gridSpan w:val="2"/>
          </w:tcPr>
          <w:p>
            <w:pPr>
              <w:spacing w:after="0"/>
              <w:rPr>
                <w:sz w:val="20"/>
                <w:szCs w:val="20"/>
                <w:color w:val="auto"/>
              </w:rPr>
            </w:pPr>
            <w:r>
              <w:rPr>
                <w:rFonts w:ascii="Arial" w:cs="Arial" w:eastAsia="Arial" w:hAnsi="Arial"/>
                <w:sz w:val="16"/>
                <w:szCs w:val="16"/>
                <w:color w:val="auto"/>
              </w:rPr>
              <w:t>Deposits with banks and short-term investments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1,006,969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935,431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419,668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Cash deposited with clearing organizations and other segregated cash</w:t>
            </w:r>
          </w:p>
        </w:tc>
        <w:tc>
          <w:tcPr>
            <w:tcW w:w="1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38,379</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35,539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80" w:type="dxa"/>
            <w:vAlign w:val="bottom"/>
            <w:gridSpan w:val="2"/>
          </w:tcPr>
          <w:p>
            <w:pPr>
              <w:spacing w:after="0"/>
              <w:rPr>
                <w:sz w:val="20"/>
                <w:szCs w:val="20"/>
                <w:color w:val="auto"/>
              </w:rPr>
            </w:pPr>
            <w:r>
              <w:rPr>
                <w:rFonts w:ascii="Arial" w:cs="Arial" w:eastAsia="Arial" w:hAnsi="Arial"/>
                <w:sz w:val="16"/>
                <w:szCs w:val="16"/>
                <w:b w:val="1"/>
                <w:bCs w:val="1"/>
                <w:color w:val="auto"/>
              </w:rPr>
              <w:t>TOTAL CASH AND CASH EQUIVALENTS AND</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660" w:type="dxa"/>
            <w:vAlign w:val="bottom"/>
          </w:tcPr>
          <w:p>
            <w:pPr>
              <w:ind w:left="100"/>
              <w:spacing w:after="0"/>
              <w:rPr>
                <w:sz w:val="20"/>
                <w:szCs w:val="20"/>
                <w:color w:val="auto"/>
              </w:rPr>
            </w:pPr>
            <w:r>
              <w:rPr>
                <w:rFonts w:ascii="Arial" w:cs="Arial" w:eastAsia="Arial" w:hAnsi="Arial"/>
                <w:sz w:val="16"/>
                <w:szCs w:val="16"/>
                <w:b w:val="1"/>
                <w:bCs w:val="1"/>
                <w:color w:val="auto"/>
              </w:rPr>
              <w:t>RESTRICTED CASH</w:t>
            </w:r>
          </w:p>
        </w:tc>
        <w:tc>
          <w:tcPr>
            <w:tcW w:w="148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2,230,388</w:t>
            </w:r>
          </w:p>
        </w:tc>
        <w:tc>
          <w:tcPr>
            <w:tcW w:w="56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2,441,266</w:t>
            </w:r>
          </w:p>
        </w:tc>
        <w:tc>
          <w:tcPr>
            <w:tcW w:w="220" w:type="dxa"/>
            <w:vAlign w:val="bottom"/>
          </w:tcPr>
          <w:p>
            <w:pPr>
              <w:spacing w:after="0"/>
              <w:rPr>
                <w:sz w:val="22"/>
                <w:szCs w:val="2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1,580,138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660" w:type="dxa"/>
            <w:vAlign w:val="bottom"/>
            <w:tcBorders>
              <w:top w:val="single" w:sz="8" w:color="CFF0FC"/>
            </w:tcBorders>
            <w:shd w:val="clear" w:color="auto" w:fill="CFF0FC"/>
          </w:tcPr>
          <w:p>
            <w:pPr>
              <w:spacing w:after="0"/>
              <w:rPr>
                <w:sz w:val="17"/>
                <w:szCs w:val="17"/>
                <w:color w:val="auto"/>
              </w:rPr>
            </w:pPr>
          </w:p>
        </w:tc>
        <w:tc>
          <w:tcPr>
            <w:tcW w:w="11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tcPr>
          <w:p>
            <w:pPr>
              <w:spacing w:after="0"/>
              <w:rPr>
                <w:sz w:val="20"/>
                <w:szCs w:val="20"/>
                <w:color w:val="auto"/>
              </w:rPr>
            </w:pPr>
            <w:r>
              <w:rPr>
                <w:rFonts w:ascii="Arial" w:cs="Arial" w:eastAsia="Arial" w:hAnsi="Arial"/>
                <w:sz w:val="16"/>
                <w:szCs w:val="16"/>
                <w:b w:val="1"/>
                <w:bCs w:val="1"/>
                <w:color w:val="auto"/>
              </w:rPr>
              <w:t>SUPPLEMENTAL DISCLOSURES OF CASH FLOW</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ind w:left="100"/>
              <w:spacing w:after="0"/>
              <w:rPr>
                <w:sz w:val="20"/>
                <w:szCs w:val="20"/>
                <w:color w:val="auto"/>
              </w:rPr>
            </w:pPr>
            <w:r>
              <w:rPr>
                <w:rFonts w:ascii="Arial" w:cs="Arial" w:eastAsia="Arial" w:hAnsi="Arial"/>
                <w:sz w:val="16"/>
                <w:szCs w:val="16"/>
                <w:b w:val="1"/>
                <w:bCs w:val="1"/>
                <w:color w:val="auto"/>
              </w:rPr>
              <w:t>INFORMATION:</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paid during the year for:</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660" w:type="dxa"/>
            <w:vAlign w:val="bottom"/>
          </w:tcPr>
          <w:p>
            <w:pPr>
              <w:ind w:left="240"/>
              <w:spacing w:after="0"/>
              <w:rPr>
                <w:sz w:val="20"/>
                <w:szCs w:val="20"/>
                <w:color w:val="auto"/>
              </w:rPr>
            </w:pPr>
            <w:r>
              <w:rPr>
                <w:rFonts w:ascii="Arial" w:cs="Arial" w:eastAsia="Arial" w:hAnsi="Arial"/>
                <w:sz w:val="16"/>
                <w:szCs w:val="16"/>
                <w:color w:val="auto"/>
              </w:rPr>
              <w:t>Interest</w:t>
            </w:r>
          </w:p>
        </w:tc>
        <w:tc>
          <w:tcPr>
            <w:tcW w:w="1180" w:type="dxa"/>
            <w:vAlign w:val="bottom"/>
          </w:tcPr>
          <w:p>
            <w:pPr>
              <w:spacing w:after="0"/>
              <w:rPr>
                <w:sz w:val="20"/>
                <w:szCs w:val="20"/>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50,696</w:t>
            </w:r>
          </w:p>
        </w:tc>
        <w:tc>
          <w:tcPr>
            <w:tcW w:w="260" w:type="dxa"/>
            <w:vAlign w:val="bottom"/>
          </w:tcPr>
          <w:p>
            <w:pPr>
              <w:spacing w:after="0"/>
              <w:rPr>
                <w:sz w:val="20"/>
                <w:szCs w:val="20"/>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49,502</w:t>
            </w:r>
          </w:p>
        </w:tc>
        <w:tc>
          <w:tcPr>
            <w:tcW w:w="220" w:type="dxa"/>
            <w:vAlign w:val="bottom"/>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49,700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6"/>
                <w:szCs w:val="16"/>
                <w:color w:val="auto"/>
              </w:rPr>
              <w:t>Income taxes, net of refunds</w:t>
            </w: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vMerge w:val="continue"/>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94,069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53,337</w:t>
            </w:r>
          </w:p>
        </w:tc>
        <w:tc>
          <w:tcPr>
            <w:tcW w:w="2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74" w:name="page75"/>
    <w:bookmarkEnd w:id="7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Comprehensive</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Lazard Group</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3"/>
              </w:rPr>
              <w:t>Total</w:t>
            </w:r>
          </w:p>
        </w:tc>
      </w:tr>
      <w:tr>
        <w:trPr>
          <w:trHeight w:val="149"/>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9"/>
              </w:rPr>
              <w:t>Members'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Income (Loss),</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Members'</w:t>
            </w:r>
          </w:p>
        </w:tc>
        <w:tc>
          <w:tcPr>
            <w:tcW w:w="100" w:type="dxa"/>
            <w:vAlign w:val="bottom"/>
          </w:tcPr>
          <w:p>
            <w:pPr>
              <w:spacing w:after="0"/>
              <w:rPr>
                <w:sz w:val="12"/>
                <w:szCs w:val="12"/>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6"/>
              </w:rPr>
              <w:t>Noncontrolling</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Members'</w:t>
            </w:r>
          </w:p>
        </w:tc>
      </w:tr>
      <w:tr>
        <w:trPr>
          <w:trHeight w:val="153"/>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Net of Tax</w:t>
            </w:r>
          </w:p>
        </w:tc>
        <w:tc>
          <w:tcPr>
            <w:tcW w:w="8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3"/>
                <w:szCs w:val="13"/>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Interests</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Equity</w:t>
            </w:r>
          </w:p>
        </w:tc>
      </w:tr>
      <w:tr>
        <w:trPr>
          <w:trHeight w:val="156"/>
        </w:trPr>
        <w:tc>
          <w:tcPr>
            <w:tcW w:w="52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January 1, 2016</w:t>
            </w: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839,517</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(189,758)</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649,759</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53,141</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702,900</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Comprehensive income (loss):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466,327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466,327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472,320</w:t>
            </w:r>
          </w:p>
        </w:tc>
        <w:tc>
          <w:tcPr>
            <w:tcW w:w="100" w:type="dxa"/>
            <w:vAlign w:val="bottom"/>
            <w:shd w:val="clear" w:color="auto" w:fill="CFF0FC"/>
          </w:tcPr>
          <w:p>
            <w:pPr>
              <w:spacing w:after="0"/>
              <w:rPr>
                <w:sz w:val="14"/>
                <w:szCs w:val="14"/>
                <w:color w:val="auto"/>
              </w:rPr>
            </w:pPr>
          </w:p>
        </w:tc>
      </w:tr>
      <w:tr>
        <w:trPr>
          <w:trHeight w:val="162"/>
        </w:trPr>
        <w:tc>
          <w:tcPr>
            <w:tcW w:w="5280" w:type="dxa"/>
            <w:vAlign w:val="bottom"/>
          </w:tcPr>
          <w:p>
            <w:pPr>
              <w:ind w:left="260"/>
              <w:spacing w:after="0"/>
              <w:rPr>
                <w:sz w:val="20"/>
                <w:szCs w:val="20"/>
                <w:color w:val="auto"/>
              </w:rPr>
            </w:pPr>
            <w:r>
              <w:rPr>
                <w:rFonts w:ascii="Arial" w:cs="Arial" w:eastAsia="Arial" w:hAnsi="Arial"/>
                <w:sz w:val="14"/>
                <w:szCs w:val="14"/>
                <w:color w:val="auto"/>
              </w:rPr>
              <w:t>Other comprehensive loss - net of tax</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(81,017)</w:t>
            </w:r>
          </w:p>
        </w:tc>
        <w:tc>
          <w:tcPr>
            <w:tcW w:w="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(81,017)</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(81,017)</w:t>
            </w:r>
          </w:p>
        </w:tc>
      </w:tr>
      <w:tr>
        <w:trPr>
          <w:trHeight w:val="143"/>
        </w:trPr>
        <w:tc>
          <w:tcPr>
            <w:tcW w:w="52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Amortization of share-based incentive</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compensation</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261,462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261,462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261,462</w:t>
            </w:r>
          </w:p>
        </w:tc>
        <w:tc>
          <w:tcPr>
            <w:tcW w:w="100" w:type="dxa"/>
            <w:vAlign w:val="bottom"/>
            <w:shd w:val="clear" w:color="auto" w:fill="CFF0FC"/>
          </w:tcPr>
          <w:p>
            <w:pPr>
              <w:spacing w:after="0"/>
              <w:rPr>
                <w:sz w:val="14"/>
                <w:szCs w:val="14"/>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Distributions to members and noncontrolling interests, net</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(301,262)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(301,262)</w:t>
            </w:r>
          </w:p>
        </w:tc>
        <w:tc>
          <w:tcPr>
            <w:tcW w:w="10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(1,888)</w:t>
            </w:r>
          </w:p>
        </w:tc>
        <w:tc>
          <w:tcPr>
            <w:tcW w:w="1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(303,150)</w:t>
            </w: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Purchase of Class A common stock</w:t>
            </w: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(300,217)</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(300,217)</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(300,217)</w:t>
            </w:r>
          </w:p>
        </w:tc>
      </w:tr>
      <w:tr>
        <w:trPr>
          <w:trHeight w:val="143"/>
        </w:trPr>
        <w:tc>
          <w:tcPr>
            <w:tcW w:w="5280" w:type="dxa"/>
            <w:vAlign w:val="bottom"/>
          </w:tcPr>
          <w:p>
            <w:pPr>
              <w:spacing w:after="0" w:line="143" w:lineRule="exact"/>
              <w:rPr>
                <w:sz w:val="20"/>
                <w:szCs w:val="20"/>
                <w:color w:val="auto"/>
              </w:rPr>
            </w:pPr>
            <w:r>
              <w:rPr>
                <w:rFonts w:ascii="Arial" w:cs="Arial" w:eastAsia="Arial" w:hAnsi="Arial"/>
                <w:sz w:val="14"/>
                <w:szCs w:val="14"/>
                <w:color w:val="auto"/>
              </w:rPr>
              <w:t>Delivery of Class A common stock in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8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share-based incentive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80" w:type="dxa"/>
            <w:vAlign w:val="bottom"/>
          </w:tcPr>
          <w:p>
            <w:pPr>
              <w:ind w:left="120"/>
              <w:spacing w:after="0" w:line="149" w:lineRule="exact"/>
              <w:rPr>
                <w:sz w:val="20"/>
                <w:szCs w:val="20"/>
                <w:color w:val="auto"/>
              </w:rPr>
            </w:pPr>
            <w:r>
              <w:rPr>
                <w:rFonts w:ascii="Arial" w:cs="Arial" w:eastAsia="Arial" w:hAnsi="Arial"/>
                <w:sz w:val="14"/>
                <w:szCs w:val="14"/>
                <w:color w:val="auto"/>
              </w:rPr>
              <w:t>compensation and related tax expense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280" w:type="dxa"/>
            <w:vAlign w:val="bottom"/>
          </w:tcPr>
          <w:p>
            <w:pPr>
              <w:ind w:left="120"/>
              <w:spacing w:after="0"/>
              <w:rPr>
                <w:sz w:val="20"/>
                <w:szCs w:val="20"/>
                <w:color w:val="auto"/>
              </w:rPr>
            </w:pPr>
            <w:r>
              <w:rPr>
                <w:rFonts w:ascii="Arial" w:cs="Arial" w:eastAsia="Arial" w:hAnsi="Arial"/>
                <w:sz w:val="14"/>
                <w:szCs w:val="14"/>
                <w:color w:val="auto"/>
              </w:rPr>
              <w:t>of $220</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(56,298)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(56,298)</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(56,298)</w:t>
            </w: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Business acquisitions and related equity transactions:</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3"/>
        </w:trPr>
        <w:tc>
          <w:tcPr>
            <w:tcW w:w="5280" w:type="dxa"/>
            <w:vAlign w:val="bottom"/>
          </w:tcPr>
          <w:p>
            <w:pPr>
              <w:ind w:left="140"/>
              <w:spacing w:after="0" w:line="143" w:lineRule="exact"/>
              <w:rPr>
                <w:sz w:val="20"/>
                <w:szCs w:val="20"/>
                <w:color w:val="auto"/>
              </w:rPr>
            </w:pPr>
            <w:r>
              <w:rPr>
                <w:rFonts w:ascii="Arial" w:cs="Arial" w:eastAsia="Arial" w:hAnsi="Arial"/>
                <w:sz w:val="14"/>
                <w:szCs w:val="14"/>
                <w:color w:val="auto"/>
              </w:rPr>
              <w:t>Delivery of Class A common stock and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280" w:type="dxa"/>
            <w:vAlign w:val="bottom"/>
          </w:tcPr>
          <w:p>
            <w:pPr>
              <w:ind w:left="240"/>
              <w:spacing w:after="0"/>
              <w:rPr>
                <w:sz w:val="20"/>
                <w:szCs w:val="20"/>
                <w:color w:val="auto"/>
              </w:rPr>
            </w:pPr>
            <w:r>
              <w:rPr>
                <w:rFonts w:ascii="Arial" w:cs="Arial" w:eastAsia="Arial" w:hAnsi="Arial"/>
                <w:sz w:val="14"/>
                <w:szCs w:val="14"/>
                <w:color w:val="auto"/>
              </w:rPr>
              <w:t>related tax benefit of $3</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3,390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3,390</w:t>
            </w:r>
          </w:p>
        </w:tc>
        <w:tc>
          <w:tcPr>
            <w:tcW w:w="100" w:type="dxa"/>
            <w:vAlign w:val="bottom"/>
          </w:tcPr>
          <w:p>
            <w:pPr>
              <w:spacing w:after="0"/>
              <w:rPr>
                <w:sz w:val="14"/>
                <w:szCs w:val="14"/>
                <w:color w:val="auto"/>
              </w:rPr>
            </w:pPr>
          </w:p>
        </w:tc>
      </w:tr>
      <w:tr>
        <w:trPr>
          <w:trHeight w:val="143"/>
        </w:trPr>
        <w:tc>
          <w:tcPr>
            <w:tcW w:w="528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Class A common stock issuable</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2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(including related amortization)</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31,139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31,139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31,139</w:t>
            </w:r>
          </w:p>
        </w:tc>
        <w:tc>
          <w:tcPr>
            <w:tcW w:w="100" w:type="dxa"/>
            <w:vAlign w:val="bottom"/>
            <w:shd w:val="clear" w:color="auto" w:fill="CFF0FC"/>
          </w:tcPr>
          <w:p>
            <w:pPr>
              <w:spacing w:after="0"/>
              <w:rPr>
                <w:sz w:val="14"/>
                <w:szCs w:val="14"/>
                <w:color w:val="auto"/>
              </w:rPr>
            </w:pPr>
          </w:p>
        </w:tc>
      </w:tr>
      <w:tr>
        <w:trPr>
          <w:trHeight w:val="162"/>
        </w:trPr>
        <w:tc>
          <w:tcPr>
            <w:tcW w:w="52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5,611</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5,611</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5,611</w:t>
            </w:r>
          </w:p>
        </w:tc>
        <w:tc>
          <w:tcPr>
            <w:tcW w:w="100" w:type="dxa"/>
            <w:vAlign w:val="bottom"/>
            <w:tcBorders>
              <w:bottom w:val="single" w:sz="8" w:color="CFF0FC"/>
            </w:tcBorders>
          </w:tcPr>
          <w:p>
            <w:pPr>
              <w:spacing w:after="0"/>
              <w:rPr>
                <w:sz w:val="14"/>
                <w:szCs w:val="14"/>
                <w:color w:val="auto"/>
              </w:rPr>
            </w:pPr>
          </w:p>
        </w:tc>
      </w:tr>
      <w:tr>
        <w:trPr>
          <w:trHeight w:val="156"/>
        </w:trPr>
        <w:tc>
          <w:tcPr>
            <w:tcW w:w="52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December 31, 2016 (*)</w:t>
            </w: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949,669</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(270,775)</w:t>
            </w:r>
          </w:p>
        </w:tc>
        <w:tc>
          <w:tcPr>
            <w:tcW w:w="2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678,894</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57,246</w:t>
            </w: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736,140</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At December 31, 2016, in addition to profit participation interests, there were two managing member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1150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5" w:name="page76"/>
    <w:bookmarkEnd w:id="7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Comprehensive</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Lazard Group</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3"/>
              </w:rPr>
              <w:t>Total</w:t>
            </w:r>
          </w:p>
        </w:tc>
      </w:tr>
      <w:tr>
        <w:trPr>
          <w:trHeight w:val="149"/>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9"/>
              </w:rPr>
              <w:t>Members'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Income (Loss),</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Members’</w:t>
            </w:r>
          </w:p>
        </w:tc>
        <w:tc>
          <w:tcPr>
            <w:tcW w:w="100" w:type="dxa"/>
            <w:vAlign w:val="bottom"/>
          </w:tcPr>
          <w:p>
            <w:pPr>
              <w:spacing w:after="0"/>
              <w:rPr>
                <w:sz w:val="12"/>
                <w:szCs w:val="12"/>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6"/>
              </w:rPr>
              <w:t>Noncontrolling</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Members’</w:t>
            </w:r>
          </w:p>
        </w:tc>
      </w:tr>
      <w:tr>
        <w:trPr>
          <w:trHeight w:val="153"/>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Net of Tax</w:t>
            </w:r>
          </w:p>
        </w:tc>
        <w:tc>
          <w:tcPr>
            <w:tcW w:w="8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3"/>
                <w:szCs w:val="13"/>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Interests</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Equity</w:t>
            </w:r>
          </w:p>
        </w:tc>
      </w:tr>
      <w:tr>
        <w:trPr>
          <w:trHeight w:val="156"/>
        </w:trPr>
        <w:tc>
          <w:tcPr>
            <w:tcW w:w="52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January 1, 2017</w:t>
            </w: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949,669</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(270,775)</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678,894</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57,246</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736,140</w:t>
            </w:r>
          </w:p>
        </w:tc>
        <w:tc>
          <w:tcPr>
            <w:tcW w:w="100" w:type="dxa"/>
            <w:vAlign w:val="bottom"/>
            <w:tcBorders>
              <w:top w:val="single" w:sz="8" w:color="CFF0FC"/>
            </w:tcBorders>
            <w:shd w:val="clear" w:color="auto" w:fill="CFF0FC"/>
          </w:tcPr>
          <w:p>
            <w:pPr>
              <w:spacing w:after="0"/>
              <w:rPr>
                <w:sz w:val="13"/>
                <w:szCs w:val="13"/>
                <w:color w:val="auto"/>
              </w:rPr>
            </w:pPr>
          </w:p>
        </w:tc>
      </w:tr>
      <w:tr>
        <w:trPr>
          <w:trHeight w:val="143"/>
        </w:trPr>
        <w:tc>
          <w:tcPr>
            <w:tcW w:w="5280" w:type="dxa"/>
            <w:vAlign w:val="bottom"/>
          </w:tcPr>
          <w:p>
            <w:pPr>
              <w:spacing w:after="0" w:line="143" w:lineRule="exact"/>
              <w:rPr>
                <w:sz w:val="20"/>
                <w:szCs w:val="20"/>
                <w:color w:val="auto"/>
              </w:rPr>
            </w:pPr>
            <w:r>
              <w:rPr>
                <w:rFonts w:ascii="Arial" w:cs="Arial" w:eastAsia="Arial" w:hAnsi="Arial"/>
                <w:sz w:val="14"/>
                <w:szCs w:val="14"/>
                <w:color w:val="auto"/>
              </w:rPr>
              <w:t>Adjustment for the cumulative effect on prior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80" w:type="dxa"/>
            <w:vAlign w:val="bottom"/>
          </w:tcPr>
          <w:p>
            <w:pPr>
              <w:ind w:left="120"/>
              <w:spacing w:after="0" w:line="149" w:lineRule="exact"/>
              <w:rPr>
                <w:sz w:val="20"/>
                <w:szCs w:val="20"/>
                <w:color w:val="auto"/>
              </w:rPr>
            </w:pPr>
            <w:r>
              <w:rPr>
                <w:rFonts w:ascii="Arial" w:cs="Arial" w:eastAsia="Arial" w:hAnsi="Arial"/>
                <w:sz w:val="14"/>
                <w:szCs w:val="14"/>
                <w:color w:val="auto"/>
              </w:rPr>
              <w:t>years from the adoption of new accounting</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80" w:type="dxa"/>
            <w:vAlign w:val="bottom"/>
          </w:tcPr>
          <w:p>
            <w:pPr>
              <w:ind w:left="120"/>
              <w:spacing w:after="0" w:line="149" w:lineRule="exact"/>
              <w:rPr>
                <w:sz w:val="20"/>
                <w:szCs w:val="20"/>
                <w:color w:val="auto"/>
              </w:rPr>
            </w:pPr>
            <w:r>
              <w:rPr>
                <w:rFonts w:ascii="Arial" w:cs="Arial" w:eastAsia="Arial" w:hAnsi="Arial"/>
                <w:sz w:val="14"/>
                <w:szCs w:val="14"/>
                <w:color w:val="auto"/>
              </w:rPr>
              <w:t>guidance related to share-based incentive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280" w:type="dxa"/>
            <w:vAlign w:val="bottom"/>
            <w:tcBorders>
              <w:bottom w:val="single" w:sz="8" w:color="CFF0FC"/>
            </w:tcBorders>
          </w:tcPr>
          <w:p>
            <w:pPr>
              <w:ind w:left="120"/>
              <w:spacing w:after="0"/>
              <w:rPr>
                <w:sz w:val="20"/>
                <w:szCs w:val="20"/>
                <w:color w:val="auto"/>
              </w:rPr>
            </w:pPr>
            <w:r>
              <w:rPr>
                <w:rFonts w:ascii="Arial" w:cs="Arial" w:eastAsia="Arial" w:hAnsi="Arial"/>
                <w:sz w:val="14"/>
                <w:szCs w:val="14"/>
                <w:color w:val="auto"/>
              </w:rPr>
              <w:t>compensation</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4,945</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4,945</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4,945</w:t>
            </w:r>
          </w:p>
        </w:tc>
        <w:tc>
          <w:tcPr>
            <w:tcW w:w="100" w:type="dxa"/>
            <w:vAlign w:val="bottom"/>
            <w:tcBorders>
              <w:bottom w:val="single" w:sz="8" w:color="CFF0FC"/>
            </w:tcBorders>
          </w:tcPr>
          <w:p>
            <w:pPr>
              <w:spacing w:after="0"/>
              <w:rPr>
                <w:sz w:val="14"/>
                <w:szCs w:val="14"/>
                <w:color w:val="auto"/>
              </w:rPr>
            </w:pPr>
          </w:p>
        </w:tc>
      </w:tr>
      <w:tr>
        <w:trPr>
          <w:trHeight w:val="156"/>
        </w:trPr>
        <w:tc>
          <w:tcPr>
            <w:tcW w:w="52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as adjusted - January 1, 2017</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954,614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(270,775)</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683,839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57,246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741,085</w:t>
            </w:r>
          </w:p>
        </w:tc>
        <w:tc>
          <w:tcPr>
            <w:tcW w:w="100" w:type="dxa"/>
            <w:vAlign w:val="bottom"/>
            <w:shd w:val="clear" w:color="auto" w:fill="CFF0FC"/>
          </w:tcPr>
          <w:p>
            <w:pPr>
              <w:spacing w:after="0"/>
              <w:rPr>
                <w:sz w:val="13"/>
                <w:szCs w:val="13"/>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Comprehensive income:</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545,627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545,627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6,263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551,890</w:t>
            </w:r>
          </w:p>
        </w:tc>
        <w:tc>
          <w:tcPr>
            <w:tcW w:w="100" w:type="dxa"/>
            <w:vAlign w:val="bottom"/>
            <w:shd w:val="clear" w:color="auto" w:fill="CFF0FC"/>
          </w:tcPr>
          <w:p>
            <w:pPr>
              <w:spacing w:after="0"/>
              <w:rPr>
                <w:sz w:val="14"/>
                <w:szCs w:val="14"/>
                <w:color w:val="auto"/>
              </w:rPr>
            </w:pPr>
          </w:p>
        </w:tc>
      </w:tr>
      <w:tr>
        <w:trPr>
          <w:trHeight w:val="162"/>
        </w:trPr>
        <w:tc>
          <w:tcPr>
            <w:tcW w:w="5280" w:type="dxa"/>
            <w:vAlign w:val="bottom"/>
          </w:tcPr>
          <w:p>
            <w:pPr>
              <w:ind w:left="260"/>
              <w:spacing w:after="0"/>
              <w:rPr>
                <w:sz w:val="20"/>
                <w:szCs w:val="20"/>
                <w:color w:val="auto"/>
              </w:rPr>
            </w:pPr>
            <w:r>
              <w:rPr>
                <w:rFonts w:ascii="Arial" w:cs="Arial" w:eastAsia="Arial" w:hAnsi="Arial"/>
                <w:sz w:val="14"/>
                <w:szCs w:val="14"/>
                <w:color w:val="auto"/>
              </w:rPr>
              <w:t>Other comprehensive income - net of tax</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75,519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75,519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75,521</w:t>
            </w:r>
          </w:p>
        </w:tc>
        <w:tc>
          <w:tcPr>
            <w:tcW w:w="100" w:type="dxa"/>
            <w:vAlign w:val="bottom"/>
          </w:tcPr>
          <w:p>
            <w:pPr>
              <w:spacing w:after="0"/>
              <w:rPr>
                <w:sz w:val="14"/>
                <w:szCs w:val="14"/>
                <w:color w:val="auto"/>
              </w:rPr>
            </w:pPr>
          </w:p>
        </w:tc>
      </w:tr>
      <w:tr>
        <w:trPr>
          <w:trHeight w:val="143"/>
        </w:trPr>
        <w:tc>
          <w:tcPr>
            <w:tcW w:w="52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Amortization of share-based incentive</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compensation</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272,965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272,965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272,965</w:t>
            </w:r>
          </w:p>
        </w:tc>
        <w:tc>
          <w:tcPr>
            <w:tcW w:w="100" w:type="dxa"/>
            <w:vAlign w:val="bottom"/>
            <w:shd w:val="clear" w:color="auto" w:fill="CFF0FC"/>
          </w:tcPr>
          <w:p>
            <w:pPr>
              <w:spacing w:after="0"/>
              <w:rPr>
                <w:sz w:val="14"/>
                <w:szCs w:val="14"/>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Distribution to members and noncontrolling interests, net</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(346,072)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(346,072)</w:t>
            </w:r>
          </w:p>
        </w:tc>
        <w:tc>
          <w:tcPr>
            <w:tcW w:w="10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(5,133)</w:t>
            </w:r>
          </w:p>
        </w:tc>
        <w:tc>
          <w:tcPr>
            <w:tcW w:w="1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(351,205)</w:t>
            </w: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Purchase of Class A common stock</w:t>
            </w: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(310,872)</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(310,872)</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(310,872)</w:t>
            </w:r>
          </w:p>
        </w:tc>
      </w:tr>
      <w:tr>
        <w:trPr>
          <w:trHeight w:val="143"/>
        </w:trPr>
        <w:tc>
          <w:tcPr>
            <w:tcW w:w="5280" w:type="dxa"/>
            <w:vAlign w:val="bottom"/>
          </w:tcPr>
          <w:p>
            <w:pPr>
              <w:spacing w:after="0" w:line="143" w:lineRule="exact"/>
              <w:rPr>
                <w:sz w:val="20"/>
                <w:szCs w:val="20"/>
                <w:color w:val="auto"/>
              </w:rPr>
            </w:pPr>
            <w:r>
              <w:rPr>
                <w:rFonts w:ascii="Arial" w:cs="Arial" w:eastAsia="Arial" w:hAnsi="Arial"/>
                <w:sz w:val="14"/>
                <w:szCs w:val="14"/>
                <w:color w:val="auto"/>
              </w:rPr>
              <w:t>Delivery of Class A common stock in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8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share-based incentive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280" w:type="dxa"/>
            <w:vAlign w:val="bottom"/>
          </w:tcPr>
          <w:p>
            <w:pPr>
              <w:ind w:left="120"/>
              <w:spacing w:after="0"/>
              <w:rPr>
                <w:sz w:val="20"/>
                <w:szCs w:val="20"/>
                <w:color w:val="auto"/>
              </w:rPr>
            </w:pPr>
            <w:r>
              <w:rPr>
                <w:rFonts w:ascii="Arial" w:cs="Arial" w:eastAsia="Arial" w:hAnsi="Arial"/>
                <w:sz w:val="14"/>
                <w:szCs w:val="14"/>
                <w:color w:val="auto"/>
              </w:rPr>
              <w:t>compensation</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(67,899)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(67,899)</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(67,899)</w:t>
            </w:r>
          </w:p>
        </w:tc>
      </w:tr>
      <w:tr>
        <w:trPr>
          <w:trHeight w:val="143"/>
        </w:trPr>
        <w:tc>
          <w:tcPr>
            <w:tcW w:w="52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Business acquisitions and related equity</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transactions:</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280" w:type="dxa"/>
            <w:vAlign w:val="bottom"/>
          </w:tcPr>
          <w:p>
            <w:pPr>
              <w:ind w:left="260"/>
              <w:spacing w:after="0"/>
              <w:rPr>
                <w:sz w:val="20"/>
                <w:szCs w:val="20"/>
                <w:color w:val="auto"/>
              </w:rPr>
            </w:pPr>
            <w:r>
              <w:rPr>
                <w:rFonts w:ascii="Arial" w:cs="Arial" w:eastAsia="Arial" w:hAnsi="Arial"/>
                <w:sz w:val="14"/>
                <w:szCs w:val="14"/>
                <w:color w:val="auto"/>
              </w:rPr>
              <w:t>Delivery of Class A common stock</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14"/>
                <w:szCs w:val="14"/>
                <w:color w:val="auto"/>
              </w:rPr>
            </w:pPr>
          </w:p>
        </w:tc>
      </w:tr>
      <w:tr>
        <w:trPr>
          <w:trHeight w:val="143"/>
        </w:trPr>
        <w:tc>
          <w:tcPr>
            <w:tcW w:w="52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Class A common stock issuable</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2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(including related amortization)</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FF0FC"/>
          </w:tcPr>
          <w:p>
            <w:pPr>
              <w:spacing w:after="0"/>
              <w:rPr>
                <w:sz w:val="14"/>
                <w:szCs w:val="14"/>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(5,765)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(5,765)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(5,561)</w:t>
            </w:r>
          </w:p>
        </w:tc>
      </w:tr>
      <w:tr>
        <w:trPr>
          <w:trHeight w:val="156"/>
        </w:trPr>
        <w:tc>
          <w:tcPr>
            <w:tcW w:w="52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December 31, 2017 (*)</w:t>
            </w: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1,043,574</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(195,256)</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848,318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58,582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906,900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At December 31, 2017, in addition to profit participation interests, there were two managing member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1150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5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Lazard Group</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3"/>
              </w:rPr>
              <w:t>Total</w:t>
            </w:r>
          </w:p>
        </w:tc>
      </w:tr>
      <w:tr>
        <w:trPr>
          <w:trHeight w:val="149"/>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9"/>
              </w:rPr>
              <w:t>Member's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Income (Loss),</w:t>
            </w:r>
          </w:p>
        </w:tc>
        <w:tc>
          <w:tcPr>
            <w:tcW w:w="10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Members’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6"/>
              </w:rPr>
              <w:t>Noncontrolling</w:t>
            </w:r>
          </w:p>
        </w:tc>
        <w:tc>
          <w:tcPr>
            <w:tcW w:w="160" w:type="dxa"/>
            <w:vAlign w:val="bottom"/>
          </w:tcPr>
          <w:p>
            <w:pPr>
              <w:spacing w:after="0"/>
              <w:rPr>
                <w:sz w:val="12"/>
                <w:szCs w:val="12"/>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Members’</w:t>
            </w:r>
          </w:p>
        </w:tc>
      </w:tr>
      <w:tr>
        <w:trPr>
          <w:trHeight w:val="153"/>
        </w:trPr>
        <w:tc>
          <w:tcPr>
            <w:tcW w:w="5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Net of Tax</w:t>
            </w:r>
          </w:p>
        </w:tc>
        <w:tc>
          <w:tcPr>
            <w:tcW w:w="10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Interests</w:t>
            </w:r>
          </w:p>
        </w:tc>
        <w:tc>
          <w:tcPr>
            <w:tcW w:w="16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Equity</w:t>
            </w:r>
          </w:p>
        </w:tc>
      </w:tr>
      <w:tr>
        <w:trPr>
          <w:trHeight w:val="156"/>
        </w:trPr>
        <w:tc>
          <w:tcPr>
            <w:tcW w:w="53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January 1, 2018</w:t>
            </w: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1,043,574</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(195,256)</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848,318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58,582</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906,900</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5320" w:type="dxa"/>
            <w:vAlign w:val="bottom"/>
          </w:tcPr>
          <w:p>
            <w:pPr>
              <w:spacing w:after="0"/>
              <w:rPr>
                <w:sz w:val="20"/>
                <w:szCs w:val="20"/>
                <w:color w:val="auto"/>
              </w:rPr>
            </w:pPr>
            <w:r>
              <w:rPr>
                <w:rFonts w:ascii="Arial" w:cs="Arial" w:eastAsia="Arial" w:hAnsi="Arial"/>
                <w:sz w:val="14"/>
                <w:szCs w:val="14"/>
                <w:color w:val="auto"/>
              </w:rPr>
              <w:t>Comprehensive income (loss):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565,597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565,597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570,920</w:t>
            </w:r>
          </w:p>
        </w:tc>
        <w:tc>
          <w:tcPr>
            <w:tcW w:w="120" w:type="dxa"/>
            <w:vAlign w:val="bottom"/>
            <w:shd w:val="clear" w:color="auto" w:fill="CFF0FC"/>
          </w:tcPr>
          <w:p>
            <w:pPr>
              <w:spacing w:after="0"/>
              <w:rPr>
                <w:sz w:val="14"/>
                <w:szCs w:val="14"/>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4"/>
                <w:szCs w:val="14"/>
                <w:color w:val="auto"/>
              </w:rPr>
              <w:t>Other comprehensive loss - net of tax</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(33,404)</w:t>
            </w:r>
          </w:p>
        </w:tc>
        <w:tc>
          <w:tcPr>
            <w:tcW w:w="1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(33,404)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(33,404)</w:t>
            </w:r>
          </w:p>
        </w:tc>
      </w:tr>
      <w:tr>
        <w:trPr>
          <w:trHeight w:val="143"/>
        </w:trPr>
        <w:tc>
          <w:tcPr>
            <w:tcW w:w="53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Amortization of share-based incentive</w:t>
            </w: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5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compensation</w:t>
            </w: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267,573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267,573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267,573</w:t>
            </w:r>
          </w:p>
        </w:tc>
        <w:tc>
          <w:tcPr>
            <w:tcW w:w="120" w:type="dxa"/>
            <w:vAlign w:val="bottom"/>
            <w:shd w:val="clear" w:color="auto" w:fill="CFF0FC"/>
          </w:tcPr>
          <w:p>
            <w:pPr>
              <w:spacing w:after="0"/>
              <w:rPr>
                <w:sz w:val="14"/>
                <w:szCs w:val="14"/>
                <w:color w:val="auto"/>
              </w:rPr>
            </w:pPr>
          </w:p>
        </w:tc>
      </w:tr>
      <w:tr>
        <w:trPr>
          <w:trHeight w:val="162"/>
        </w:trPr>
        <w:tc>
          <w:tcPr>
            <w:tcW w:w="5320" w:type="dxa"/>
            <w:vAlign w:val="bottom"/>
          </w:tcPr>
          <w:p>
            <w:pPr>
              <w:spacing w:after="0"/>
              <w:rPr>
                <w:sz w:val="20"/>
                <w:szCs w:val="20"/>
                <w:color w:val="auto"/>
              </w:rPr>
            </w:pPr>
            <w:r>
              <w:rPr>
                <w:rFonts w:ascii="Arial" w:cs="Arial" w:eastAsia="Arial" w:hAnsi="Arial"/>
                <w:sz w:val="14"/>
                <w:szCs w:val="14"/>
                <w:color w:val="auto"/>
              </w:rPr>
              <w:t>Distributions to members and noncontrolling interests, net</w:t>
            </w:r>
          </w:p>
        </w:tc>
        <w:tc>
          <w:tcPr>
            <w:tcW w:w="16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(448,912)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(448,912)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(11,198)</w:t>
            </w:r>
          </w:p>
        </w:tc>
        <w:tc>
          <w:tcPr>
            <w:tcW w:w="1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(460,110)</w:t>
            </w: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4"/>
                <w:szCs w:val="14"/>
                <w:color w:val="auto"/>
              </w:rPr>
              <w:t>Purchase of Class A common stock</w:t>
            </w:r>
          </w:p>
        </w:tc>
        <w:tc>
          <w:tcPr>
            <w:tcW w:w="1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(552,872)</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(552,872)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(552,872)</w:t>
            </w:r>
          </w:p>
        </w:tc>
      </w:tr>
      <w:tr>
        <w:trPr>
          <w:trHeight w:val="143"/>
        </w:trPr>
        <w:tc>
          <w:tcPr>
            <w:tcW w:w="5320" w:type="dxa"/>
            <w:vAlign w:val="bottom"/>
          </w:tcPr>
          <w:p>
            <w:pPr>
              <w:spacing w:after="0" w:line="143" w:lineRule="exact"/>
              <w:rPr>
                <w:sz w:val="20"/>
                <w:szCs w:val="20"/>
                <w:color w:val="auto"/>
              </w:rPr>
            </w:pPr>
            <w:r>
              <w:rPr>
                <w:rFonts w:ascii="Arial" w:cs="Arial" w:eastAsia="Arial" w:hAnsi="Arial"/>
                <w:sz w:val="14"/>
                <w:szCs w:val="14"/>
                <w:color w:val="auto"/>
              </w:rPr>
              <w:t>Delivery of Class A common stock in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532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share-based incentive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5320" w:type="dxa"/>
            <w:vAlign w:val="bottom"/>
          </w:tcPr>
          <w:p>
            <w:pPr>
              <w:ind w:left="120"/>
              <w:spacing w:after="0"/>
              <w:rPr>
                <w:sz w:val="20"/>
                <w:szCs w:val="20"/>
                <w:color w:val="auto"/>
              </w:rPr>
            </w:pPr>
            <w:r>
              <w:rPr>
                <w:rFonts w:ascii="Arial" w:cs="Arial" w:eastAsia="Arial" w:hAnsi="Arial"/>
                <w:sz w:val="14"/>
                <w:szCs w:val="14"/>
                <w:color w:val="auto"/>
              </w:rPr>
              <w:t>compensation and related tax expense of $71</w:t>
            </w:r>
          </w:p>
        </w:tc>
        <w:tc>
          <w:tcPr>
            <w:tcW w:w="16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(110,432)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(110,432)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(110,432)</w:t>
            </w:r>
          </w:p>
        </w:tc>
      </w:tr>
      <w:tr>
        <w:trPr>
          <w:trHeight w:val="143"/>
        </w:trPr>
        <w:tc>
          <w:tcPr>
            <w:tcW w:w="53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Business acquisitions and related equity</w:t>
            </w: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5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transactions:</w:t>
            </w: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43"/>
        </w:trPr>
        <w:tc>
          <w:tcPr>
            <w:tcW w:w="5320" w:type="dxa"/>
            <w:vAlign w:val="bottom"/>
          </w:tcPr>
          <w:p>
            <w:pPr>
              <w:ind w:left="260"/>
              <w:spacing w:after="0" w:line="143" w:lineRule="exact"/>
              <w:rPr>
                <w:sz w:val="20"/>
                <w:szCs w:val="20"/>
                <w:color w:val="auto"/>
              </w:rPr>
            </w:pPr>
            <w:r>
              <w:rPr>
                <w:rFonts w:ascii="Arial" w:cs="Arial" w:eastAsia="Arial" w:hAnsi="Arial"/>
                <w:sz w:val="14"/>
                <w:szCs w:val="14"/>
                <w:color w:val="auto"/>
              </w:rPr>
              <w:t>Class A common stock issuable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5320" w:type="dxa"/>
            <w:vAlign w:val="bottom"/>
          </w:tcPr>
          <w:p>
            <w:pPr>
              <w:ind w:left="360"/>
              <w:spacing w:after="0"/>
              <w:rPr>
                <w:sz w:val="20"/>
                <w:szCs w:val="20"/>
                <w:color w:val="auto"/>
              </w:rPr>
            </w:pPr>
            <w:r>
              <w:rPr>
                <w:rFonts w:ascii="Arial" w:cs="Arial" w:eastAsia="Arial" w:hAnsi="Arial"/>
                <w:sz w:val="14"/>
                <w:szCs w:val="14"/>
                <w:color w:val="auto"/>
              </w:rPr>
              <w:t>(including related amortization)</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14"/>
                <w:szCs w:val="14"/>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(6,176)</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(6,176)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(6,176)</w:t>
            </w:r>
          </w:p>
        </w:tc>
      </w:tr>
      <w:tr>
        <w:trPr>
          <w:trHeight w:val="156"/>
        </w:trPr>
        <w:tc>
          <w:tcPr>
            <w:tcW w:w="53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December 31, 2018 (*)</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758,705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(228,660)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530,045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52,707</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582,752</w:t>
            </w:r>
          </w:p>
        </w:tc>
        <w:tc>
          <w:tcPr>
            <w:tcW w:w="120" w:type="dxa"/>
            <w:vAlign w:val="bottom"/>
          </w:tcPr>
          <w:p>
            <w:pPr>
              <w:spacing w:after="0"/>
              <w:rPr>
                <w:sz w:val="13"/>
                <w:szCs w:val="13"/>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At December 31, 2018, in addition to profit participation interests, there were two managing member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1150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54" w:lineRule="exact"/>
        <w:rPr>
          <w:sz w:val="20"/>
          <w:szCs w:val="20"/>
          <w:color w:val="auto"/>
        </w:rPr>
      </w:pPr>
    </w:p>
    <w:p>
      <w:pPr>
        <w:ind w:left="600" w:hanging="592"/>
        <w:spacing w:after="0"/>
        <w:tabs>
          <w:tab w:leader="none" w:pos="60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accompanying consolidated financial statements are those of Lazard Group LLC and its subsidiaries (collectively referred to as “Lazard Group”, “we” or the “Company”). Lazard Group is a Delaware limited liability company and as of December 31, 2018 was governed by an Amended and Restated Operating Agreement dated as of October 26, 2015, as amended (the “Operating Agreement”). The Operating Agreement was subsequently amended and restated on February 4, 2019.</w:t>
      </w:r>
    </w:p>
    <w:p>
      <w:pPr>
        <w:spacing w:after="0" w:line="79"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7"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Lazard Ltd indirectly held 100% of all outstanding Lazard Group common membership interests as of December 31, 2018 and 2017. Lazard Ltd, through its control of the managing members of Lazard Group, controls Lazard Group.</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117" w:lineRule="exact"/>
        <w:rPr>
          <w:sz w:val="20"/>
          <w:szCs w:val="20"/>
          <w:color w:val="auto"/>
        </w:rPr>
      </w:pPr>
    </w:p>
    <w:p>
      <w:pPr>
        <w:ind w:left="1200" w:right="200" w:hanging="598"/>
        <w:spacing w:after="0" w:line="264" w:lineRule="auto"/>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capital advisory, restructurings, shareholder advisory, sovereign advisory, capital raising and other strategic advisory, and</w:t>
      </w:r>
    </w:p>
    <w:p>
      <w:pPr>
        <w:spacing w:after="0" w:line="73" w:lineRule="exact"/>
        <w:rPr>
          <w:rFonts w:ascii="Arial" w:cs="Arial" w:eastAsia="Arial" w:hAnsi="Arial"/>
          <w:sz w:val="18"/>
          <w:szCs w:val="18"/>
          <w:color w:val="auto"/>
        </w:rPr>
      </w:pPr>
    </w:p>
    <w:p>
      <w:pPr>
        <w:ind w:left="1200" w:right="460" w:hanging="598"/>
        <w:spacing w:after="0" w:line="286" w:lineRule="auto"/>
        <w:tabs>
          <w:tab w:leader="none" w:pos="12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66"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40" w:firstLine="598"/>
        <w:spacing w:after="0" w:line="308" w:lineRule="auto"/>
        <w:rPr>
          <w:sz w:val="20"/>
          <w:szCs w:val="20"/>
          <w:color w:val="auto"/>
        </w:rPr>
      </w:pPr>
      <w:r>
        <w:rPr>
          <w:rFonts w:ascii="Arial" w:cs="Arial" w:eastAsia="Arial" w:hAnsi="Arial"/>
          <w:sz w:val="17"/>
          <w:szCs w:val="17"/>
          <w:color w:val="auto"/>
        </w:rPr>
        <w:t>The consolidated financial statements are prepared in conformity with accounting principles generally accepted in the United States of America (“U.S. GAAP”). The Company’s policy is to consolidate entities in which it has a controlling financial interest. The Company consolidates:</w:t>
      </w:r>
    </w:p>
    <w:p>
      <w:pPr>
        <w:spacing w:after="0" w:line="38" w:lineRule="exact"/>
        <w:rPr>
          <w:sz w:val="20"/>
          <w:szCs w:val="20"/>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1200" w:hanging="598"/>
        <w:spacing w:after="0" w:line="264"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81"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its investment at fair value. Intercompany transactions and balances have been eliminated.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360" w:firstLine="598"/>
        <w:spacing w:after="0" w:line="276" w:lineRule="auto"/>
        <w:rPr>
          <w:sz w:val="20"/>
          <w:szCs w:val="20"/>
          <w:color w:val="auto"/>
        </w:rPr>
      </w:pPr>
      <w:r>
        <w:rPr>
          <w:rFonts w:ascii="Arial" w:cs="Arial" w:eastAsia="Arial" w:hAnsi="Arial"/>
          <w:sz w:val="17"/>
          <w:szCs w:val="17"/>
          <w:color w:val="auto"/>
        </w:rPr>
        <w:t>The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73"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presentation, including the presentation related to the adoption of new guidance impacting the consolidated statements of cash flows (see Note 3).</w:t>
      </w:r>
    </w:p>
    <w:p>
      <w:pPr>
        <w:spacing w:after="0" w:line="373" w:lineRule="exact"/>
        <w:rPr>
          <w:sz w:val="20"/>
          <w:szCs w:val="20"/>
          <w:color w:val="auto"/>
        </w:rPr>
      </w:pPr>
    </w:p>
    <w:p>
      <w:pPr>
        <w:ind w:left="600" w:hanging="592"/>
        <w:spacing w:after="0"/>
        <w:tabs>
          <w:tab w:leader="none" w:pos="60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accounting policies below relate to reported amounts and disclosures in the consolidated financial statements.</w:t>
      </w:r>
    </w:p>
    <w:p>
      <w:pPr>
        <w:spacing w:after="0" w:line="225" w:lineRule="exact"/>
        <w:rPr>
          <w:sz w:val="20"/>
          <w:szCs w:val="20"/>
          <w:color w:val="auto"/>
        </w:rPr>
      </w:pPr>
    </w:p>
    <w:p>
      <w:pPr>
        <w:ind w:right="60" w:firstLine="598"/>
        <w:spacing w:after="0" w:line="290" w:lineRule="auto"/>
        <w:rPr>
          <w:sz w:val="20"/>
          <w:szCs w:val="20"/>
          <w:color w:val="auto"/>
        </w:rPr>
      </w:pPr>
      <w:r>
        <w:rPr>
          <w:rFonts w:ascii="Arial" w:cs="Arial" w:eastAsia="Arial" w:hAnsi="Arial"/>
          <w:sz w:val="16"/>
          <w:szCs w:val="16"/>
          <w:b w:val="1"/>
          <w:bCs w:val="1"/>
          <w:i w:val="1"/>
          <w:iCs w:val="1"/>
          <w:color w:val="auto"/>
        </w:rPr>
        <w:t>Foreign Currency Translation—</w:t>
      </w:r>
      <w:r>
        <w:rPr>
          <w:rFonts w:ascii="Arial" w:cs="Arial" w:eastAsia="Arial" w:hAnsi="Arial"/>
          <w:sz w:val="16"/>
          <w:szCs w:val="16"/>
          <w:color w:val="auto"/>
        </w:rPr>
        <w:t>The consolidated financial statements are presented in U.S. Dollars. Many of the Company’s non-U.S. subsidiaries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Foreign currency remeasurement gains (losses), net of hedge transactions (see Note 8) amounted to $(2,206), $1,876 and $(1,465) for the years ended December 31, 2018, 2017 and 2016, respectively, and are included in “revenue-other” on the respective consolidated statements of operations.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color w:val="auto"/>
        </w:rPr>
        <w:t>The preparation of consolidated financial statements in conformity with U.S. GAAP requires the use of management’s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preparing the consolidated financial statements, management makes estimates and assumptions regarding:</w:t>
      </w:r>
    </w:p>
    <w:p>
      <w:pPr>
        <w:spacing w:after="0" w:line="103" w:lineRule="exact"/>
        <w:rPr>
          <w:sz w:val="20"/>
          <w:szCs w:val="20"/>
          <w:color w:val="auto"/>
        </w:rPr>
      </w:pPr>
    </w:p>
    <w:p>
      <w:pPr>
        <w:ind w:left="1200" w:right="60" w:hanging="598"/>
        <w:spacing w:after="0" w:line="277" w:lineRule="auto"/>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valuations of assets and liabilities requiring fair value estimates including, but not limited to, investments, derivatives, securities sold, not yet purchased and assumptions used to value pension and other post-retirement plans;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assessment of probability with respect to recognizing revenue;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adequacy of the allowance for doubtful accounts;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realization of deferred tax assets and adequacy of tax reserves for uncertain tax positions;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carrying amount of goodwill and other intangible assets;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vesting of share-based and other deferred compensation plan awards;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 of contingencies in the consolidated financial statements.</w:t>
      </w:r>
    </w:p>
    <w:p>
      <w:pPr>
        <w:spacing w:after="0" w:line="225"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defines cash equivalents as short-term, highly liquid securities and cash deposits with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maturities of 90 days or less when purchased.</w:t>
      </w:r>
    </w:p>
    <w:p>
      <w:pPr>
        <w:spacing w:after="0" w:line="170" w:lineRule="exact"/>
        <w:rPr>
          <w:sz w:val="20"/>
          <w:szCs w:val="20"/>
          <w:color w:val="auto"/>
        </w:rPr>
      </w:pPr>
    </w:p>
    <w:p>
      <w:pPr>
        <w:jc w:val="both"/>
        <w:ind w:right="40" w:firstLine="598"/>
        <w:spacing w:after="0" w:line="312" w:lineRule="auto"/>
        <w:rPr>
          <w:sz w:val="20"/>
          <w:szCs w:val="20"/>
          <w:color w:val="auto"/>
        </w:rPr>
      </w:pPr>
      <w:r>
        <w:rPr>
          <w:rFonts w:ascii="Arial" w:cs="Arial" w:eastAsia="Arial" w:hAnsi="Arial"/>
          <w:sz w:val="16"/>
          <w:szCs w:val="16"/>
          <w:b w:val="1"/>
          <w:bCs w:val="1"/>
          <w:i w:val="1"/>
          <w:iCs w:val="1"/>
          <w:color w:val="auto"/>
        </w:rPr>
        <w:t>Deposits with Banks and Short-Term Investments—</w:t>
      </w:r>
      <w:r>
        <w:rPr>
          <w:rFonts w:ascii="Arial" w:cs="Arial" w:eastAsia="Arial" w:hAnsi="Arial"/>
          <w:sz w:val="16"/>
          <w:szCs w:val="16"/>
          <w:color w:val="auto"/>
        </w:rPr>
        <w:t>Represents LFB’s short-term deposits, including with the Banque de France and amounts placed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LFB in short-term, highly liquid securities with original maturities of 90 days or less when purchased. The level of these deposits and investments may be driven by the level of LFB time and demand deposits (which can fluctuate significantly on a daily basis) and by changes in asset allocation.</w:t>
      </w:r>
    </w:p>
    <w:p>
      <w:pPr>
        <w:spacing w:after="0" w:line="14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b w:val="1"/>
          <w:bCs w:val="1"/>
          <w:i w:val="1"/>
          <w:iCs w:val="1"/>
          <w:color w:val="auto"/>
        </w:rPr>
        <w:t>Cash Deposited with Clearing Organizations and Other Segregated Cash—</w:t>
      </w:r>
      <w:r>
        <w:rPr>
          <w:rFonts w:ascii="Arial" w:cs="Arial" w:eastAsia="Arial" w:hAnsi="Arial"/>
          <w:sz w:val="18"/>
          <w:szCs w:val="18"/>
          <w:color w:val="auto"/>
        </w:rPr>
        <w:t>Primarily represents restricted cash deposits made 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those to satisfy the requirements of clearing organizations.</w:t>
      </w:r>
    </w:p>
    <w:p>
      <w:pPr>
        <w:spacing w:after="0" w:line="17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color w:val="auto"/>
        </w:rPr>
        <w:t>We maintain an allowance for bad debts to provide for estimated losses relating to fees and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receivables. We 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87"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interest-bearing financing receivables) following the invoice date or may be subject to court approval (as is the case with bankruptcy-related restructuring assignments).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5 for additional information regarding receivables.</w:t>
      </w:r>
    </w:p>
    <w:p>
      <w:pPr>
        <w:spacing w:after="0" w:line="225" w:lineRule="exact"/>
        <w:rPr>
          <w:sz w:val="20"/>
          <w:szCs w:val="20"/>
          <w:color w:val="auto"/>
        </w:rPr>
      </w:pPr>
    </w:p>
    <w:p>
      <w:pPr>
        <w:ind w:right="480" w:firstLine="598"/>
        <w:spacing w:after="0" w:line="264"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Investments in debt and marketable equity securities held either directly, or indirectly through asset management funds,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broker-dealer subsidiaries are accounted for at fair value, with any increase or decrease in fair value recorded in earnings. Such amounts are reflected in “revenue-other” in the consolidated statements of operations.</w:t>
      </w:r>
    </w:p>
    <w:p>
      <w:pPr>
        <w:spacing w:after="0" w:line="181"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Investments in debt and marketable equity securities held at the Company’s non broker-dealer subsidiaries are accounted for at fair value, with any increase or decrease in fair value reflected in “revenue-other” in the consolidated statements of operations.</w:t>
      </w:r>
    </w:p>
    <w:p>
      <w:pPr>
        <w:spacing w:after="0" w:line="17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Investments also include interests in alternative investment funds and private equity funds, each accounted for at fair value, as well as investments accounted for under the equity method of accounting. Any increases or decreases in the carrying value of those investments accounted for at fair value and the Company’s share of net income or losses pertaining to its equity method investments are reflected in “revenue-other” in the consolidated statements of operations.</w:t>
      </w:r>
    </w:p>
    <w:p>
      <w:pPr>
        <w:spacing w:after="0" w:line="187"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Dividend income is reflected in “revenue-other” on the consolidated statements of operations. Interest income includes accretion or amortization of any discount or premium arising at acquisition of the related debt security. Securities transactions and the related revenue and expenses are recorded on a “trade date”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Notes 6 and 7 for additional information regarding the Company’s investments.</w:t>
      </w:r>
    </w:p>
    <w:p>
      <w:pPr>
        <w:spacing w:after="0" w:line="225"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b w:val="1"/>
          <w:bCs w:val="1"/>
          <w:i w:val="1"/>
          <w:iCs w:val="1"/>
          <w:color w:val="auto"/>
        </w:rPr>
        <w:t>Property-net—</w:t>
      </w:r>
      <w:r>
        <w:rPr>
          <w:rFonts w:ascii="Arial" w:cs="Arial" w:eastAsia="Arial" w:hAnsi="Arial"/>
          <w:sz w:val="17"/>
          <w:szCs w:val="17"/>
          <w:color w:val="auto"/>
        </w:rPr>
        <w:t>Property is stated at cost less accumulated depreciation and amortization. Buildings are depreciated on a straight-line basis over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$33,778, $31,491 and $33,268 for the years ended December 31, 2018, 2017 and 2016,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178" w:lineRule="exact"/>
        <w:rPr>
          <w:sz w:val="20"/>
          <w:szCs w:val="20"/>
          <w:color w:val="auto"/>
        </w:rPr>
      </w:pPr>
    </w:p>
    <w:p>
      <w:pPr>
        <w:jc w:val="both"/>
        <w:ind w:right="200" w:firstLine="598"/>
        <w:spacing w:after="0" w:line="286" w:lineRule="auto"/>
        <w:rPr>
          <w:sz w:val="20"/>
          <w:szCs w:val="20"/>
          <w:color w:val="auto"/>
        </w:rPr>
      </w:pPr>
      <w:r>
        <w:rPr>
          <w:rFonts w:ascii="Arial" w:cs="Arial" w:eastAsia="Arial" w:hAnsi="Arial"/>
          <w:sz w:val="17"/>
          <w:szCs w:val="17"/>
          <w:b w:val="1"/>
          <w:bCs w:val="1"/>
          <w:i w:val="1"/>
          <w:iCs w:val="1"/>
          <w:color w:val="auto"/>
        </w:rPr>
        <w:t>Goodwill and Other Intangible Assets—</w:t>
      </w:r>
      <w:r>
        <w:rPr>
          <w:rFonts w:ascii="Arial" w:cs="Arial" w:eastAsia="Arial" w:hAnsi="Arial"/>
          <w:sz w:val="17"/>
          <w:szCs w:val="17"/>
          <w:color w:val="auto"/>
        </w:rPr>
        <w:t>As goodwill has an indefinite life, it is required to be tested for impairment annually or more frequently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completed its annual goodwill review as of November 1, 2018, and determined that no impairment existed.</w:t>
      </w:r>
    </w:p>
    <w:p>
      <w:pPr>
        <w:spacing w:after="0" w:line="225"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The pattern of amortization reflects the timing of the realization of the economic benefits of such intangible assets. For acquired customer contracts, the period of realization is deemed to be the period when the related revenue is recognized.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10 with respect to goodwill and other intangible assets.</w:t>
      </w:r>
    </w:p>
    <w:p>
      <w:pPr>
        <w:spacing w:after="0" w:line="225"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A derivative is typically defined as an instrument whose value is “derived” from underlying assets, indices or reference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rates, such as a future, forward, swap, or option contract, or other financial instrument with similar characteristics. Derivative contracts often involve future commitments to exchange interest payment streams or currencies based on a notional or contractual amount (</w:t>
      </w:r>
      <w:r>
        <w:rPr>
          <w:rFonts w:ascii="Arial" w:cs="Arial" w:eastAsia="Arial" w:hAnsi="Arial"/>
          <w:sz w:val="16"/>
          <w:szCs w:val="16"/>
          <w:i w:val="1"/>
          <w:iCs w:val="1"/>
          <w:color w:val="auto"/>
        </w:rPr>
        <w:t>e.g.</w:t>
      </w:r>
      <w:r>
        <w:rPr>
          <w:rFonts w:ascii="Arial" w:cs="Arial" w:eastAsia="Arial" w:hAnsi="Arial"/>
          <w:sz w:val="16"/>
          <w:szCs w:val="16"/>
          <w:color w:val="auto"/>
        </w:rPr>
        <w:t>, interest rate swaps or currency forwards) or to purchase or sell other financial instruments at specified terms on a specified date (</w:t>
      </w:r>
      <w:r>
        <w:rPr>
          <w:rFonts w:ascii="Arial" w:cs="Arial" w:eastAsia="Arial" w:hAnsi="Arial"/>
          <w:sz w:val="16"/>
          <w:szCs w:val="16"/>
          <w:i w:val="1"/>
          <w:iCs w:val="1"/>
          <w:color w:val="auto"/>
        </w:rPr>
        <w:t>e.g.</w:t>
      </w:r>
      <w:r>
        <w:rPr>
          <w:rFonts w:ascii="Arial" w:cs="Arial" w:eastAsia="Arial" w:hAnsi="Arial"/>
          <w:sz w:val="16"/>
          <w:szCs w:val="16"/>
          <w:color w:val="auto"/>
        </w:rPr>
        <w:t>, options to buy or sell securities or currencies).</w:t>
      </w:r>
    </w:p>
    <w:p>
      <w:pPr>
        <w:spacing w:after="0" w:line="154"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are generally included in “interest income” and “interest expense”, respectively, or “revenue-other”, depending on the nature of the underlying item, in the consolidated statements of operations.</w:t>
      </w:r>
    </w:p>
    <w:p>
      <w:pPr>
        <w:spacing w:after="0" w:line="189" w:lineRule="exact"/>
        <w:rPr>
          <w:sz w:val="20"/>
          <w:szCs w:val="20"/>
          <w:color w:val="auto"/>
        </w:rPr>
      </w:pPr>
    </w:p>
    <w:p>
      <w:pPr>
        <w:ind w:right="240" w:firstLine="598"/>
        <w:spacing w:after="0" w:line="276" w:lineRule="auto"/>
        <w:rPr>
          <w:sz w:val="20"/>
          <w:szCs w:val="20"/>
          <w:color w:val="auto"/>
        </w:rPr>
      </w:pPr>
      <w:r>
        <w:rPr>
          <w:rFonts w:ascii="Arial" w:cs="Arial" w:eastAsia="Arial" w:hAnsi="Arial"/>
          <w:sz w:val="17"/>
          <w:szCs w:val="17"/>
          <w:color w:val="auto"/>
        </w:rPr>
        <w:t>In addition to the derivative instruments described above, the Company records derivative liabilities relating to its obligations pertaining to Lazard Fund Interests (“LFI”)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expected to be delivered upon settlement of LFI and other similar deferred compensation arrangements, which are reported in “revenue-other” in the consolidated statements of operations. For information regarding LFI and other similar deferred compensation arrangements, see Notes 6, 8 and 15.</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Deposits and Other Customer Payables—</w:t>
      </w:r>
      <w:r>
        <w:rPr>
          <w:rFonts w:ascii="Arial" w:cs="Arial" w:eastAsia="Arial" w:hAnsi="Arial"/>
          <w:sz w:val="17"/>
          <w:szCs w:val="17"/>
          <w:color w:val="auto"/>
        </w:rPr>
        <w:t>Principally relates to LFB customer-related demand deposits, both interest-bearing and non-interest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bearing.</w:t>
      </w:r>
    </w:p>
    <w:p>
      <w:pPr>
        <w:spacing w:after="0" w:line="211"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b w:val="1"/>
          <w:bCs w:val="1"/>
          <w:i w:val="1"/>
          <w:iCs w:val="1"/>
          <w:color w:val="auto"/>
        </w:rPr>
        <w:t>Securities Sold, Not Yet Purchased—</w:t>
      </w:r>
      <w:r>
        <w:rPr>
          <w:rFonts w:ascii="Arial" w:cs="Arial" w:eastAsia="Arial" w:hAnsi="Arial"/>
          <w:sz w:val="18"/>
          <w:szCs w:val="18"/>
          <w:color w:val="auto"/>
        </w:rPr>
        <w:t>Securities sold, not yet purchased represents liabilities for securities sold for which payment has been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obligations to deliver such securities are included within “other liabilities” in the consolidated statements of financial condition. These securities are accounted for at fair value, with any increase or decrease in fair value recorded in earnings in accordance with standard securities industry practices. Such gains and losses are reflected in “revenue-other” in the consolidated statements of operations.</w:t>
      </w:r>
    </w:p>
    <w:p>
      <w:pPr>
        <w:spacing w:after="0" w:line="187" w:lineRule="exact"/>
        <w:rPr>
          <w:sz w:val="20"/>
          <w:szCs w:val="20"/>
          <w:color w:val="auto"/>
        </w:rPr>
      </w:pPr>
    </w:p>
    <w:p>
      <w:pPr>
        <w:jc w:val="both"/>
        <w:ind w:right="540" w:firstLine="598"/>
        <w:spacing w:after="0" w:line="312" w:lineRule="auto"/>
        <w:rPr>
          <w:sz w:val="20"/>
          <w:szCs w:val="20"/>
          <w:color w:val="auto"/>
        </w:rPr>
      </w:pPr>
      <w:r>
        <w:rPr>
          <w:rFonts w:ascii="Arial" w:cs="Arial" w:eastAsia="Arial" w:hAnsi="Arial"/>
          <w:sz w:val="16"/>
          <w:szCs w:val="16"/>
          <w:b w:val="1"/>
          <w:bCs w:val="1"/>
          <w:i w:val="1"/>
          <w:iCs w:val="1"/>
          <w:color w:val="auto"/>
        </w:rPr>
        <w:t>Contingent Consideration Liabilities —</w:t>
      </w:r>
      <w:r>
        <w:rPr>
          <w:rFonts w:ascii="Arial" w:cs="Arial" w:eastAsia="Arial" w:hAnsi="Arial"/>
          <w:sz w:val="16"/>
          <w:szCs w:val="16"/>
          <w:color w:val="auto"/>
        </w:rPr>
        <w:t>The contingent consideration liabilities of businesses acquired in a business combination are initially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recorded at fair value, and any change in the fair value is recognized in “amortization and other acquisition-related (benefits) costs” in the consolidated statements of operations. The contingent consideration liability is included in “other liabilities” on the consolidated statements of financial condition.</w:t>
      </w:r>
    </w:p>
    <w:p>
      <w:pPr>
        <w:spacing w:after="0" w:line="147" w:lineRule="exact"/>
        <w:rPr>
          <w:sz w:val="20"/>
          <w:szCs w:val="20"/>
          <w:color w:val="auto"/>
        </w:rPr>
      </w:pPr>
    </w:p>
    <w:p>
      <w:pPr>
        <w:ind w:right="260" w:firstLine="598"/>
        <w:spacing w:after="0" w:line="302" w:lineRule="auto"/>
        <w:rPr>
          <w:sz w:val="20"/>
          <w:szCs w:val="20"/>
          <w:color w:val="auto"/>
        </w:rPr>
      </w:pPr>
      <w:r>
        <w:rPr>
          <w:rFonts w:ascii="Arial" w:cs="Arial" w:eastAsia="Arial" w:hAnsi="Arial"/>
          <w:sz w:val="16"/>
          <w:szCs w:val="16"/>
          <w:b w:val="1"/>
          <w:bCs w:val="1"/>
          <w:i w:val="1"/>
          <w:iCs w:val="1"/>
          <w:color w:val="auto"/>
        </w:rPr>
        <w:t>Fair Value of Financial Assets and Liabilities—</w:t>
      </w:r>
      <w:r>
        <w:rPr>
          <w:rFonts w:ascii="Arial" w:cs="Arial" w:eastAsia="Arial" w:hAnsi="Arial"/>
          <w:sz w:val="16"/>
          <w:szCs w:val="16"/>
          <w:color w:val="auto"/>
        </w:rPr>
        <w:t>The majority of the Company’s financial assets and liabilities are recorded at fair value or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that approximate fair value. Such assets and liabilities include cash and cash equivalents, deposits with banks and short-term investments, cash deposited with clearing organizations and other segregated cash, receivables, investments (excluding investments accounted for at amortized cost, interest-bearing deposits or using the equity method of accounting), derivative instruments, deposits and other customer payables.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720" w:firstLine="598"/>
        <w:spacing w:after="0" w:line="277" w:lineRule="auto"/>
        <w:rPr>
          <w:sz w:val="20"/>
          <w:szCs w:val="20"/>
          <w:color w:val="auto"/>
        </w:rPr>
      </w:pPr>
      <w:r>
        <w:rPr>
          <w:rFonts w:ascii="Arial" w:cs="Arial" w:eastAsia="Arial" w:hAnsi="Arial"/>
          <w:sz w:val="18"/>
          <w:szCs w:val="18"/>
          <w:b w:val="1"/>
          <w:bCs w:val="1"/>
          <w:i w:val="1"/>
          <w:iCs w:val="1"/>
          <w:color w:val="auto"/>
        </w:rPr>
        <w:t>Investment Banking and Other Advisory Fees and Asset Management Fees—</w:t>
      </w:r>
      <w:r>
        <w:rPr>
          <w:rFonts w:ascii="Arial" w:cs="Arial" w:eastAsia="Arial" w:hAnsi="Arial"/>
          <w:sz w:val="18"/>
          <w:szCs w:val="18"/>
          <w:color w:val="auto"/>
        </w:rPr>
        <w:t>See Note 4 for the Company’s accounting policy on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recognition as it applies to investment banking and other advisory and asset management fees.</w:t>
      </w:r>
    </w:p>
    <w:p>
      <w:pPr>
        <w:spacing w:after="0" w:line="170"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b w:val="1"/>
          <w:bCs w:val="1"/>
          <w:i w:val="1"/>
          <w:iCs w:val="1"/>
          <w:color w:val="auto"/>
        </w:rPr>
        <w:t>Soft Dollar Arrangements—</w:t>
      </w:r>
      <w:r>
        <w:rPr>
          <w:rFonts w:ascii="Arial" w:cs="Arial" w:eastAsia="Arial" w:hAnsi="Arial"/>
          <w:sz w:val="17"/>
          <w:szCs w:val="17"/>
          <w:color w:val="auto"/>
        </w:rPr>
        <w:t>Certain entities within the Company’s Asset Management business obtain research and other services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commission-sharing arrangements with broker-dealers, which are also known as “soft dollar” arrangements. Consistent with the “soft dollar” safe harbor established by Section 28(e) of the Securities Exchange Act of 1934, as amended (the “Exchange Act”), the Asset Management business does not have any contractual obligation or arrangement requiring it to pay for research and other eligible services obtained through soft dollar arrangements with brokers. Instead, the provider is obligated to pay for the services. Consequently, the Company does not incur any liability and does not accrue any expenses in connection with any research or other eligible services obtained by the Asset Management business pursuant to such soft dollar arrangements. For the year ended December 31, 2018, the Company obtained research and other eligible services through soft dollar arrangements valued at approximately $30,000. The use of soft dollars is limited by regulations in the European Union and the U.K. and, as such, the Company intends to directly pay a portion of the costs of such research and other eligible services going forward.</w:t>
      </w:r>
    </w:p>
    <w:p>
      <w:pPr>
        <w:spacing w:after="0" w:line="182"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b w:val="1"/>
          <w:bCs w:val="1"/>
          <w:i w:val="1"/>
          <w:iCs w:val="1"/>
          <w:color w:val="auto"/>
        </w:rPr>
        <w:t>Equity-Based Incentive Compensation Awards—</w:t>
      </w:r>
      <w:r>
        <w:rPr>
          <w:rFonts w:ascii="Arial" w:cs="Arial" w:eastAsia="Arial" w:hAnsi="Arial"/>
          <w:sz w:val="16"/>
          <w:szCs w:val="16"/>
          <w:color w:val="auto"/>
        </w:rPr>
        <w:t>Equity-based incentive compensation awards that do not require future service are expensed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immediately. Equity-based compensation awards that require future service are amortized over the applicable vesting period, or requisite service period, based on the fair value of the Company’s Class A common stock on the date of grant. Compensation expense recognized for equity-based incentive compensation is determined based on the number of awards that in the Company’s estimate are considered probable of vesting (including as a result of any applicable performance conditions). Equity-based incentive compensation is recognized in “compensation and benefits” expense.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Deferred income taxes reflect the net tax effects of temporary differences between the financial reporting and tax basis of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and are measured using the enacted tax rates and laws that will be in effect when such differences are expected to reverse. Such temporary differences are reflected as deferred tax assets and deferred tax liabilities on the consolidated statements of financial condition. A deferred tax asset is recognized if it is more likely than not (defined as a likelihood of greater than 50%) that a tax benefit will be accepted by a taxing authority.</w:t>
      </w:r>
    </w:p>
    <w:p>
      <w:pPr>
        <w:spacing w:after="0" w:line="17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following possible sources of taxable income when assessing the realization of deferred tax assets:</w:t>
      </w:r>
    </w:p>
    <w:p>
      <w:pPr>
        <w:spacing w:after="0" w:line="79" w:lineRule="exact"/>
        <w:rPr>
          <w:sz w:val="20"/>
          <w:szCs w:val="20"/>
          <w:color w:val="auto"/>
        </w:rPr>
      </w:pPr>
    </w:p>
    <w:p>
      <w:pPr>
        <w:ind w:left="1200" w:hanging="598"/>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1200" w:hanging="598"/>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The Company records tax positions taken or expected to be taken in a tax return based upon the Company’s estimates regarding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w:t>
      </w:r>
    </w:p>
    <w:p>
      <w:pPr>
        <w:spacing w:after="0" w:line="18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The Company recognizes interest and/or penalties related to unrecognized tax benefits in “provision for income taxes”. See Note 17 for additional information relating to income taxes.</w:t>
      </w:r>
    </w:p>
    <w:p>
      <w:pPr>
        <w:spacing w:after="0" w:line="279" w:lineRule="exact"/>
        <w:rPr>
          <w:sz w:val="20"/>
          <w:szCs w:val="20"/>
          <w:color w:val="auto"/>
        </w:rPr>
      </w:pPr>
    </w:p>
    <w:p>
      <w:pPr>
        <w:ind w:left="600" w:hanging="592"/>
        <w:spacing w:after="0"/>
        <w:tabs>
          <w:tab w:leader="none" w:pos="60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225"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—In May 2014, the FASB issued comprehensive new revenue recognition guidance. The guidance requires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recognize revenue when it transfers promised services to customers in an amount that reflects the consideration to which the company expects to be entitled in exchange for those services and requires enhanced disclosures. The guidance also changes the accounting for certain contract costs, including whether they may be offset against revenue in the consolidated statements of operations. The Company adopted the revenue recognition guidance upon its effective date of January 1, 2018 using the modified cumulative effect approach.</w:t>
      </w:r>
    </w:p>
    <w:p>
      <w:pPr>
        <w:spacing w:after="0" w:line="173" w:lineRule="exact"/>
        <w:rPr>
          <w:sz w:val="20"/>
          <w:szCs w:val="20"/>
          <w:color w:val="auto"/>
        </w:rPr>
      </w:pPr>
    </w:p>
    <w:p>
      <w:pPr>
        <w:ind w:right="320" w:firstLine="877"/>
        <w:spacing w:after="0" w:line="279" w:lineRule="auto"/>
        <w:rPr>
          <w:sz w:val="20"/>
          <w:szCs w:val="20"/>
          <w:color w:val="auto"/>
        </w:rPr>
      </w:pPr>
      <w:r>
        <w:rPr>
          <w:rFonts w:ascii="Arial" w:cs="Arial" w:eastAsia="Arial" w:hAnsi="Arial"/>
          <w:sz w:val="17"/>
          <w:szCs w:val="17"/>
          <w:color w:val="auto"/>
        </w:rPr>
        <w:t>The Company evaluated the impact of the new guidance, including (i) the timing of revenue recognition for Financial Advisory and Asset Management fees and (ii) the presentation of certain contract costs. With respect to revenue recognition, the Company assessed the impact of the new guidance on the recognition of fees for Financial Advisory (e.g., transaction completion, transaction announcement and retainers) and Asset Management (e.g., management and incentive fees), including the requirement under the new guidance to recognize certain transaction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completion fees in periods prior to the periods in which the applicable transactions close. The Company’s assessment included an analysis of whether the Company’s fulfillment of its performance obligations would be deemed to occur over time, or at specific points in time, under the new guidance. Specifically, recognition would be deemed to occur over time if the client receives and consumes benefits from the services as the Company performs the services. The Company concluded that Financial Advisory and Asset Management fees would typically be recognized over time as performance occurs, subject to constraints, using an appropriate measure of progress, based on resources consumed, which is consistent with when the client receives benefits. There was no material impact to the Company’s recognition of revenue upon adoption of the new guidance.</w:t>
      </w:r>
    </w:p>
    <w:p>
      <w:pPr>
        <w:spacing w:after="0" w:line="205"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The new guidance requires the Company to prospectively present certain contract costs on a gross basis. The most significant changes with respect to presentation relate to (a) certain distribution costs within our Asset Management business and (b) certain reimbursable deal costs within our Financial Advisory business, both of which were previously presented net against revenues and are now presented as expenses on a gross basis under the new guidance because the Company is primarily responsible for fulfilling the promise of the arrangement. For the year ended December 31, 2018, the presentation of such costs on a gross basis resulted in an increase to net revenue of $93,827, primarily comprised of increases to asset management fees and investment banking and other advisory fees. In addition, there was a corresponding increase to operating expenses of $93,827, primarily comprised of an increase to distribution costs presented within fund administration and outsourced services and an increase to reimbursable deal costs presented within marketing and business development. These amounts would have been presented on a net basis prior to the adoption of the new guidance, and there was no material impact to net income as a result of the gross basis of presentation under the new guidance.</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4 for further information on contracts within the scope of the new guidance.</w:t>
      </w:r>
    </w:p>
    <w:p>
      <w:pPr>
        <w:spacing w:after="0" w:line="225"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In August and November 2016, the FASB issued updated guidance which clarifies how</w:t>
      </w:r>
      <w:r>
        <w:rPr>
          <w:rFonts w:ascii="Arial" w:cs="Arial" w:eastAsia="Arial" w:hAnsi="Arial"/>
          <w:sz w:val="16"/>
          <w:szCs w:val="16"/>
          <w:i w:val="1"/>
          <w:iCs w:val="1"/>
          <w:color w:val="auto"/>
        </w:rPr>
        <w:t xml:space="preserve"> </w:t>
      </w:r>
      <w:r>
        <w:rPr>
          <w:rFonts w:ascii="Arial" w:cs="Arial" w:eastAsia="Arial" w:hAnsi="Arial"/>
          <w:sz w:val="16"/>
          <w:szCs w:val="16"/>
          <w:color w:val="auto"/>
        </w:rPr>
        <w:t>a company should classify certain cash receipts and cash payments on the statement of cash flows and clarifies that restricted cash should be included in the total of cash and cash equivalents on the statement of cash flows. The Company adopted this new guidance on January 1, 2018, which resulted in the reclassification of “cash deposited with clearing organizations and other segregated cash” and “deposits with banks and short-term investments” from operating activities to components of “cash and cash equivalents and restricted cash” on the consolidated statement of cash flows. In addition, the Company reclassified cash flows related to customer deposits from operating activities to financing activities. This resulted in changes in deposits with banks and short-term investments and customer deposits no longer being reflected in cash flows from operating activities. Except for the reclassification of these items on the consolidated statement of cash flows for all years presented, the new guidance had no impact on the Company’s financial statements.</w:t>
      </w:r>
    </w:p>
    <w:p>
      <w:pPr>
        <w:spacing w:after="0" w:line="166"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In January 2017, the FASB issued updated guidance to clarify the definition of a business within the context</w:t>
      </w:r>
      <w:r>
        <w:rPr>
          <w:rFonts w:ascii="Arial" w:cs="Arial" w:eastAsia="Arial" w:hAnsi="Arial"/>
          <w:sz w:val="17"/>
          <w:szCs w:val="17"/>
          <w:i w:val="1"/>
          <w:iCs w:val="1"/>
          <w:color w:val="auto"/>
        </w:rPr>
        <w:t xml:space="preserve"> </w:t>
      </w:r>
      <w:r>
        <w:rPr>
          <w:rFonts w:ascii="Arial" w:cs="Arial" w:eastAsia="Arial" w:hAnsi="Arial"/>
          <w:sz w:val="17"/>
          <w:szCs w:val="17"/>
          <w:color w:val="auto"/>
        </w:rPr>
        <w:t>of business combinations. The updated guidance requires that when substantially all of the fair value of the gross assets acquired (or disposed of) is concentrated in a single identifiable asset or a group of similar identifiable assets, such asset or group of assets is not a business. This updated guidance is expected to reduce the number of transactions that need to be further evaluated as business combinations. If further evaluation is necessary, the updated guidance requires that a business set include, at a minimum, an input and a substantive process that together significantly contribute to the ability to create output. The updated guidance removes the evaluation of whether a market participant could replace missing elements. The Company adopted the new guidance on January 1, 2018 and it did not have a material impact on the Company’s financial statements.</w:t>
      </w:r>
    </w:p>
    <w:p>
      <w:pPr>
        <w:spacing w:after="0" w:line="178" w:lineRule="exact"/>
        <w:rPr>
          <w:sz w:val="20"/>
          <w:szCs w:val="20"/>
          <w:color w:val="auto"/>
        </w:rPr>
      </w:pPr>
    </w:p>
    <w:p>
      <w:pPr>
        <w:ind w:right="180" w:firstLine="638"/>
        <w:spacing w:after="0" w:line="255" w:lineRule="auto"/>
        <w:rPr>
          <w:sz w:val="20"/>
          <w:szCs w:val="20"/>
          <w:color w:val="auto"/>
        </w:rPr>
      </w:pPr>
      <w:r>
        <w:rPr>
          <w:rFonts w:ascii="Arial" w:cs="Arial" w:eastAsia="Arial" w:hAnsi="Arial"/>
          <w:sz w:val="18"/>
          <w:szCs w:val="18"/>
          <w:i w:val="1"/>
          <w:iCs w:val="1"/>
          <w:color w:val="auto"/>
        </w:rPr>
        <w:t>Compensation</w:t>
      </w:r>
      <w:r>
        <w:rPr>
          <w:rFonts w:ascii="Arial" w:cs="Arial" w:eastAsia="Arial" w:hAnsi="Arial"/>
          <w:sz w:val="18"/>
          <w:szCs w:val="18"/>
          <w:color w:val="auto"/>
        </w:rPr>
        <w:t>—</w:t>
      </w:r>
      <w:r>
        <w:rPr>
          <w:rFonts w:ascii="Arial" w:cs="Arial" w:eastAsia="Arial" w:hAnsi="Arial"/>
          <w:sz w:val="18"/>
          <w:szCs w:val="18"/>
          <w:i w:val="1"/>
          <w:iCs w:val="1"/>
          <w:color w:val="auto"/>
        </w:rPr>
        <w:t>Retirement Benefits</w:t>
      </w:r>
      <w:r>
        <w:rPr>
          <w:rFonts w:ascii="Arial" w:cs="Arial" w:eastAsia="Arial" w:hAnsi="Arial"/>
          <w:sz w:val="18"/>
          <w:szCs w:val="18"/>
          <w:color w:val="auto"/>
        </w:rPr>
        <w:t>—</w:t>
      </w:r>
      <w:r>
        <w:rPr>
          <w:rFonts w:ascii="Arial" w:cs="Arial" w:eastAsia="Arial" w:hAnsi="Arial"/>
          <w:sz w:val="18"/>
          <w:szCs w:val="18"/>
          <w:i w:val="1"/>
          <w:iCs w:val="1"/>
          <w:color w:val="auto"/>
        </w:rPr>
        <w:t>Improving the Presentation of Net Periodic Pension Cost and Net Periodic Postretirement Benefit Cost</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2016, the FASB issued updated guidance on the presentation of net benefit cost in the statement of operations and the components eligible for capitalization. The new guidance requires that only the service cost component of net periodic pension cost and net periodic postretirement benefit cost be presented with other employee compensation costs in operating expenses, applied on a retrospective basis. The other components of net benefit cost, including amortization of prior service cost, and gains and losses from settlements and curtailments, are included in other operating expenses. The new guidance also stipulates that only the service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cost component of net benefit cost is eligible for capitalization, applied on a prospective basis. The Company adopted the new guidance on January 1, 2018 and there was no material impact to the Company’s financial statements.</w:t>
      </w:r>
    </w:p>
    <w:p>
      <w:pPr>
        <w:spacing w:after="0" w:line="170" w:lineRule="exact"/>
        <w:rPr>
          <w:sz w:val="20"/>
          <w:szCs w:val="20"/>
          <w:color w:val="auto"/>
        </w:rPr>
      </w:pPr>
    </w:p>
    <w:p>
      <w:pPr>
        <w:ind w:right="180" w:firstLine="638"/>
        <w:spacing w:after="0" w:line="257" w:lineRule="auto"/>
        <w:rPr>
          <w:sz w:val="20"/>
          <w:szCs w:val="20"/>
          <w:color w:val="auto"/>
        </w:rPr>
      </w:pPr>
      <w:r>
        <w:rPr>
          <w:rFonts w:ascii="Arial" w:cs="Arial" w:eastAsia="Arial" w:hAnsi="Arial"/>
          <w:sz w:val="18"/>
          <w:szCs w:val="18"/>
          <w:i w:val="1"/>
          <w:iCs w:val="1"/>
          <w:color w:val="auto"/>
        </w:rPr>
        <w:t>Compensation—Stock Compensation: Scope of Modification Accounting—</w:t>
      </w:r>
      <w:r>
        <w:rPr>
          <w:rFonts w:ascii="Arial" w:cs="Arial" w:eastAsia="Arial" w:hAnsi="Arial"/>
          <w:sz w:val="18"/>
          <w:szCs w:val="18"/>
          <w:color w:val="auto"/>
        </w:rPr>
        <w:t>In May 2017, the FASB issued updated guidance on modifications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payment awards. The updated guidance requires entities to account for the effects of a modification to a share-based payment award unless the following are all the same immediately before and after the modification: (i) the fair value of the award, (ii) the vesting conditions of the award, and (iii) the classification of the award as an equity instrument or a liability instrument. The Company adopted the new guidance on January 1, 2018, and there was no material impact to the Company’s financial statements.</w:t>
      </w:r>
    </w:p>
    <w:p>
      <w:pPr>
        <w:spacing w:after="0" w:line="188" w:lineRule="exact"/>
        <w:rPr>
          <w:sz w:val="20"/>
          <w:szCs w:val="20"/>
          <w:color w:val="auto"/>
        </w:rPr>
      </w:pPr>
    </w:p>
    <w:p>
      <w:pPr>
        <w:ind w:firstLine="638"/>
        <w:spacing w:after="0" w:line="272" w:lineRule="auto"/>
        <w:rPr>
          <w:sz w:val="20"/>
          <w:szCs w:val="20"/>
          <w:color w:val="auto"/>
        </w:rPr>
      </w:pP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In February 2018, the FASB issued updated guidance on</w:t>
      </w:r>
      <w:r>
        <w:rPr>
          <w:rFonts w:ascii="Arial" w:cs="Arial" w:eastAsia="Arial" w:hAnsi="Arial"/>
          <w:sz w:val="17"/>
          <w:szCs w:val="17"/>
          <w:i w:val="1"/>
          <w:iCs w:val="1"/>
          <w:color w:val="auto"/>
        </w:rPr>
        <w:t xml:space="preserve"> </w:t>
      </w:r>
      <w:r>
        <w:rPr>
          <w:rFonts w:ascii="Arial" w:cs="Arial" w:eastAsia="Arial" w:hAnsi="Arial"/>
          <w:sz w:val="17"/>
          <w:szCs w:val="17"/>
          <w:color w:val="auto"/>
        </w:rPr>
        <w:t>the tax effects of items in AOCI. Specifically, the new guidance will permit, but not require, a reclassification from AOCI to retained earnings for stranded tax effects resulting from the newly enacted federal corporate income tax rate under the Tax Cuts and Jobs Act of 2017 (see Note 17). The amount of the reclassification would be the difference between the historical corporate income tax rate and the newly enacted 21% corporate income tax rate. The new guidance is effective for annual and interim periods beginning after December 15, 2018, with an option to apply it in the period of adoption or on a retrospective basis for each period in which the effect of the change in the U.S. federal corporate income tax rate is recognized. The Company will adopt the new guidance on January 1, 2019 and does not expect a material impact on the Company’s financial statements.</w:t>
      </w:r>
    </w:p>
    <w:p>
      <w:pPr>
        <w:spacing w:after="0" w:line="178"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—In February 2016, the FASB issued updated guidance for leases. The guidance requires a lessee to (i) recognize a right-of-use asset and a</w:t>
      </w:r>
      <w:r>
        <w:rPr>
          <w:rFonts w:ascii="Arial" w:cs="Arial" w:eastAsia="Arial" w:hAnsi="Arial"/>
          <w:sz w:val="18"/>
          <w:szCs w:val="18"/>
          <w:i w:val="1"/>
          <w:iCs w:val="1"/>
          <w:color w:val="auto"/>
        </w:rPr>
        <w:t xml:space="preserve"> </w:t>
      </w:r>
      <w:r>
        <w:rPr>
          <w:rFonts w:ascii="Arial" w:cs="Arial" w:eastAsia="Arial" w:hAnsi="Arial"/>
          <w:sz w:val="18"/>
          <w:szCs w:val="18"/>
          <w:color w:val="auto"/>
        </w:rPr>
        <w:t>lease liability that is initially measured at the present value of the lease payments, in the consolidated statement of financial condition, (ii) recognize a single lease cost, calculated so that the cost of the lease is allocated over the lease term on a straight-line basis and (iii) classify operating lease related cash payments within operating activities and finance lease related principal cash payments within financing activities (with interest included in interest paid) in the consolidated statement of cash flows.</w:t>
      </w:r>
    </w:p>
    <w:p>
      <w:pPr>
        <w:spacing w:after="0" w:line="188" w:lineRule="exact"/>
        <w:rPr>
          <w:sz w:val="20"/>
          <w:szCs w:val="20"/>
          <w:color w:val="auto"/>
        </w:rPr>
      </w:pPr>
    </w:p>
    <w:p>
      <w:pPr>
        <w:ind w:right="200" w:firstLine="598"/>
        <w:spacing w:after="0" w:line="257" w:lineRule="auto"/>
        <w:rPr>
          <w:sz w:val="20"/>
          <w:szCs w:val="20"/>
          <w:color w:val="auto"/>
        </w:rPr>
      </w:pPr>
      <w:r>
        <w:rPr>
          <w:rFonts w:ascii="Arial" w:cs="Arial" w:eastAsia="Arial" w:hAnsi="Arial"/>
          <w:sz w:val="18"/>
          <w:szCs w:val="18"/>
          <w:color w:val="auto"/>
        </w:rPr>
        <w:t>The new guidance is effective for annual and interim periods beginning after December 15, 2018. The Company will adopt the new guidance on January 1, 2019 using the optional transition method, which allows the new standard to be applied initially at the adoption date with a cumulative-effect adjustment without restating comparative periods. Lazard plans to elect the practical expedients, which allows the carry-forward of the prior conclusions on lease definition, classification and initial direct costs related to the expired and existing leases as of the adoption date. The Company expects to apply the exemption of balance sheet recognition requirements of short-term leases.</w:t>
      </w:r>
    </w:p>
    <w:p>
      <w:pPr>
        <w:spacing w:after="0" w:line="188" w:lineRule="exact"/>
        <w:rPr>
          <w:sz w:val="20"/>
          <w:szCs w:val="20"/>
          <w:color w:val="auto"/>
        </w:rPr>
      </w:pPr>
    </w:p>
    <w:p>
      <w:pPr>
        <w:ind w:right="160" w:firstLine="598"/>
        <w:spacing w:after="0" w:line="286" w:lineRule="auto"/>
        <w:rPr>
          <w:sz w:val="20"/>
          <w:szCs w:val="20"/>
          <w:color w:val="auto"/>
        </w:rPr>
      </w:pPr>
      <w:r>
        <w:rPr>
          <w:rFonts w:ascii="Arial" w:cs="Arial" w:eastAsia="Arial" w:hAnsi="Arial"/>
          <w:sz w:val="17"/>
          <w:szCs w:val="17"/>
          <w:color w:val="auto"/>
        </w:rPr>
        <w:t>The Company continues to evaluate its processes and internal controls over financial reporting relating to its leasing activities. The Company currently estimates the recognition of the right-of-use assets and lease liabilities to be approximately $500,000 to $600,000 on its consolidated statements of financial condition upon adoption and does not expect a material impact on its consolidated statement of operations.</w:t>
      </w:r>
    </w:p>
    <w:p>
      <w:pPr>
        <w:spacing w:after="0" w:line="166"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In June 2018, the FASB issued updated guidance to simplify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nonemployee share-based payment transactions. The new guidance generally requires equity-classified nonemployee share-based payment awards to be measured at the grant date, which is the date at which a grantor and grantee reach a mutual understanding of the key terms and conditions of a share-based payment award. This update generally aligns the accounting for equity-classified share-based payment awards to nonemployees with the measurement date required for employees. The new guidance is effective for annual and interim periods beginning after December 15, 2018. Upon adoption, the new guidance would be applied on a modified retrospective basis. The Company will adopt the new guidance on January 1, 2019 and does not expect it to have a material impact on the Company’s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180" w:firstLine="598"/>
        <w:spacing w:after="0" w:line="276" w:lineRule="auto"/>
        <w:rPr>
          <w:sz w:val="20"/>
          <w:szCs w:val="20"/>
          <w:color w:val="auto"/>
        </w:rPr>
      </w:pP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—In June 2016, the FASB issued new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165" w:lineRule="exact"/>
        <w:rPr>
          <w:sz w:val="20"/>
          <w:szCs w:val="20"/>
          <w:color w:val="auto"/>
        </w:rPr>
      </w:pPr>
    </w:p>
    <w:p>
      <w:pPr>
        <w:ind w:right="60" w:firstLine="598"/>
        <w:spacing w:after="0" w:line="289" w:lineRule="auto"/>
        <w:rPr>
          <w:sz w:val="20"/>
          <w:szCs w:val="20"/>
          <w:color w:val="auto"/>
        </w:rPr>
      </w:pPr>
      <w:r>
        <w:rPr>
          <w:rFonts w:ascii="Arial" w:cs="Arial" w:eastAsia="Arial" w:hAnsi="Arial"/>
          <w:sz w:val="17"/>
          <w:szCs w:val="17"/>
          <w:i w:val="1"/>
          <w:iCs w:val="1"/>
          <w:color w:val="auto"/>
        </w:rPr>
        <w:t>Intangibles</w:t>
      </w:r>
      <w:r>
        <w:rPr>
          <w:rFonts w:ascii="Arial" w:cs="Arial" w:eastAsia="Arial" w:hAnsi="Arial"/>
          <w:sz w:val="20"/>
          <w:szCs w:val="20"/>
          <w:color w:val="3C3C3D"/>
        </w:rPr>
        <w:t>—</w:t>
      </w:r>
      <w:r>
        <w:rPr>
          <w:rFonts w:ascii="Arial" w:cs="Arial" w:eastAsia="Arial" w:hAnsi="Arial"/>
          <w:sz w:val="17"/>
          <w:szCs w:val="17"/>
          <w:i w:val="1"/>
          <w:iCs w:val="1"/>
          <w:color w:val="auto"/>
        </w:rPr>
        <w:t>Goodwill and Other: Simplifying the Test for Goodwill Impairment</w:t>
      </w:r>
      <w:r>
        <w:rPr>
          <w:rFonts w:ascii="Arial" w:cs="Arial" w:eastAsia="Arial" w:hAnsi="Arial"/>
          <w:sz w:val="20"/>
          <w:szCs w:val="20"/>
          <w:color w:val="3C3C3D"/>
        </w:rPr>
        <w:t>—</w:t>
      </w:r>
      <w:r>
        <w:rPr>
          <w:rFonts w:ascii="Arial" w:cs="Arial" w:eastAsia="Arial" w:hAnsi="Arial"/>
          <w:sz w:val="17"/>
          <w:szCs w:val="17"/>
          <w:color w:val="auto"/>
        </w:rPr>
        <w:t>In January 2017, the FASB issued updated guidance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162"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i w:val="1"/>
          <w:iCs w:val="1"/>
          <w:color w:val="auto"/>
        </w:rPr>
        <w:t>Intangibles—Internal-Use Software: Customer’s Accounting for Implementation Costs Incurred in a Cloud Computing Arrangement that is a Service Contract</w:t>
      </w:r>
      <w:r>
        <w:rPr>
          <w:rFonts w:ascii="Arial" w:cs="Arial" w:eastAsia="Arial" w:hAnsi="Arial"/>
          <w:sz w:val="18"/>
          <w:szCs w:val="18"/>
          <w:color w:val="auto"/>
        </w:rPr>
        <w:t>—In August 2018, the FASB issued updated guidance on the accounting for implementation costs incurred in a cloud computing arrangement.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guidance requires the capitalization of the implementation costs incurred in a cloud computing arrangement to be aligned with the requirements for capitalizing costs incurred to develop or obtain internal-use software. The new guidance is effective for annual and interim reporting periods beginning after December 15, 2019, with early adoption permitted. Upon adoption, the Company may elect to apply the new guidance on either a prospective or retrospective basis. The Company is currently evaluating the new guidance.</w:t>
      </w:r>
    </w:p>
    <w:p>
      <w:pPr>
        <w:spacing w:after="0" w:line="193"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i w:val="1"/>
          <w:iCs w:val="1"/>
          <w:color w:val="auto"/>
        </w:rPr>
        <w:t>Related Party Guidance for Variable Interest Entities</w:t>
      </w:r>
      <w:r>
        <w:rPr>
          <w:rFonts w:ascii="Arial" w:cs="Arial" w:eastAsia="Arial" w:hAnsi="Arial"/>
          <w:sz w:val="16"/>
          <w:szCs w:val="16"/>
          <w:color w:val="auto"/>
        </w:rPr>
        <w:t>—In October 2018, the FASB issued updated guidance that requires consideration of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held through related parties under common control for determining whether fees paid to decision makers and service providers are variable interests. The new guidance is effective for fiscal years and interim periods beginning after December 15, 2019, with early adoption permitted. The amendments are required to be applied retrospectively with a cumulative-effect adjustment. The Company is currently evaluating the new guidance.</w:t>
      </w:r>
    </w:p>
    <w:p>
      <w:pPr>
        <w:spacing w:after="0" w:line="154"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i w:val="1"/>
          <w:iCs w:val="1"/>
          <w:color w:val="auto"/>
        </w:rPr>
        <w:t>Fair Value Measurement: Changes to the Disclosure Requirements for Fair Value Measurement</w:t>
      </w:r>
      <w:r>
        <w:rPr>
          <w:rFonts w:ascii="Arial" w:cs="Arial" w:eastAsia="Arial" w:hAnsi="Arial"/>
          <w:sz w:val="17"/>
          <w:szCs w:val="17"/>
          <w:color w:val="auto"/>
        </w:rPr>
        <w:t>—In August 2018, the FASB issued updated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which modifies the disclosure requirements on fair value measurement. The updated guidance eliminates or modifies various required disclosures under the current guidance and includes additional requirements. The new guidance is effective for annual and interim reporting periods beginning after December 15, 2019, with early adoption permitted. The Company is currently evaluating the new guidance.</w:t>
      </w:r>
    </w:p>
    <w:p>
      <w:pPr>
        <w:spacing w:after="0" w:line="171"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i w:val="1"/>
          <w:iCs w:val="1"/>
          <w:color w:val="auto"/>
        </w:rPr>
        <w:t>Compensation–Retirement Benefits: Changes to the Disclosure Requirements for Defined Benefit Plans</w:t>
      </w:r>
      <w:r>
        <w:rPr>
          <w:rFonts w:ascii="Arial" w:cs="Arial" w:eastAsia="Arial" w:hAnsi="Arial"/>
          <w:sz w:val="17"/>
          <w:szCs w:val="17"/>
          <w:color w:val="auto"/>
        </w:rPr>
        <w:t>—In August 2018, the FASB issued updated</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which modifies the disclosure requirements regarding defined benefit plans and other postretirement plans. The updated guidance eliminates or clarifies certain currently required disclosures and includes additional requirements. The new guidance is effective for annual and interim reporting periods beginning after December 15, 2020, with early adoption permitted. The Company is currently evaluating the new guidance.</w:t>
      </w:r>
    </w:p>
    <w:p>
      <w:pPr>
        <w:spacing w:after="0" w:line="361" w:lineRule="exact"/>
        <w:rPr>
          <w:sz w:val="20"/>
          <w:szCs w:val="20"/>
          <w:color w:val="auto"/>
        </w:rPr>
      </w:pPr>
    </w:p>
    <w:p>
      <w:pPr>
        <w:ind w:left="600" w:hanging="592"/>
        <w:spacing w:after="0"/>
        <w:tabs>
          <w:tab w:leader="none" w:pos="60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580" w:firstLine="598"/>
        <w:spacing w:after="0" w:line="277" w:lineRule="auto"/>
        <w:rPr>
          <w:sz w:val="20"/>
          <w:szCs w:val="20"/>
          <w:color w:val="auto"/>
        </w:rPr>
      </w:pPr>
      <w:r>
        <w:rPr>
          <w:rFonts w:ascii="Arial" w:cs="Arial" w:eastAsia="Arial" w:hAnsi="Arial"/>
          <w:sz w:val="18"/>
          <w:szCs w:val="18"/>
          <w:b w:val="1"/>
          <w:bCs w:val="1"/>
          <w:i w:val="1"/>
          <w:iCs w:val="1"/>
          <w:color w:val="auto"/>
        </w:rPr>
        <w:t>Investment Banking and Other Advisory Fees</w:t>
      </w:r>
      <w:r>
        <w:rPr>
          <w:rFonts w:ascii="Arial" w:cs="Arial" w:eastAsia="Arial" w:hAnsi="Arial"/>
          <w:sz w:val="18"/>
          <w:szCs w:val="18"/>
          <w:color w:val="auto"/>
        </w:rPr>
        <w:t>—Fees for Financial Advisory services are recorded when: (i) a contract with a client has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identified, (ii) the performance obligations in the contract have been identified, (iii)</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3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fee or other transaction price has been determined, (iv) the fee or other transaction price has been allocated to each performance obligation in the contract, and (v) the Company has satisfied the applicable performance obligation. The expenses that are directly related to such transactions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investment banking and other advisory fees.</w:t>
      </w:r>
    </w:p>
    <w:p>
      <w:pPr>
        <w:spacing w:after="0" w:line="188"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b w:val="1"/>
          <w:bCs w:val="1"/>
          <w:i w:val="1"/>
          <w:iCs w:val="1"/>
          <w:color w:val="auto"/>
        </w:rPr>
        <w:t>Asset Management Fees</w:t>
      </w:r>
      <w:r>
        <w:rPr>
          <w:rFonts w:ascii="Arial" w:cs="Arial" w:eastAsia="Arial" w:hAnsi="Arial"/>
          <w:sz w:val="17"/>
          <w:szCs w:val="17"/>
          <w:color w:val="auto"/>
        </w:rPr>
        <w:t>—Fees for Asset Management services are primarily comprised of management fees and incentive fees. Management fees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derived from fees for investment management and other services provided to clients. Revenue is recorded in accordance with the same five criteria as Financial Advisory fees, which generally results in management fees being recorded on a daily, monthly or quarterly basis, primarily based on a percentage of client assets managed. Fees vary with the type of assets managed, with higher fees earned on equity assets, alternative investment (such as hedge fund) and private equity funds, and lower fees earned on fixed income and money market products. Expenses that are directly related to the sale or distribution of fund interests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asset management fees.</w:t>
      </w:r>
    </w:p>
    <w:p>
      <w:pPr>
        <w:spacing w:after="0" w:line="179"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For hedge funds, incentive fees are calculated based on a specific percentage of a fund’s net appreciation, in some cases in excess of established benchmarks or thresholds. The Company records incentive fees on traditional products and hedge funds when a significant reversal in the amount of the cumulative revenue to be recognized is not probable, which is typically at the end of the relevant performance measurement period. The incentive fee measurement period is generally an annual period (unless an account is terminated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89"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the Company records incentive fees earned on our private equity funds when a significant reversal in the amount of the cumulative revenue to be recognized is not probable, which is typically at the end of the relevant performance period.</w:t>
      </w:r>
    </w:p>
    <w:p>
      <w:pPr>
        <w:spacing w:after="0" w:line="171"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Receivables relating to asset management and incentive fees are reported in “fees receivable” on the consolidated statements of financial condition.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680" w:firstLine="598"/>
        <w:spacing w:after="0" w:line="308" w:lineRule="auto"/>
        <w:rPr>
          <w:sz w:val="20"/>
          <w:szCs w:val="20"/>
          <w:color w:val="auto"/>
        </w:rPr>
      </w:pPr>
      <w:r>
        <w:rPr>
          <w:rFonts w:ascii="Arial" w:cs="Arial" w:eastAsia="Arial" w:hAnsi="Arial"/>
          <w:sz w:val="17"/>
          <w:szCs w:val="17"/>
          <w:color w:val="auto"/>
        </w:rPr>
        <w:t>The Company disaggregates revenue based on its business segment results and believes that the following information provides a reasonable representation of how performance obligations relate to the nature, amount, timing and uncertainty of revenue and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December 31, 2018 (d)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3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Financial Advisory (a)</w:t>
            </w:r>
          </w:p>
        </w:tc>
        <w:tc>
          <w:tcPr>
            <w:tcW w:w="3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1,548,918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Borders>
              <w:top w:val="single" w:sz="8" w:color="CFF0FC"/>
            </w:tcBorders>
            <w:shd w:val="clear" w:color="auto" w:fill="CFF0FC"/>
          </w:tcPr>
          <w:p>
            <w:pPr>
              <w:spacing w:after="0"/>
              <w:rPr>
                <w:sz w:val="18"/>
                <w:szCs w:val="18"/>
                <w:color w:val="auto"/>
              </w:rPr>
            </w:pPr>
          </w:p>
        </w:tc>
        <w:tc>
          <w:tcPr>
            <w:tcW w:w="3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Management Fees and Other (b)</w:t>
            </w:r>
          </w:p>
        </w:tc>
        <w:tc>
          <w:tcPr>
            <w:tcW w:w="35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1,311,286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Incentive Fees (c)</w:t>
            </w:r>
          </w:p>
        </w:tc>
        <w:tc>
          <w:tcPr>
            <w:tcW w:w="3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 Management</w:t>
            </w:r>
          </w:p>
        </w:tc>
        <w:tc>
          <w:tcPr>
            <w:tcW w:w="3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1,331,801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right="140" w:hanging="432"/>
        <w:spacing w:after="0" w:line="270" w:lineRule="auto"/>
        <w:tabs>
          <w:tab w:leader="none" w:pos="4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Financial Advisory is comprised of M&amp;A Advisory, Capital Advisory, Capital Raising, Restructuring, Shareholder Advisory, Sovereign Advisory,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 the advisory services are performed. However, transaction announcement and transaction completion fees are variable and subject to constraints, and they are typically not recognized until there is an announcement date or a completion date, respectively, due to the uncertainty associated with those events. Therefore, in any given period, advisory fees recognized for certain transactions will relate to services performed in prior periods. The advisory fees that may be unrecognized as of the end of a reporting period, primarily comprised of fees associated with transaction announcements and transaction completions, generally remain unrecognized due to the uncertainty associated with those events.</w:t>
      </w:r>
    </w:p>
    <w:p>
      <w:pPr>
        <w:spacing w:after="0" w:line="33" w:lineRule="exact"/>
        <w:rPr>
          <w:rFonts w:ascii="Arial" w:cs="Arial" w:eastAsia="Arial" w:hAnsi="Arial"/>
          <w:sz w:val="17"/>
          <w:szCs w:val="17"/>
          <w:color w:val="auto"/>
        </w:rPr>
      </w:pPr>
    </w:p>
    <w:p>
      <w:pPr>
        <w:ind w:left="440" w:right="40" w:hanging="432"/>
        <w:spacing w:after="0" w:line="257"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Management fees and other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other, and the benefits of such services are transferred to the Company’s clients at the point in time that such fund interests are sold or distributed.</w:t>
      </w:r>
    </w:p>
    <w:p>
      <w:pPr>
        <w:spacing w:after="0" w:line="39" w:lineRule="exact"/>
        <w:rPr>
          <w:rFonts w:ascii="Arial" w:cs="Arial" w:eastAsia="Arial" w:hAnsi="Arial"/>
          <w:sz w:val="18"/>
          <w:szCs w:val="18"/>
          <w:color w:val="auto"/>
        </w:rPr>
      </w:pPr>
    </w:p>
    <w:p>
      <w:pPr>
        <w:ind w:left="440" w:right="40" w:hanging="432"/>
        <w:spacing w:after="0" w:line="259"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w:t>
      </w:r>
    </w:p>
    <w:p>
      <w:pPr>
        <w:spacing w:after="0" w:line="38" w:lineRule="exact"/>
        <w:rPr>
          <w:rFonts w:ascii="Arial" w:cs="Arial" w:eastAsia="Arial" w:hAnsi="Arial"/>
          <w:sz w:val="18"/>
          <w:szCs w:val="18"/>
          <w:color w:val="auto"/>
        </w:rPr>
      </w:pPr>
    </w:p>
    <w:p>
      <w:pPr>
        <w:ind w:left="440" w:right="400" w:hanging="432"/>
        <w:spacing w:after="0" w:line="264"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addition to the above, contracts with clients include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spacing w:after="0" w:line="181" w:lineRule="exact"/>
        <w:rPr>
          <w:sz w:val="20"/>
          <w:szCs w:val="20"/>
          <w:color w:val="auto"/>
        </w:rPr>
      </w:pPr>
    </w:p>
    <w:p>
      <w:pPr>
        <w:ind w:right="260" w:firstLine="598"/>
        <w:spacing w:after="0" w:line="276" w:lineRule="auto"/>
        <w:rPr>
          <w:sz w:val="20"/>
          <w:szCs w:val="20"/>
          <w:color w:val="auto"/>
        </w:rPr>
      </w:pPr>
      <w:r>
        <w:rPr>
          <w:rFonts w:ascii="Arial" w:cs="Arial" w:eastAsia="Arial" w:hAnsi="Arial"/>
          <w:sz w:val="17"/>
          <w:szCs w:val="17"/>
          <w:color w:val="auto"/>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 uncertainties. Therefore, when applying the practical expedients, amounts related to remaining performance obligations are not material to the Company’s financial statements.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jc w:val="center"/>
        <w:ind w:right="-9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32" w:lineRule="exact"/>
        <w:rPr>
          <w:sz w:val="20"/>
          <w:szCs w:val="20"/>
          <w:color w:val="auto"/>
        </w:rPr>
      </w:pPr>
    </w:p>
    <w:p>
      <w:pPr>
        <w:ind w:left="600" w:hanging="592"/>
        <w:spacing w:after="0"/>
        <w:tabs>
          <w:tab w:leader="none" w:pos="60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right="620" w:firstLine="598"/>
        <w:spacing w:after="0" w:line="277" w:lineRule="auto"/>
        <w:rPr>
          <w:sz w:val="20"/>
          <w:szCs w:val="20"/>
          <w:color w:val="auto"/>
        </w:rPr>
      </w:pPr>
      <w:r>
        <w:rPr>
          <w:rFonts w:ascii="Arial" w:cs="Arial" w:eastAsia="Arial" w:hAnsi="Arial"/>
          <w:sz w:val="18"/>
          <w:szCs w:val="18"/>
          <w:color w:val="auto"/>
        </w:rPr>
        <w:t>The Company’s receivables represent fee receivables, amounts due from customers and other receivables, and amounts due from Lazard Ltd subsidiaries.</w:t>
      </w:r>
    </w:p>
    <w:p>
      <w:pPr>
        <w:spacing w:after="0" w:line="170"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Activity in the allowance for doubtful accounts for the years ended December 31, 2018, 2017 and 2016 was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12,882</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27,164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10,055</w:t>
            </w:r>
          </w:p>
        </w:tc>
        <w:tc>
          <w:tcPr>
            <w:tcW w:w="100" w:type="dxa"/>
            <w:vAlign w:val="bottom"/>
          </w:tcPr>
          <w:p>
            <w:pPr>
              <w:spacing w:after="0"/>
              <w:rPr>
                <w:sz w:val="19"/>
                <w:szCs w:val="19"/>
                <w:color w:val="auto"/>
              </w:rPr>
            </w:pPr>
          </w:p>
        </w:tc>
      </w:tr>
      <w:tr>
        <w:trPr>
          <w:trHeight w:val="215"/>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(10,741)</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(8,113)</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(6,551)</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40,115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16,386</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Bad debt expense, net of recoveries is included in “operating expenses - other” on the consolidated statements of operations.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At December 31, 2018 and 2017, the Company had receivables past due or deemed uncollectible of $42,260 and $34,865, respectively.</w:t>
      </w:r>
    </w:p>
    <w:p>
      <w:pPr>
        <w:spacing w:after="0" w:line="23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Of the Company’s fee receivables at December 31, 2018 and 2017, $90,966 and $80,536, respectively, represented interest-bearing financing receivables. In addition, at December 31, 2017, the Company had interest-bearing receivables from Lazard Ltd subsidiaries of $72. Based upon our historical loss experience, the credit quality of the counterparties, and the lack of past due or uncollectible amounts, there was no allowance for doubtful accounts required at those dates related to such receivables.</w:t>
      </w:r>
    </w:p>
    <w:p>
      <w:pPr>
        <w:spacing w:after="0" w:line="18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$613,342 and $508,143 at December 31, 2018 and 2017, respectively, approximates fair value.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0" w:hanging="592"/>
        <w:spacing w:after="0"/>
        <w:tabs>
          <w:tab w:leader="none" w:pos="60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December 31, 2018 and 2017:</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3860" w:type="dxa"/>
            <w:vAlign w:val="bottom"/>
            <w:tcBorders>
              <w:bottom w:val="single" w:sz="8" w:color="CFF0FC"/>
            </w:tcBorders>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202,874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Funds: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90,320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386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381,367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575,148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427,186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2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574,638</w:t>
            </w:r>
          </w:p>
        </w:tc>
        <w:tc>
          <w:tcPr>
            <w:tcW w:w="2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426,630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w:t>
            </w:r>
          </w:p>
        </w:tc>
        <w:tc>
          <w:tcPr>
            <w:tcW w:w="2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2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(included in “other liabilities”)</w:t>
            </w:r>
          </w:p>
        </w:tc>
        <w:tc>
          <w:tcPr>
            <w:tcW w:w="2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3,929</w:t>
            </w:r>
          </w:p>
        </w:tc>
        <w:tc>
          <w:tcPr>
            <w:tcW w:w="280" w:type="dxa"/>
            <w:vAlign w:val="bottom"/>
          </w:tcPr>
          <w:p>
            <w:pPr>
              <w:spacing w:after="0"/>
              <w:rPr>
                <w:sz w:val="20"/>
                <w:szCs w:val="20"/>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8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120" w:hanging="592"/>
        <w:spacing w:after="0" w:line="257" w:lineRule="auto"/>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$9,741, $60,081 and $132,038, respectively, at December 31, 2018 and $11,213, $48,391 and $131,893, respectively, at December 31, 2017, held in order to satisfy the Company’s liability upon vesting of previously granted LFI and other similar deferred compensation arrangements. LFI represent grants by the Company to eligible employees of actual or notional interests in a number of Lazard-managed funds, subject to service-based vesting conditions (see Notes 8 and 15).</w:t>
      </w:r>
    </w:p>
    <w:p>
      <w:pPr>
        <w:spacing w:after="0" w:line="188" w:lineRule="exact"/>
        <w:rPr>
          <w:sz w:val="20"/>
          <w:szCs w:val="20"/>
          <w:color w:val="auto"/>
        </w:rPr>
      </w:pPr>
    </w:p>
    <w:p>
      <w:pPr>
        <w:ind w:right="860" w:firstLine="59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Debt primarily consists of U.S. Treasury securities with original maturities of greater than three months and less than one year.</w:t>
      </w:r>
    </w:p>
    <w:p>
      <w:pPr>
        <w:spacing w:after="0" w:line="225"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right="160" w:firstLine="598"/>
        <w:spacing w:after="0" w:line="308" w:lineRule="auto"/>
        <w:rPr>
          <w:sz w:val="20"/>
          <w:szCs w:val="20"/>
          <w:color w:val="auto"/>
        </w:rPr>
      </w:pPr>
      <w:r>
        <w:rPr>
          <w:rFonts w:ascii="Arial" w:cs="Arial" w:eastAsia="Arial" w:hAnsi="Arial"/>
          <w:sz w:val="17"/>
          <w:szCs w:val="17"/>
          <w:color w:val="auto"/>
        </w:rPr>
        <w:t>Alternative investment funds primarily consist of interests in various Lazard-managed hedge funds, funds of funds and mutual funds. Such amounts primarily consist of seed investments in funds related to our Asset Management business and amounts related to LFI discussed above.</w:t>
      </w:r>
    </w:p>
    <w:p>
      <w:pPr>
        <w:spacing w:after="0" w:line="147"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and (ii) a fund targeting significant noncontrolling-stake investments in established private companies.</w:t>
      </w:r>
    </w:p>
    <w:p>
      <w:pPr>
        <w:spacing w:after="0" w:line="187"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right="240" w:firstLine="598"/>
        <w:spacing w:after="0" w:line="342" w:lineRule="auto"/>
        <w:rPr>
          <w:sz w:val="20"/>
          <w:szCs w:val="20"/>
          <w:color w:val="auto"/>
        </w:rPr>
      </w:pPr>
      <w:r>
        <w:rPr>
          <w:rFonts w:ascii="Arial" w:cs="Arial" w:eastAsia="Arial" w:hAnsi="Arial"/>
          <w:sz w:val="16"/>
          <w:szCs w:val="16"/>
          <w:color w:val="auto"/>
        </w:rPr>
        <w:t>During the years ended December 31, 2018, 2017 and 2016, the Company reported in “revenue-other” on its consolidated statements of operations net unrealized investment gains and losses pertaining to “equity securities and trading debt securities” still held as of the reporting date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7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investment gains (losses)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(43,009)</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27,192</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hanging="592"/>
        <w:spacing w:after="0"/>
        <w:tabs>
          <w:tab w:leader="none" w:pos="60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600" w:right="420" w:hanging="593"/>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Assets and liabilities whose values are based on unadjusted quoted prices for identical assets or liabilities in an active market that Lazard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w:t>
      </w:r>
    </w:p>
    <w:p>
      <w:pPr>
        <w:spacing w:after="0" w:line="62" w:lineRule="exact"/>
        <w:rPr>
          <w:sz w:val="20"/>
          <w:szCs w:val="20"/>
          <w:color w:val="auto"/>
        </w:rPr>
      </w:pPr>
    </w:p>
    <w:p>
      <w:pPr>
        <w:ind w:left="600" w:right="200" w:hanging="593"/>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Assets and liabilities whose values are based on (i) quoted prices for similar assets or liabilities in an active market,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non-active markets, or (ii) inputs other than quoted prices that are directly observable or derived principally from, or corroborated by, market data.</w:t>
      </w:r>
    </w:p>
    <w:p>
      <w:pPr>
        <w:spacing w:after="0" w:line="181" w:lineRule="exact"/>
        <w:rPr>
          <w:sz w:val="20"/>
          <w:szCs w:val="20"/>
          <w:color w:val="auto"/>
        </w:rPr>
      </w:pPr>
    </w:p>
    <w:p>
      <w:pPr>
        <w:ind w:left="600" w:right="200" w:hanging="593"/>
        <w:spacing w:after="0" w:line="25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Assets and liabilities whose values are based on prices or valuation techniques that require inputs that are both unobservable and significant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fair value of debt is classified as Level 1 when the fair values are based on unadjusted quoted prices in active markets.</w:t>
      </w:r>
    </w:p>
    <w:p>
      <w:pPr>
        <w:spacing w:after="0" w:line="225"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jc w:val="both"/>
        <w:ind w:right="40" w:firstLine="598"/>
        <w:spacing w:after="0" w:line="312" w:lineRule="auto"/>
        <w:rPr>
          <w:sz w:val="20"/>
          <w:szCs w:val="20"/>
          <w:color w:val="auto"/>
        </w:rPr>
      </w:pPr>
      <w:r>
        <w:rPr>
          <w:rFonts w:ascii="Arial" w:cs="Arial" w:eastAsia="Arial" w:hAnsi="Arial"/>
          <w:sz w:val="16"/>
          <w:szCs w:val="16"/>
          <w:color w:val="auto"/>
        </w:rPr>
        <w:t>The fair value of the contingent consideration liability is classified as Level 3 and the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(benefits) costs” in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consolidated statement of operations. Our business acquisitions may involve the potential payment of contingent consideration upon the achievement of certain performance thresholds. The contingent consideration liability is initially recorded at fair value of the contingent payments on the acquisition date and is included in “other liabilities” on the consolidated statements of financial condition. See Note 13.</w:t>
      </w:r>
    </w:p>
    <w:p>
      <w:pPr>
        <w:spacing w:after="0" w:line="181"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8.</w:t>
      </w:r>
    </w:p>
    <w:p>
      <w:pPr>
        <w:spacing w:after="0" w:line="193"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 (“NAV”)</w:t>
      </w:r>
      <w:r>
        <w:rPr>
          <w:rFonts w:ascii="Arial" w:cs="Arial" w:eastAsia="Arial" w:hAnsi="Arial"/>
          <w:sz w:val="18"/>
          <w:szCs w:val="18"/>
          <w:color w:val="auto"/>
        </w:rPr>
        <w:t>—As a practical expedient, the Company uses NAV or its equivalent to measure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ind w:right="80" w:firstLine="598"/>
        <w:spacing w:after="0" w:line="342" w:lineRule="auto"/>
        <w:rPr>
          <w:sz w:val="20"/>
          <w:szCs w:val="20"/>
          <w:color w:val="auto"/>
        </w:rPr>
      </w:pPr>
      <w:r>
        <w:rPr>
          <w:rFonts w:ascii="Arial" w:cs="Arial" w:eastAsia="Arial" w:hAnsi="Arial"/>
          <w:sz w:val="16"/>
          <w:szCs w:val="16"/>
          <w:color w:val="auto"/>
        </w:rPr>
        <w:t>The following tables present, as of December 31, 2018 and 2017, the classification of (i) investments and certain other assets and liabilities measured at fair value on a recurring basis within the fair value hierarchy and (ii) investments measured at NAV or its equivalent as a practical expedient: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202,874</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202,874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56,343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515,743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57,273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586,605</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188,962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199,565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344,660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80,378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430,362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4,656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198,417</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years ended December 31, 2018, 2017 and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94"/>
              </w:rPr>
              <w:t>Year Ended December 31, 2018</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Net Unrealized/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Sales/</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Dispositions/</w:t>
            </w: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 (a)</w:t>
            </w:r>
          </w:p>
        </w:tc>
        <w:tc>
          <w:tcPr>
            <w:tcW w:w="10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Acquisitions</w:t>
            </w: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Settlements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(3,347)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94"/>
              </w:rPr>
              <w:t>Year Ended December 31, 2017</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Net Unrealized/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Sales/</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Dispositions/</w:t>
            </w: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 (a)</w:t>
            </w:r>
          </w:p>
        </w:tc>
        <w:tc>
          <w:tcPr>
            <w:tcW w:w="10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Acquisitions</w:t>
            </w: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Settlements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(1,669)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 2016</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220"/>
              <w:spacing w:after="0" w:line="133" w:lineRule="exact"/>
              <w:rPr>
                <w:sz w:val="20"/>
                <w:szCs w:val="20"/>
                <w:color w:val="auto"/>
              </w:rPr>
            </w:pPr>
            <w:r>
              <w:rPr>
                <w:rFonts w:ascii="Arial" w:cs="Arial" w:eastAsia="Arial" w:hAnsi="Arial"/>
                <w:sz w:val="14"/>
                <w:szCs w:val="14"/>
                <w:b w:val="1"/>
                <w:bCs w:val="1"/>
                <w:color w:val="auto"/>
                <w:w w:val="92"/>
              </w:rPr>
              <w:t>Net Unrealized/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Gains/Losses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Included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Dispositions/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16"/>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Earnings (a)</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Acquisitions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Settlements</w:t>
            </w:r>
          </w:p>
        </w:tc>
        <w:tc>
          <w:tcPr>
            <w:tcW w:w="8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30,481</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(30,067)</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30,481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(30,067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60" w:hanging="592"/>
        <w:spacing w:after="0" w:line="257" w:lineRule="auto"/>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years ended December 31, 2018, 2017 and 2016 include net unrealized gains of $61, $12 and $243, respectively. Earnings recorded in “amortization and other acquisition-related (benefits) costs” for the contingent consideration liability for the years ended December 31, 2018, 2017 and 2016 include unrealized (gains) losses of $(3,347), $1,292 and $414, respectively, and, for the year ended December 31, 2016, realized losses of $30,067 due to the change in the fair value of contingent consideration associated with the Edgewater business acquisition.</w:t>
      </w:r>
    </w:p>
    <w:p>
      <w:pPr>
        <w:spacing w:after="0" w:line="188"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years ended December 31, 2018 and 2017.</w:t>
      </w:r>
    </w:p>
    <w:p>
      <w:pPr>
        <w:spacing w:after="0" w:line="170" w:lineRule="exact"/>
        <w:rPr>
          <w:sz w:val="20"/>
          <w:szCs w:val="20"/>
          <w:color w:val="auto"/>
        </w:rPr>
      </w:pPr>
    </w:p>
    <w:p>
      <w:pPr>
        <w:ind w:right="320" w:firstLine="598"/>
        <w:spacing w:after="0" w:line="264" w:lineRule="auto"/>
        <w:rPr>
          <w:sz w:val="20"/>
          <w:szCs w:val="20"/>
          <w:color w:val="auto"/>
        </w:rPr>
      </w:pPr>
      <w:r>
        <w:rPr>
          <w:rFonts w:ascii="Arial" w:cs="Arial" w:eastAsia="Arial" w:hAnsi="Arial"/>
          <w:sz w:val="18"/>
          <w:szCs w:val="18"/>
          <w:b w:val="1"/>
          <w:bCs w:val="1"/>
          <w:i w:val="1"/>
          <w:iCs w:val="1"/>
          <w:color w:val="auto"/>
        </w:rPr>
        <w:t>Financial Instruments Not Measured at Fair Value—</w:t>
      </w:r>
      <w:r>
        <w:rPr>
          <w:rFonts w:ascii="Arial" w:cs="Arial" w:eastAsia="Arial" w:hAnsi="Arial"/>
          <w:sz w:val="18"/>
          <w:szCs w:val="18"/>
          <w:color w:val="auto"/>
        </w:rPr>
        <w:t>The tables below present the carrying value, fair value and fair value hierarchy category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financial instruments as of December 31, 2018 and 2017 that are not measured at fair value in the Company’s consolidated statement of financial condition, and excludes certain financial instruments such as equity method investments.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4"/>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 Measurements Using:</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in Active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8"/>
              </w:rPr>
              <w:t>Identical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5"/>
              </w:rPr>
              <w:t>Carrying Value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Assets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6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1,185,040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1,185,040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1,185,040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1,006,969</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1,006,969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1,006,969</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Cash deposited with clearing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8"/>
                <w:szCs w:val="18"/>
                <w:color w:val="auto"/>
              </w:rPr>
              <w:t>organizations and other segregated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cash</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38,379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38,379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38,379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Interest-bearing financing receivables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90,966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91,765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91,765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Interest-bearing deposits (included within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1,154,208</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1,154,208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1,154,208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Senior debt</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1,434,260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1,429,280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1,429,280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 Measurements Using:</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in Active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8"/>
              </w:rPr>
              <w:t>Identical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Assets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4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1,470,296</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1,470,296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1,470,296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935,431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935,431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Cash deposited with clearing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0"/>
              <w:spacing w:after="0"/>
              <w:rPr>
                <w:sz w:val="20"/>
                <w:szCs w:val="20"/>
                <w:color w:val="auto"/>
              </w:rPr>
            </w:pPr>
            <w:r>
              <w:rPr>
                <w:rFonts w:ascii="Arial" w:cs="Arial" w:eastAsia="Arial" w:hAnsi="Arial"/>
                <w:sz w:val="18"/>
                <w:szCs w:val="18"/>
                <w:color w:val="auto"/>
              </w:rPr>
              <w:t>organizations and other segregated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cash</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35,539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35,539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35,539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Interest-bearing financing receivables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80,536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82,492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Interest-bearing deposits (included within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992,338</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992,338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992,338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Senior debt</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1,190,383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1,230,254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1,230,254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Cash and cash equivalents are carried at either cost or amortized cost that approximates fair value due to their short-term maturities.</w:t>
      </w:r>
    </w:p>
    <w:p>
      <w:pPr>
        <w:spacing w:after="0" w:line="225"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carrying value of deposits with banks and short-term investments, and cash deposited with clearing organizations and other segregated cash, approximates fair value because of the relatively short period of time between their origination and expected maturity.</w:t>
      </w:r>
    </w:p>
    <w:p>
      <w:pPr>
        <w:spacing w:after="0" w:line="170" w:lineRule="exact"/>
        <w:rPr>
          <w:sz w:val="20"/>
          <w:szCs w:val="20"/>
          <w:color w:val="auto"/>
        </w:rPr>
      </w:pPr>
    </w:p>
    <w:p>
      <w:pPr>
        <w:ind w:right="180" w:firstLine="598"/>
        <w:spacing w:after="0" w:line="342" w:lineRule="auto"/>
        <w:rPr>
          <w:sz w:val="20"/>
          <w:szCs w:val="20"/>
          <w:color w:val="auto"/>
        </w:rPr>
      </w:pPr>
      <w:r>
        <w:rPr>
          <w:rFonts w:ascii="Arial" w:cs="Arial" w:eastAsia="Arial" w:hAnsi="Arial"/>
          <w:sz w:val="16"/>
          <w:szCs w:val="16"/>
          <w:color w:val="auto"/>
        </w:rPr>
        <w:t>Fair values of interest-bearing financing receivables were generally determined by discounting both principal and interest cash flows expected to be collected, using a discount rate approximating current market interest rates for comparable financial instruments and based on unobservable inputs.</w:t>
      </w:r>
    </w:p>
    <w:p>
      <w:pPr>
        <w:spacing w:after="0" w:line="124"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The carrying value of deposits and other customer payables and investments accounted for at amortized cost, such as interest-bearing deposits, approximate fair value due to their short-term nature.</w:t>
      </w:r>
    </w:p>
    <w:p>
      <w:pPr>
        <w:spacing w:after="0" w:line="17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The Company’s senior debt is carried at historical amounts. The fair value of the Company’s senior debt is based on market quotations.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following tables present, at December 31, 2018 and 2017, certain investments that are valued using NAV or its equivalent as a practical expedient in determining fair value: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December 31, 2018</w:t>
            </w: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43"/>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40" w:type="dxa"/>
            <w:vAlign w:val="bottom"/>
            <w:gridSpan w:val="7"/>
          </w:tcPr>
          <w:p>
            <w:pPr>
              <w:ind w:left="700"/>
              <w:spacing w:after="0" w:line="143" w:lineRule="exact"/>
              <w:rPr>
                <w:sz w:val="20"/>
                <w:szCs w:val="20"/>
                <w:color w:val="auto"/>
              </w:rPr>
            </w:pPr>
            <w:r>
              <w:rPr>
                <w:rFonts w:ascii="Arial" w:cs="Arial" w:eastAsia="Arial" w:hAnsi="Arial"/>
                <w:sz w:val="14"/>
                <w:szCs w:val="14"/>
                <w:b w:val="1"/>
                <w:bCs w:val="1"/>
                <w:color w:val="auto"/>
              </w:rPr>
              <w:t>Estimated Liquidation Period of</w:t>
            </w:r>
          </w:p>
        </w:tc>
        <w:tc>
          <w:tcPr>
            <w:tcW w:w="2180" w:type="dxa"/>
            <w:vAlign w:val="bottom"/>
            <w:gridSpan w:val="3"/>
          </w:tcPr>
          <w:p>
            <w:pPr>
              <w:jc w:val="right"/>
              <w:ind w:right="686"/>
              <w:spacing w:after="0" w:line="143" w:lineRule="exact"/>
              <w:rPr>
                <w:sz w:val="20"/>
                <w:szCs w:val="20"/>
                <w:color w:val="auto"/>
              </w:rPr>
            </w:pPr>
            <w:r>
              <w:rPr>
                <w:rFonts w:ascii="Arial" w:cs="Arial" w:eastAsia="Arial" w:hAnsi="Arial"/>
                <w:sz w:val="14"/>
                <w:szCs w:val="14"/>
                <w:b w:val="1"/>
                <w:bCs w:val="1"/>
                <w:color w:val="auto"/>
              </w:rPr>
              <w:t>Investments</w:t>
            </w:r>
          </w:p>
        </w:tc>
      </w:tr>
      <w:tr>
        <w:trPr>
          <w:trHeight w:val="16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84"/>
              </w:rPr>
              <w:t>Investments Not Redeemable</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666"/>
              <w:spacing w:after="0"/>
              <w:rPr>
                <w:sz w:val="20"/>
                <w:szCs w:val="20"/>
                <w:color w:val="auto"/>
              </w:rPr>
            </w:pPr>
            <w:r>
              <w:rPr>
                <w:rFonts w:ascii="Arial" w:cs="Arial" w:eastAsia="Arial" w:hAnsi="Arial"/>
                <w:sz w:val="14"/>
                <w:szCs w:val="14"/>
                <w:b w:val="1"/>
                <w:bCs w:val="1"/>
                <w:color w:val="auto"/>
              </w:rPr>
              <w:t>Redeemable</w:t>
            </w:r>
          </w:p>
        </w:tc>
      </w:tr>
      <w:tr>
        <w:trPr>
          <w:trHeight w:val="143"/>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4"/>
              </w:rPr>
              <w:t>% of</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t>
            </w:r>
          </w:p>
        </w:tc>
        <w:tc>
          <w:tcPr>
            <w:tcW w:w="260" w:type="dxa"/>
            <w:vAlign w:val="bottom"/>
          </w:tcPr>
          <w:p>
            <w:pPr>
              <w:spacing w:after="0"/>
              <w:rPr>
                <w:sz w:val="12"/>
                <w:szCs w:val="12"/>
                <w:color w:val="auto"/>
              </w:rPr>
            </w:pPr>
          </w:p>
        </w:tc>
        <w:tc>
          <w:tcPr>
            <w:tcW w:w="920" w:type="dxa"/>
            <w:vAlign w:val="bottom"/>
          </w:tcPr>
          <w:p>
            <w:pPr>
              <w:jc w:val="right"/>
              <w:ind w:right="326"/>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05"/>
              <w:spacing w:after="0" w:line="149" w:lineRule="exact"/>
              <w:rPr>
                <w:sz w:val="20"/>
                <w:szCs w:val="20"/>
                <w:color w:val="auto"/>
              </w:rPr>
            </w:pPr>
            <w:r>
              <w:rPr>
                <w:rFonts w:ascii="Arial" w:cs="Arial" w:eastAsia="Arial" w:hAnsi="Arial"/>
                <w:sz w:val="14"/>
                <w:szCs w:val="14"/>
                <w:b w:val="1"/>
                <w:bCs w:val="1"/>
                <w:color w:val="auto"/>
                <w:w w:val="91"/>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Not</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Next</w:t>
            </w:r>
          </w:p>
        </w:tc>
        <w:tc>
          <w:tcPr>
            <w:tcW w:w="920" w:type="dxa"/>
            <w:vAlign w:val="bottom"/>
          </w:tcPr>
          <w:p>
            <w:pPr>
              <w:jc w:val="right"/>
              <w:ind w:right="266"/>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Redemption</w:t>
            </w:r>
          </w:p>
        </w:tc>
        <w:tc>
          <w:tcPr>
            <w:tcW w:w="1040" w:type="dxa"/>
            <w:vAlign w:val="bottom"/>
          </w:tcPr>
          <w:p>
            <w:pPr>
              <w:jc w:val="right"/>
              <w:ind w:right="106"/>
              <w:spacing w:after="0" w:line="149" w:lineRule="exact"/>
              <w:rPr>
                <w:sz w:val="20"/>
                <w:szCs w:val="20"/>
                <w:color w:val="auto"/>
              </w:rPr>
            </w:pPr>
            <w:r>
              <w:rPr>
                <w:rFonts w:ascii="Arial" w:cs="Arial" w:eastAsia="Arial" w:hAnsi="Arial"/>
                <w:sz w:val="14"/>
                <w:szCs w:val="14"/>
                <w:b w:val="1"/>
                <w:bCs w:val="1"/>
                <w:color w:val="auto"/>
              </w:rPr>
              <w:t>Redemption</w:t>
            </w:r>
          </w:p>
        </w:tc>
      </w:tr>
      <w:tr>
        <w:trPr>
          <w:trHeight w:val="16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5"/>
              <w:spacing w:after="0"/>
              <w:rPr>
                <w:sz w:val="20"/>
                <w:szCs w:val="20"/>
                <w:color w:val="auto"/>
              </w:rPr>
            </w:pPr>
            <w:r>
              <w:rPr>
                <w:rFonts w:ascii="Arial" w:cs="Arial" w:eastAsia="Arial" w:hAnsi="Arial"/>
                <w:sz w:val="14"/>
                <w:szCs w:val="14"/>
                <w:b w:val="1"/>
                <w:bCs w:val="1"/>
                <w:color w:val="auto"/>
                <w:w w:val="92"/>
              </w:rPr>
              <w:t>Fair Value</w:t>
            </w:r>
          </w:p>
        </w:tc>
        <w:tc>
          <w:tcPr>
            <w:tcW w:w="2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Redeemable</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5 Years</w:t>
            </w:r>
          </w:p>
        </w:tc>
        <w:tc>
          <w:tcPr>
            <w:tcW w:w="1300" w:type="dxa"/>
            <w:vAlign w:val="bottom"/>
            <w:gridSpan w:val="3"/>
          </w:tcPr>
          <w:p>
            <w:pPr>
              <w:ind w:left="300"/>
              <w:spacing w:after="0"/>
              <w:rPr>
                <w:sz w:val="20"/>
                <w:szCs w:val="20"/>
                <w:color w:val="auto"/>
              </w:rPr>
            </w:pPr>
            <w:r>
              <w:rPr>
                <w:rFonts w:ascii="Arial" w:cs="Arial" w:eastAsia="Arial" w:hAnsi="Arial"/>
                <w:sz w:val="14"/>
                <w:szCs w:val="14"/>
                <w:b w:val="1"/>
                <w:bCs w:val="1"/>
                <w:color w:val="auto"/>
              </w:rPr>
              <w:t>Years</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Frequency</w:t>
            </w:r>
          </w:p>
        </w:tc>
        <w:tc>
          <w:tcPr>
            <w:tcW w:w="1040" w:type="dxa"/>
            <w:vAlign w:val="bottom"/>
          </w:tcPr>
          <w:p>
            <w:pPr>
              <w:jc w:val="right"/>
              <w:ind w:right="66"/>
              <w:spacing w:after="0"/>
              <w:rPr>
                <w:sz w:val="20"/>
                <w:szCs w:val="20"/>
                <w:color w:val="auto"/>
              </w:rPr>
            </w:pPr>
            <w:r>
              <w:rPr>
                <w:rFonts w:ascii="Arial" w:cs="Arial" w:eastAsia="Arial" w:hAnsi="Arial"/>
                <w:sz w:val="14"/>
                <w:szCs w:val="14"/>
                <w:b w:val="1"/>
                <w:bCs w:val="1"/>
                <w:color w:val="auto"/>
                <w:w w:val="97"/>
              </w:rPr>
              <w:t>Notice Period</w:t>
            </w:r>
          </w:p>
        </w:tc>
      </w:tr>
      <w:tr>
        <w:trPr>
          <w:trHeight w:val="169"/>
        </w:trPr>
        <w:tc>
          <w:tcPr>
            <w:tcW w:w="19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Alternative investment funds:</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Hedge funds</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299</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tcPr>
          <w:p>
            <w:pPr>
              <w:ind w:left="70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tcPr>
          <w:p>
            <w:pPr>
              <w:ind w:left="56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(a)</w:t>
            </w:r>
          </w:p>
        </w:tc>
        <w:tc>
          <w:tcPr>
            <w:tcW w:w="1040" w:type="dxa"/>
            <w:vAlign w:val="bottom"/>
          </w:tcPr>
          <w:p>
            <w:pPr>
              <w:jc w:val="right"/>
              <w:spacing w:after="0"/>
              <w:rPr>
                <w:sz w:val="20"/>
                <w:szCs w:val="20"/>
                <w:color w:val="auto"/>
              </w:rPr>
            </w:pPr>
            <w:r>
              <w:rPr>
                <w:rFonts w:ascii="Arial" w:cs="Arial" w:eastAsia="Arial" w:hAnsi="Arial"/>
                <w:sz w:val="15"/>
                <w:szCs w:val="15"/>
                <w:color w:val="auto"/>
              </w:rPr>
              <w:t>30-60 days</w:t>
            </w:r>
          </w:p>
        </w:tc>
      </w:tr>
      <w:tr>
        <w:trPr>
          <w:trHeight w:val="176"/>
        </w:trPr>
        <w:tc>
          <w:tcPr>
            <w:tcW w:w="1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Funds of funds</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shd w:val="clear" w:color="auto" w:fill="CFF0FC"/>
          </w:tcPr>
          <w:p>
            <w:pPr>
              <w:ind w:left="70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shd w:val="clear" w:color="auto" w:fill="CFF0FC"/>
          </w:tcPr>
          <w:p>
            <w:pPr>
              <w:ind w:left="56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&gt;90 days</w:t>
            </w: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Other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567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tcPr>
          <w:p>
            <w:pPr>
              <w:ind w:left="70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tcPr>
          <w:p>
            <w:pPr>
              <w:ind w:left="56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(c)</w:t>
            </w:r>
          </w:p>
        </w:tc>
        <w:tc>
          <w:tcPr>
            <w:tcW w:w="1040" w:type="dxa"/>
            <w:vAlign w:val="bottom"/>
          </w:tcPr>
          <w:p>
            <w:pPr>
              <w:jc w:val="right"/>
              <w:spacing w:after="0"/>
              <w:rPr>
                <w:sz w:val="20"/>
                <w:szCs w:val="20"/>
                <w:color w:val="auto"/>
              </w:rPr>
            </w:pPr>
            <w:r>
              <w:rPr>
                <w:rFonts w:ascii="Arial" w:cs="Arial" w:eastAsia="Arial" w:hAnsi="Arial"/>
                <w:sz w:val="15"/>
                <w:szCs w:val="15"/>
                <w:color w:val="auto"/>
              </w:rPr>
              <w:t>&lt;30-30 days</w:t>
            </w:r>
          </w:p>
        </w:tc>
      </w:tr>
      <w:tr>
        <w:trPr>
          <w:trHeight w:val="176"/>
        </w:trPr>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Debt funds</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shd w:val="clear" w:color="auto" w:fill="CFF0FC"/>
          </w:tcPr>
          <w:p>
            <w:pPr>
              <w:ind w:left="70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shd w:val="clear" w:color="auto" w:fill="CFF0FC"/>
          </w:tcPr>
          <w:p>
            <w:pPr>
              <w:ind w:left="56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&lt;30 days</w:t>
            </w:r>
          </w:p>
        </w:tc>
      </w:tr>
      <w:tr>
        <w:trPr>
          <w:trHeight w:val="176"/>
        </w:trPr>
        <w:tc>
          <w:tcPr>
            <w:tcW w:w="1980" w:type="dxa"/>
            <w:vAlign w:val="bottom"/>
          </w:tcPr>
          <w:p>
            <w:pPr>
              <w:spacing w:after="0"/>
              <w:rPr>
                <w:sz w:val="20"/>
                <w:szCs w:val="20"/>
                <w:color w:val="auto"/>
              </w:rPr>
            </w:pPr>
            <w:r>
              <w:rPr>
                <w:rFonts w:ascii="Arial" w:cs="Arial" w:eastAsia="Arial" w:hAnsi="Arial"/>
                <w:sz w:val="15"/>
                <w:szCs w:val="15"/>
                <w:color w:val="auto"/>
              </w:rPr>
              <w:t>Equity funds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tcPr>
          <w:p>
            <w:pPr>
              <w:ind w:left="70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tcPr>
          <w:p>
            <w:pPr>
              <w:ind w:left="56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(e)</w:t>
            </w:r>
          </w:p>
        </w:tc>
        <w:tc>
          <w:tcPr>
            <w:tcW w:w="1040" w:type="dxa"/>
            <w:vAlign w:val="bottom"/>
          </w:tcPr>
          <w:p>
            <w:pPr>
              <w:jc w:val="right"/>
              <w:spacing w:after="0"/>
              <w:rPr>
                <w:sz w:val="20"/>
                <w:szCs w:val="20"/>
                <w:color w:val="auto"/>
              </w:rPr>
            </w:pPr>
            <w:r>
              <w:rPr>
                <w:rFonts w:ascii="Arial" w:cs="Arial" w:eastAsia="Arial" w:hAnsi="Arial"/>
                <w:sz w:val="15"/>
                <w:szCs w:val="15"/>
                <w:color w:val="auto"/>
              </w:rPr>
              <w:t>&lt;30-90 days</w:t>
            </w:r>
          </w:p>
        </w:tc>
      </w:tr>
      <w:tr>
        <w:trPr>
          <w:trHeight w:val="176"/>
        </w:trPr>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Private equity funds:</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76"/>
        </w:trPr>
        <w:tc>
          <w:tcPr>
            <w:tcW w:w="198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Equity growth</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56,343</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8,338</w:t>
            </w:r>
          </w:p>
        </w:tc>
        <w:tc>
          <w:tcPr>
            <w:tcW w:w="400" w:type="dxa"/>
            <w:vAlign w:val="bottom"/>
            <w:tcBorders>
              <w:bottom w:val="single" w:sz="8" w:color="CFF0FC"/>
            </w:tcBorders>
          </w:tcPr>
          <w:p>
            <w:pPr>
              <w:ind w:left="100"/>
              <w:spacing w:after="0"/>
              <w:rPr>
                <w:sz w:val="20"/>
                <w:szCs w:val="20"/>
                <w:color w:val="auto"/>
              </w:rPr>
            </w:pPr>
            <w:r>
              <w:rPr>
                <w:rFonts w:ascii="Arial" w:cs="Arial" w:eastAsia="Arial" w:hAnsi="Arial"/>
                <w:sz w:val="15"/>
                <w:szCs w:val="15"/>
                <w:color w:val="auto"/>
              </w:rPr>
              <w:t>(f)</w:t>
            </w:r>
          </w:p>
        </w:tc>
        <w:tc>
          <w:tcPr>
            <w:tcW w:w="1160" w:type="dxa"/>
            <w:vAlign w:val="bottom"/>
            <w:tcBorders>
              <w:bottom w:val="single" w:sz="8" w:color="CFF0FC"/>
            </w:tcBorders>
            <w:gridSpan w:val="2"/>
          </w:tcPr>
          <w:p>
            <w:pPr>
              <w:ind w:left="660"/>
              <w:spacing w:after="0"/>
              <w:rPr>
                <w:sz w:val="20"/>
                <w:szCs w:val="20"/>
                <w:color w:val="auto"/>
              </w:rPr>
            </w:pPr>
            <w:r>
              <w:rPr>
                <w:rFonts w:ascii="Arial" w:cs="Arial" w:eastAsia="Arial" w:hAnsi="Arial"/>
                <w:sz w:val="15"/>
                <w:szCs w:val="15"/>
                <w:color w:val="auto"/>
              </w:rPr>
              <w:t>100%</w:t>
            </w:r>
          </w:p>
        </w:tc>
        <w:tc>
          <w:tcPr>
            <w:tcW w:w="1180" w:type="dxa"/>
            <w:vAlign w:val="bottom"/>
            <w:tcBorders>
              <w:bottom w:val="single" w:sz="8" w:color="CFF0FC"/>
            </w:tcBorders>
            <w:gridSpan w:val="2"/>
          </w:tcPr>
          <w:p>
            <w:pPr>
              <w:ind w:left="760"/>
              <w:spacing w:after="0"/>
              <w:rPr>
                <w:sz w:val="20"/>
                <w:szCs w:val="20"/>
                <w:color w:val="auto"/>
              </w:rPr>
            </w:pPr>
            <w:r>
              <w:rPr>
                <w:rFonts w:ascii="Arial" w:cs="Arial" w:eastAsia="Arial" w:hAnsi="Arial"/>
                <w:sz w:val="15"/>
                <w:szCs w:val="15"/>
                <w:color w:val="auto"/>
              </w:rPr>
              <w:t>14%</w:t>
            </w:r>
          </w:p>
        </w:tc>
        <w:tc>
          <w:tcPr>
            <w:tcW w:w="1180" w:type="dxa"/>
            <w:vAlign w:val="bottom"/>
            <w:tcBorders>
              <w:bottom w:val="single" w:sz="8" w:color="CFF0FC"/>
            </w:tcBorders>
            <w:gridSpan w:val="2"/>
          </w:tcPr>
          <w:p>
            <w:pPr>
              <w:ind w:left="760"/>
              <w:spacing w:after="0"/>
              <w:rPr>
                <w:sz w:val="20"/>
                <w:szCs w:val="20"/>
                <w:color w:val="auto"/>
              </w:rPr>
            </w:pPr>
            <w:r>
              <w:rPr>
                <w:rFonts w:ascii="Arial" w:cs="Arial" w:eastAsia="Arial" w:hAnsi="Arial"/>
                <w:sz w:val="15"/>
                <w:szCs w:val="15"/>
                <w:color w:val="auto"/>
              </w:rPr>
              <w:t>34%</w:t>
            </w:r>
          </w:p>
        </w:tc>
        <w:tc>
          <w:tcPr>
            <w:tcW w:w="120" w:type="dxa"/>
            <w:vAlign w:val="bottom"/>
            <w:tcBorders>
              <w:bottom w:val="single" w:sz="8" w:color="CFF0FC"/>
            </w:tcBorders>
          </w:tcPr>
          <w:p>
            <w:pPr>
              <w:spacing w:after="0"/>
              <w:rPr>
                <w:sz w:val="15"/>
                <w:szCs w:val="15"/>
                <w:color w:val="auto"/>
              </w:rPr>
            </w:pPr>
          </w:p>
        </w:tc>
        <w:tc>
          <w:tcPr>
            <w:tcW w:w="1060" w:type="dxa"/>
            <w:vAlign w:val="bottom"/>
            <w:tcBorders>
              <w:bottom w:val="single" w:sz="8" w:color="CFF0FC"/>
            </w:tcBorders>
            <w:gridSpan w:val="2"/>
          </w:tcPr>
          <w:p>
            <w:pPr>
              <w:ind w:left="620"/>
              <w:spacing w:after="0"/>
              <w:rPr>
                <w:sz w:val="20"/>
                <w:szCs w:val="20"/>
                <w:color w:val="auto"/>
              </w:rPr>
            </w:pPr>
            <w:r>
              <w:rPr>
                <w:rFonts w:ascii="Arial" w:cs="Arial" w:eastAsia="Arial" w:hAnsi="Arial"/>
                <w:sz w:val="15"/>
                <w:szCs w:val="15"/>
                <w:color w:val="auto"/>
              </w:rPr>
              <w:t>52%</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5"/>
                <w:szCs w:val="15"/>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NA</w:t>
            </w:r>
          </w:p>
        </w:tc>
      </w:tr>
      <w:tr>
        <w:trPr>
          <w:trHeight w:val="169"/>
        </w:trPr>
        <w:tc>
          <w:tcPr>
            <w:tcW w:w="19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w:t>
            </w:r>
          </w:p>
        </w:tc>
        <w:tc>
          <w:tcPr>
            <w:tcW w:w="24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57,273</w:t>
            </w:r>
          </w:p>
        </w:tc>
        <w:tc>
          <w:tcPr>
            <w:tcW w:w="34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8,338</w:t>
            </w:r>
          </w:p>
        </w:tc>
        <w:tc>
          <w:tcPr>
            <w:tcW w:w="4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20"/>
        </w:trPr>
        <w:tc>
          <w:tcPr>
            <w:tcW w:w="19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41" w:lineRule="exact"/>
        <w:rPr>
          <w:sz w:val="20"/>
          <w:szCs w:val="20"/>
          <w:color w:val="auto"/>
        </w:rPr>
      </w:pPr>
    </w:p>
    <w:p>
      <w:pPr>
        <w:ind w:left="600" w:hanging="592"/>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monthly (100%)</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quarterly (100%)</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daily (100%)</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daily (25%), monthly (70%) and annually (5%)</w:t>
      </w:r>
    </w:p>
    <w:p>
      <w:pPr>
        <w:spacing w:after="0" w:line="22" w:lineRule="exact"/>
        <w:rPr>
          <w:rFonts w:ascii="Arial" w:cs="Arial" w:eastAsia="Arial" w:hAnsi="Arial"/>
          <w:sz w:val="18"/>
          <w:szCs w:val="18"/>
          <w:color w:val="auto"/>
        </w:rPr>
      </w:pPr>
    </w:p>
    <w:p>
      <w:pPr>
        <w:ind w:left="600" w:right="620" w:hanging="592"/>
        <w:spacing w:after="0" w:line="276" w:lineRule="auto"/>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$14,437 are excluded. Such commitments are required to be funded by capital contributions from noncontrolling interest holders.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2017</w:t>
            </w: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43"/>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00" w:type="dxa"/>
            <w:vAlign w:val="bottom"/>
            <w:gridSpan w:val="7"/>
          </w:tcPr>
          <w:p>
            <w:pPr>
              <w:ind w:left="680"/>
              <w:spacing w:after="0" w:line="143" w:lineRule="exact"/>
              <w:rPr>
                <w:sz w:val="20"/>
                <w:szCs w:val="20"/>
                <w:color w:val="auto"/>
              </w:rPr>
            </w:pPr>
            <w:r>
              <w:rPr>
                <w:rFonts w:ascii="Arial" w:cs="Arial" w:eastAsia="Arial" w:hAnsi="Arial"/>
                <w:sz w:val="14"/>
                <w:szCs w:val="14"/>
                <w:b w:val="1"/>
                <w:bCs w:val="1"/>
                <w:color w:val="auto"/>
              </w:rPr>
              <w:t>Estimated Liquidation Period of</w:t>
            </w:r>
          </w:p>
        </w:tc>
        <w:tc>
          <w:tcPr>
            <w:tcW w:w="2200" w:type="dxa"/>
            <w:vAlign w:val="bottom"/>
            <w:gridSpan w:val="3"/>
          </w:tcPr>
          <w:p>
            <w:pPr>
              <w:jc w:val="right"/>
              <w:ind w:right="686"/>
              <w:spacing w:after="0" w:line="143" w:lineRule="exact"/>
              <w:rPr>
                <w:sz w:val="20"/>
                <w:szCs w:val="20"/>
                <w:color w:val="auto"/>
              </w:rPr>
            </w:pPr>
            <w:r>
              <w:rPr>
                <w:rFonts w:ascii="Arial" w:cs="Arial" w:eastAsia="Arial" w:hAnsi="Arial"/>
                <w:sz w:val="14"/>
                <w:szCs w:val="14"/>
                <w:b w:val="1"/>
                <w:bCs w:val="1"/>
                <w:color w:val="auto"/>
              </w:rPr>
              <w:t>Investments</w:t>
            </w:r>
          </w:p>
        </w:tc>
      </w:tr>
      <w:tr>
        <w:trPr>
          <w:trHeight w:val="161"/>
        </w:trPr>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w w:val="84"/>
              </w:rPr>
              <w:t>Investments Not Redeemable</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Borders>
              <w:bottom w:val="single" w:sz="8" w:color="auto"/>
            </w:tcBorders>
            <w:gridSpan w:val="3"/>
          </w:tcPr>
          <w:p>
            <w:pPr>
              <w:jc w:val="right"/>
              <w:ind w:right="686"/>
              <w:spacing w:after="0"/>
              <w:rPr>
                <w:sz w:val="20"/>
                <w:szCs w:val="20"/>
                <w:color w:val="auto"/>
              </w:rPr>
            </w:pPr>
            <w:r>
              <w:rPr>
                <w:rFonts w:ascii="Arial" w:cs="Arial" w:eastAsia="Arial" w:hAnsi="Arial"/>
                <w:sz w:val="14"/>
                <w:szCs w:val="14"/>
                <w:b w:val="1"/>
                <w:bCs w:val="1"/>
                <w:color w:val="auto"/>
              </w:rPr>
              <w:t>Redeemable</w:t>
            </w:r>
          </w:p>
        </w:tc>
      </w:tr>
      <w:tr>
        <w:trPr>
          <w:trHeight w:val="143"/>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4"/>
              </w:rPr>
              <w:t>% of</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900" w:type="dxa"/>
            <w:vAlign w:val="bottom"/>
          </w:tcPr>
          <w:p>
            <w:pPr>
              <w:jc w:val="right"/>
              <w:ind w:right="306"/>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85"/>
              <w:spacing w:after="0" w:line="149" w:lineRule="exact"/>
              <w:rPr>
                <w:sz w:val="20"/>
                <w:szCs w:val="20"/>
                <w:color w:val="auto"/>
              </w:rPr>
            </w:pPr>
            <w:r>
              <w:rPr>
                <w:rFonts w:ascii="Arial" w:cs="Arial" w:eastAsia="Arial" w:hAnsi="Arial"/>
                <w:sz w:val="14"/>
                <w:szCs w:val="14"/>
                <w:b w:val="1"/>
                <w:bCs w:val="1"/>
                <w:color w:val="auto"/>
                <w:w w:val="91"/>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Next</w:t>
            </w:r>
          </w:p>
        </w:tc>
        <w:tc>
          <w:tcPr>
            <w:tcW w:w="900" w:type="dxa"/>
            <w:vAlign w:val="bottom"/>
          </w:tcPr>
          <w:p>
            <w:pPr>
              <w:jc w:val="right"/>
              <w:ind w:right="246"/>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Redemption</w:t>
            </w:r>
          </w:p>
        </w:tc>
        <w:tc>
          <w:tcPr>
            <w:tcW w:w="1060" w:type="dxa"/>
            <w:vAlign w:val="bottom"/>
          </w:tcPr>
          <w:p>
            <w:pPr>
              <w:jc w:val="right"/>
              <w:ind w:right="106"/>
              <w:spacing w:after="0" w:line="149" w:lineRule="exact"/>
              <w:rPr>
                <w:sz w:val="20"/>
                <w:szCs w:val="20"/>
                <w:color w:val="auto"/>
              </w:rPr>
            </w:pPr>
            <w:r>
              <w:rPr>
                <w:rFonts w:ascii="Arial" w:cs="Arial" w:eastAsia="Arial" w:hAnsi="Arial"/>
                <w:sz w:val="14"/>
                <w:szCs w:val="14"/>
                <w:b w:val="1"/>
                <w:bCs w:val="1"/>
                <w:color w:val="auto"/>
              </w:rPr>
              <w:t>Redemption</w:t>
            </w:r>
          </w:p>
        </w:tc>
      </w:tr>
      <w:tr>
        <w:trPr>
          <w:trHeight w:val="161"/>
        </w:trPr>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85"/>
              <w:spacing w:after="0"/>
              <w:rPr>
                <w:sz w:val="20"/>
                <w:szCs w:val="20"/>
                <w:color w:val="auto"/>
              </w:rPr>
            </w:pPr>
            <w:r>
              <w:rPr>
                <w:rFonts w:ascii="Arial" w:cs="Arial" w:eastAsia="Arial" w:hAnsi="Arial"/>
                <w:sz w:val="14"/>
                <w:szCs w:val="14"/>
                <w:b w:val="1"/>
                <w:bCs w:val="1"/>
                <w:color w:val="auto"/>
                <w:w w:val="89"/>
              </w:rPr>
              <w:t>Fair Value</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5 Years</w:t>
            </w:r>
          </w:p>
        </w:tc>
        <w:tc>
          <w:tcPr>
            <w:tcW w:w="1300" w:type="dxa"/>
            <w:vAlign w:val="bottom"/>
            <w:gridSpan w:val="3"/>
          </w:tcPr>
          <w:p>
            <w:pPr>
              <w:ind w:left="280"/>
              <w:spacing w:after="0"/>
              <w:rPr>
                <w:sz w:val="20"/>
                <w:szCs w:val="20"/>
                <w:color w:val="auto"/>
              </w:rPr>
            </w:pPr>
            <w:r>
              <w:rPr>
                <w:rFonts w:ascii="Arial" w:cs="Arial" w:eastAsia="Arial" w:hAnsi="Arial"/>
                <w:sz w:val="14"/>
                <w:szCs w:val="14"/>
                <w:b w:val="1"/>
                <w:bCs w:val="1"/>
                <w:color w:val="auto"/>
              </w:rPr>
              <w:t>Years</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Frequency</w:t>
            </w:r>
          </w:p>
        </w:tc>
        <w:tc>
          <w:tcPr>
            <w:tcW w:w="1060" w:type="dxa"/>
            <w:vAlign w:val="bottom"/>
          </w:tcPr>
          <w:p>
            <w:pPr>
              <w:jc w:val="right"/>
              <w:ind w:right="66"/>
              <w:spacing w:after="0"/>
              <w:rPr>
                <w:sz w:val="20"/>
                <w:szCs w:val="20"/>
                <w:color w:val="auto"/>
              </w:rPr>
            </w:pPr>
            <w:r>
              <w:rPr>
                <w:rFonts w:ascii="Arial" w:cs="Arial" w:eastAsia="Arial" w:hAnsi="Arial"/>
                <w:sz w:val="14"/>
                <w:szCs w:val="14"/>
                <w:b w:val="1"/>
                <w:bCs w:val="1"/>
                <w:color w:val="auto"/>
                <w:w w:val="99"/>
              </w:rPr>
              <w:t>Notice Period</w:t>
            </w:r>
          </w:p>
        </w:tc>
      </w:tr>
      <w:tr>
        <w:trPr>
          <w:trHeight w:val="169"/>
        </w:trPr>
        <w:tc>
          <w:tcPr>
            <w:tcW w:w="19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Alternative investment funds:</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Hedge funds</w:t>
            </w:r>
          </w:p>
        </w:tc>
        <w:tc>
          <w:tcPr>
            <w:tcW w:w="2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2,517</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(a)</w:t>
            </w:r>
          </w:p>
        </w:tc>
        <w:tc>
          <w:tcPr>
            <w:tcW w:w="1060" w:type="dxa"/>
            <w:vAlign w:val="bottom"/>
          </w:tcPr>
          <w:p>
            <w:pPr>
              <w:jc w:val="right"/>
              <w:spacing w:after="0"/>
              <w:rPr>
                <w:sz w:val="20"/>
                <w:szCs w:val="20"/>
                <w:color w:val="auto"/>
              </w:rPr>
            </w:pPr>
            <w:r>
              <w:rPr>
                <w:rFonts w:ascii="Arial" w:cs="Arial" w:eastAsia="Arial" w:hAnsi="Arial"/>
                <w:sz w:val="15"/>
                <w:szCs w:val="15"/>
                <w:color w:val="auto"/>
              </w:rPr>
              <w:t>&lt;30-60 days</w:t>
            </w:r>
          </w:p>
        </w:tc>
      </w:tr>
      <w:tr>
        <w:trPr>
          <w:trHeight w:val="176"/>
        </w:trPr>
        <w:tc>
          <w:tcPr>
            <w:tcW w:w="1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Funds of funds</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shd w:val="clear" w:color="auto" w:fill="CFF0FC"/>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(b)</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&lt;30-90 days</w:t>
            </w: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Other</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595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(c)</w:t>
            </w:r>
          </w:p>
        </w:tc>
        <w:tc>
          <w:tcPr>
            <w:tcW w:w="1060" w:type="dxa"/>
            <w:vAlign w:val="bottom"/>
          </w:tcPr>
          <w:p>
            <w:pPr>
              <w:jc w:val="right"/>
              <w:spacing w:after="0"/>
              <w:rPr>
                <w:sz w:val="20"/>
                <w:szCs w:val="20"/>
                <w:color w:val="auto"/>
              </w:rPr>
            </w:pPr>
            <w:r>
              <w:rPr>
                <w:rFonts w:ascii="Arial" w:cs="Arial" w:eastAsia="Arial" w:hAnsi="Arial"/>
                <w:sz w:val="15"/>
                <w:szCs w:val="15"/>
                <w:color w:val="auto"/>
              </w:rPr>
              <w:t>&lt;30-60 days</w:t>
            </w:r>
          </w:p>
        </w:tc>
      </w:tr>
      <w:tr>
        <w:trPr>
          <w:trHeight w:val="176"/>
        </w:trPr>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Debt funds</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shd w:val="clear" w:color="auto" w:fill="CFF0FC"/>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(d)</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 days</w:t>
            </w:r>
          </w:p>
        </w:tc>
      </w:tr>
      <w:tr>
        <w:trPr>
          <w:trHeight w:val="176"/>
        </w:trPr>
        <w:tc>
          <w:tcPr>
            <w:tcW w:w="1980" w:type="dxa"/>
            <w:vAlign w:val="bottom"/>
          </w:tcPr>
          <w:p>
            <w:pPr>
              <w:spacing w:after="0"/>
              <w:rPr>
                <w:sz w:val="20"/>
                <w:szCs w:val="20"/>
                <w:color w:val="auto"/>
              </w:rPr>
            </w:pPr>
            <w:r>
              <w:rPr>
                <w:rFonts w:ascii="Arial" w:cs="Arial" w:eastAsia="Arial" w:hAnsi="Arial"/>
                <w:sz w:val="15"/>
                <w:szCs w:val="15"/>
                <w:color w:val="auto"/>
              </w:rPr>
              <w:t>Equity funds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(e)</w:t>
            </w:r>
          </w:p>
        </w:tc>
        <w:tc>
          <w:tcPr>
            <w:tcW w:w="1060" w:type="dxa"/>
            <w:vAlign w:val="bottom"/>
          </w:tcPr>
          <w:p>
            <w:pPr>
              <w:jc w:val="right"/>
              <w:spacing w:after="0"/>
              <w:rPr>
                <w:sz w:val="20"/>
                <w:szCs w:val="20"/>
                <w:color w:val="auto"/>
              </w:rPr>
            </w:pPr>
            <w:r>
              <w:rPr>
                <w:rFonts w:ascii="Arial" w:cs="Arial" w:eastAsia="Arial" w:hAnsi="Arial"/>
                <w:sz w:val="15"/>
                <w:szCs w:val="15"/>
                <w:color w:val="auto"/>
              </w:rPr>
              <w:t>&lt;30-90 days</w:t>
            </w:r>
          </w:p>
        </w:tc>
      </w:tr>
      <w:tr>
        <w:trPr>
          <w:trHeight w:val="176"/>
        </w:trPr>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Private equity funds:</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76"/>
        </w:trPr>
        <w:tc>
          <w:tcPr>
            <w:tcW w:w="198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Equity growth</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76,679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10,300</w:t>
            </w:r>
          </w:p>
        </w:tc>
        <w:tc>
          <w:tcPr>
            <w:tcW w:w="400" w:type="dxa"/>
            <w:vAlign w:val="bottom"/>
            <w:tcBorders>
              <w:bottom w:val="single" w:sz="8" w:color="CFF0FC"/>
            </w:tcBorders>
          </w:tcPr>
          <w:p>
            <w:pPr>
              <w:ind w:left="120"/>
              <w:spacing w:after="0"/>
              <w:rPr>
                <w:sz w:val="20"/>
                <w:szCs w:val="20"/>
                <w:color w:val="auto"/>
              </w:rPr>
            </w:pPr>
            <w:r>
              <w:rPr>
                <w:rFonts w:ascii="Arial" w:cs="Arial" w:eastAsia="Arial" w:hAnsi="Arial"/>
                <w:sz w:val="15"/>
                <w:szCs w:val="15"/>
                <w:color w:val="auto"/>
              </w:rPr>
              <w:t>(f)</w:t>
            </w:r>
          </w:p>
        </w:tc>
        <w:tc>
          <w:tcPr>
            <w:tcW w:w="1160" w:type="dxa"/>
            <w:vAlign w:val="bottom"/>
            <w:tcBorders>
              <w:bottom w:val="single" w:sz="8" w:color="CFF0FC"/>
            </w:tcBorders>
            <w:gridSpan w:val="2"/>
          </w:tcPr>
          <w:p>
            <w:pPr>
              <w:ind w:left="660"/>
              <w:spacing w:after="0"/>
              <w:rPr>
                <w:sz w:val="20"/>
                <w:szCs w:val="20"/>
                <w:color w:val="auto"/>
              </w:rPr>
            </w:pPr>
            <w:r>
              <w:rPr>
                <w:rFonts w:ascii="Arial" w:cs="Arial" w:eastAsia="Arial" w:hAnsi="Arial"/>
                <w:sz w:val="15"/>
                <w:szCs w:val="15"/>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5"/>
                <w:szCs w:val="15"/>
                <w:color w:val="auto"/>
              </w:rPr>
              <w:t>16%</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5"/>
                <w:szCs w:val="15"/>
                <w:color w:val="auto"/>
              </w:rPr>
              <w:t>38%</w:t>
            </w:r>
          </w:p>
        </w:tc>
        <w:tc>
          <w:tcPr>
            <w:tcW w:w="140" w:type="dxa"/>
            <w:vAlign w:val="bottom"/>
            <w:tcBorders>
              <w:bottom w:val="single" w:sz="8" w:color="CFF0FC"/>
            </w:tcBorders>
          </w:tcPr>
          <w:p>
            <w:pPr>
              <w:spacing w:after="0"/>
              <w:rPr>
                <w:sz w:val="15"/>
                <w:szCs w:val="15"/>
                <w:color w:val="auto"/>
              </w:rPr>
            </w:pPr>
          </w:p>
        </w:tc>
        <w:tc>
          <w:tcPr>
            <w:tcW w:w="1040" w:type="dxa"/>
            <w:vAlign w:val="bottom"/>
            <w:tcBorders>
              <w:bottom w:val="single" w:sz="8" w:color="CFF0FC"/>
            </w:tcBorders>
            <w:gridSpan w:val="2"/>
          </w:tcPr>
          <w:p>
            <w:pPr>
              <w:ind w:left="620"/>
              <w:spacing w:after="0"/>
              <w:rPr>
                <w:sz w:val="20"/>
                <w:szCs w:val="20"/>
                <w:color w:val="auto"/>
              </w:rPr>
            </w:pPr>
            <w:r>
              <w:rPr>
                <w:rFonts w:ascii="Arial" w:cs="Arial" w:eastAsia="Arial" w:hAnsi="Arial"/>
                <w:sz w:val="15"/>
                <w:szCs w:val="15"/>
                <w:color w:val="auto"/>
              </w:rPr>
              <w:t>46%</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5"/>
                <w:szCs w:val="15"/>
                <w:color w:val="auto"/>
              </w:rPr>
              <w:t>NA</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NA</w:t>
            </w:r>
          </w:p>
        </w:tc>
      </w:tr>
      <w:tr>
        <w:trPr>
          <w:trHeight w:val="169"/>
        </w:trPr>
        <w:tc>
          <w:tcPr>
            <w:tcW w:w="19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w:t>
            </w:r>
          </w:p>
        </w:tc>
        <w:tc>
          <w:tcPr>
            <w:tcW w:w="28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80,378</w:t>
            </w:r>
          </w:p>
        </w:tc>
        <w:tc>
          <w:tcPr>
            <w:tcW w:w="34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10,300</w:t>
            </w:r>
          </w:p>
        </w:tc>
        <w:tc>
          <w:tcPr>
            <w:tcW w:w="4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r>
      <w:tr>
        <w:trPr>
          <w:trHeight w:val="20"/>
        </w:trPr>
        <w:tc>
          <w:tcPr>
            <w:tcW w:w="19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150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41" w:lineRule="exact"/>
        <w:rPr>
          <w:sz w:val="20"/>
          <w:szCs w:val="20"/>
          <w:color w:val="auto"/>
        </w:rPr>
      </w:pPr>
    </w:p>
    <w:p>
      <w:pPr>
        <w:ind w:left="600" w:hanging="592"/>
        <w:spacing w:after="0"/>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weekly (3%), monthly (5%) and quarterly (92%)</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monthly (97%) and quarterly (3%)</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daily (100%)</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daily (18%), monthly (50%) and quarterly (32%)</w:t>
      </w:r>
    </w:p>
    <w:p>
      <w:pPr>
        <w:spacing w:after="0" w:line="22" w:lineRule="exact"/>
        <w:rPr>
          <w:rFonts w:ascii="Arial" w:cs="Arial" w:eastAsia="Arial" w:hAnsi="Arial"/>
          <w:sz w:val="18"/>
          <w:szCs w:val="18"/>
          <w:color w:val="auto"/>
        </w:rPr>
      </w:pPr>
    </w:p>
    <w:p>
      <w:pPr>
        <w:ind w:left="600" w:right="60" w:hanging="592"/>
        <w:spacing w:after="0" w:line="276" w:lineRule="auto"/>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$5,902 are excluded. Such commitments are required to be funded by capital contributions from noncontrolling interest holders.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jc w:val="center"/>
        <w:ind w:right="20"/>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December 31, 2018,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$7,602.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296" w:lineRule="exact"/>
        <w:rPr>
          <w:sz w:val="20"/>
          <w:szCs w:val="20"/>
          <w:color w:val="auto"/>
        </w:rPr>
      </w:pPr>
    </w:p>
    <w:p>
      <w:pPr>
        <w:ind w:left="600" w:hanging="592"/>
        <w:spacing w:after="0"/>
        <w:tabs>
          <w:tab w:leader="none" w:pos="60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15) on the accompanying consolidated statements of financial condition as of December 31, 2018 and 2017:</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442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64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1,543</w:t>
            </w:r>
          </w:p>
        </w:tc>
        <w:tc>
          <w:tcPr>
            <w:tcW w:w="7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3,314</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10,424</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FF0FC"/>
          </w:tcPr>
          <w:p>
            <w:pPr>
              <w:spacing w:after="0"/>
              <w:rPr>
                <w:sz w:val="19"/>
                <w:szCs w:val="19"/>
                <w:color w:val="auto"/>
              </w:rPr>
            </w:pPr>
          </w:p>
        </w:tc>
      </w:tr>
      <w:tr>
        <w:trPr>
          <w:trHeight w:val="263"/>
        </w:trPr>
        <w:tc>
          <w:tcPr>
            <w:tcW w:w="1760" w:type="dxa"/>
            <w:vAlign w:val="bottom"/>
            <w:tcBorders>
              <w:bottom w:val="single" w:sz="8" w:color="CFF0FC"/>
            </w:tcBorders>
          </w:tcPr>
          <w:p>
            <w:pPr>
              <w:spacing w:after="0"/>
              <w:rPr>
                <w:sz w:val="22"/>
                <w:szCs w:val="22"/>
                <w:color w:val="auto"/>
              </w:rPr>
            </w:pPr>
          </w:p>
        </w:tc>
        <w:tc>
          <w:tcPr>
            <w:tcW w:w="442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28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64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939</w:t>
            </w:r>
          </w:p>
        </w:tc>
        <w:tc>
          <w:tcPr>
            <w:tcW w:w="7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4,846</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11,270</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188,022</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182,301</w:t>
            </w:r>
          </w:p>
        </w:tc>
        <w:tc>
          <w:tcPr>
            <w:tcW w:w="120" w:type="dxa"/>
            <w:vAlign w:val="bottom"/>
            <w:tcBorders>
              <w:bottom w:val="single" w:sz="8" w:color="CFF0FC"/>
            </w:tcBorders>
          </w:tcPr>
          <w:p>
            <w:pPr>
              <w:spacing w:after="0"/>
              <w:rPr>
                <w:sz w:val="19"/>
                <w:szCs w:val="19"/>
                <w:color w:val="auto"/>
              </w:rPr>
            </w:pPr>
          </w:p>
        </w:tc>
      </w:tr>
      <w:tr>
        <w:trPr>
          <w:trHeight w:val="223"/>
        </w:trPr>
        <w:tc>
          <w:tcPr>
            <w:tcW w:w="1760" w:type="dxa"/>
            <w:vAlign w:val="bottom"/>
            <w:tcBorders>
              <w:bottom w:val="single" w:sz="8" w:color="CFF0FC"/>
            </w:tcBorders>
            <w:shd w:val="clear" w:color="auto" w:fill="CFF0FC"/>
          </w:tcPr>
          <w:p>
            <w:pPr>
              <w:spacing w:after="0"/>
              <w:rPr>
                <w:sz w:val="19"/>
                <w:szCs w:val="19"/>
                <w:color w:val="auto"/>
              </w:rPr>
            </w:pPr>
          </w:p>
        </w:tc>
        <w:tc>
          <w:tcPr>
            <w:tcW w:w="44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188,962</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44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ind w:left="600" w:right="100" w:hanging="592"/>
        <w:spacing w:after="0" w:line="259" w:lineRule="auto"/>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$10,792 and $369 as of December 31, 2018, respectively, and $469 and $11,321 as of December 31, 2017, respectively, for contracts with the same counterparty under legally enforceable master netting agreements. Such amounts are recorded “net” in “other assets”, with receivables for net cash collateral under such contracts of $17,616 as of December 31, 2017.</w:t>
      </w:r>
    </w:p>
    <w:p>
      <w:pPr>
        <w:spacing w:after="0" w:line="187" w:lineRule="exact"/>
        <w:rPr>
          <w:sz w:val="20"/>
          <w:szCs w:val="20"/>
          <w:color w:val="auto"/>
        </w:rPr>
      </w:pPr>
    </w:p>
    <w:p>
      <w:pPr>
        <w:ind w:right="480" w:firstLine="598"/>
        <w:spacing w:after="0" w:line="312"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consolidated statements of operations for the years ended December 31, 2018, 2017 and 2016,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8"/>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40" w:type="dxa"/>
            <w:vAlign w:val="bottom"/>
            <w:tcBorders>
              <w:bottom w:val="single" w:sz="8" w:color="CFF0FC"/>
            </w:tcBorders>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18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ind w:left="560"/>
              <w:spacing w:after="0"/>
              <w:rPr>
                <w:sz w:val="20"/>
                <w:szCs w:val="20"/>
                <w:color w:val="auto"/>
              </w:rPr>
            </w:pPr>
            <w:r>
              <w:rPr>
                <w:rFonts w:ascii="Arial" w:cs="Arial" w:eastAsia="Arial" w:hAnsi="Arial"/>
                <w:sz w:val="18"/>
                <w:szCs w:val="18"/>
                <w:color w:val="auto"/>
                <w:w w:val="80"/>
              </w:rPr>
              <w:t>(2,253)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1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14,086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(23,526)</w:t>
            </w:r>
          </w:p>
        </w:tc>
        <w:tc>
          <w:tcPr>
            <w:tcW w:w="300" w:type="dxa"/>
            <w:vAlign w:val="bottom"/>
          </w:tcPr>
          <w:p>
            <w:pPr>
              <w:spacing w:after="0"/>
              <w:rPr>
                <w:sz w:val="19"/>
                <w:szCs w:val="19"/>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w w:val="98"/>
              </w:rPr>
              <w:t>(3,318)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18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(15,709)</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w w:val="98"/>
              </w:rPr>
              <w:t>(3,022)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30,483</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(48,379)</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0"/>
              </w:rPr>
              <w:t>(8,593)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40" w:type="dxa"/>
            <w:vAlign w:val="bottom"/>
            <w:vMerge w:val="restart"/>
          </w:tcPr>
          <w:p>
            <w:pPr>
              <w:jc w:val="right"/>
              <w:ind w:right="890"/>
              <w:spacing w:after="0"/>
              <w:rPr>
                <w:sz w:val="20"/>
                <w:szCs w:val="20"/>
                <w:color w:val="auto"/>
              </w:rPr>
            </w:pPr>
            <w:r>
              <w:rPr>
                <w:rFonts w:ascii="Arial" w:cs="Arial" w:eastAsia="Arial" w:hAnsi="Arial"/>
                <w:sz w:val="18"/>
                <w:szCs w:val="18"/>
                <w:color w:val="auto"/>
              </w:rPr>
              <w:t>95</w:t>
            </w: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94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7" w:name="page98"/>
    <w:bookmarkEnd w:id="97"/>
    <w:p>
      <w:pPr>
        <w:jc w:val="center"/>
        <w:ind w:right="-5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32" w:lineRule="exact"/>
        <w:rPr>
          <w:sz w:val="20"/>
          <w:szCs w:val="20"/>
          <w:color w:val="auto"/>
        </w:rPr>
      </w:pPr>
    </w:p>
    <w:p>
      <w:pPr>
        <w:ind w:left="600" w:hanging="592"/>
        <w:spacing w:after="0"/>
        <w:tabs>
          <w:tab w:leader="none" w:pos="60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December 31, 2018 and 2017, property consisted of the following:</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4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145,034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151,912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187,930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173,102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204,057</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183,510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14,140</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551,161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521,644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339,448</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317,816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211,713</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203,828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hanging="592"/>
        <w:spacing w:after="0"/>
        <w:tabs>
          <w:tab w:leader="none" w:pos="60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December 31, 2018 and 2017 are presented below:</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350,829</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362,760</w:t>
            </w:r>
          </w:p>
        </w:tc>
        <w:tc>
          <w:tcPr>
            <w:tcW w:w="60" w:type="dxa"/>
            <w:vAlign w:val="bottom"/>
            <w:shd w:val="clear" w:color="auto" w:fill="CFF0FC"/>
          </w:tcPr>
          <w:p>
            <w:pPr>
              <w:spacing w:after="0"/>
              <w:rPr>
                <w:sz w:val="19"/>
                <w:szCs w:val="19"/>
                <w:color w:val="auto"/>
              </w:rPr>
            </w:pPr>
          </w:p>
        </w:tc>
      </w:tr>
      <w:tr>
        <w:trPr>
          <w:trHeight w:val="215"/>
        </w:trPr>
        <w:tc>
          <w:tcPr>
            <w:tcW w:w="5460" w:type="dxa"/>
            <w:vAlign w:val="bottom"/>
          </w:tcPr>
          <w:p>
            <w:pPr>
              <w:spacing w:after="0"/>
              <w:rPr>
                <w:sz w:val="20"/>
                <w:szCs w:val="20"/>
                <w:color w:val="auto"/>
              </w:rPr>
            </w:pPr>
            <w:r>
              <w:rPr>
                <w:rFonts w:ascii="Arial" w:cs="Arial" w:eastAsia="Arial" w:hAnsi="Arial"/>
                <w:sz w:val="18"/>
                <w:szCs w:val="18"/>
                <w:color w:val="auto"/>
              </w:rPr>
              <w:t>Other intangible assets (net of accumulated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4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w:t>
            </w:r>
          </w:p>
        </w:tc>
        <w:tc>
          <w:tcPr>
            <w:tcW w:w="1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5,274</w:t>
            </w:r>
          </w:p>
        </w:tc>
        <w:tc>
          <w:tcPr>
            <w:tcW w:w="60" w:type="dxa"/>
            <w:vAlign w:val="bottom"/>
            <w:tcBorders>
              <w:bottom w:val="single" w:sz="8" w:color="CFF0FC"/>
            </w:tcBorders>
          </w:tcPr>
          <w:p>
            <w:pPr>
              <w:spacing w:after="0"/>
              <w:rPr>
                <w:sz w:val="20"/>
                <w:szCs w:val="20"/>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354,463</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368,034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At December 31, 2018 and 2017, goodwill of $286,288 and $298,219, respectively, was attributable to the Company’s Financial Advisory segment and, at each such respective date, $64,541 of goodwill was attributable to the Company’s Asset Management segment.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Changes in the carrying amount of goodwill for the years ended December 31, 2018, 2017 and 2016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8"/>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6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352,124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320,761</w:t>
            </w:r>
          </w:p>
        </w:tc>
        <w:tc>
          <w:tcPr>
            <w:tcW w:w="8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Business acquisitions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33,078</w:t>
            </w:r>
          </w:p>
        </w:tc>
        <w:tc>
          <w:tcPr>
            <w:tcW w:w="8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(11,931)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(1,715)</w:t>
            </w: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Balance, December 31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350,829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362,760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352,124</w:t>
            </w:r>
          </w:p>
        </w:tc>
        <w:tc>
          <w:tcPr>
            <w:tcW w:w="8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All changes in the carrying amount of goodwill for the years ended December 31, 2018, 2017 and 2016 are attributable to the Company’s Financial Advisory segment.</w:t>
      </w:r>
    </w:p>
    <w:p>
      <w:pPr>
        <w:spacing w:after="0" w:line="170" w:lineRule="exact"/>
        <w:rPr>
          <w:sz w:val="20"/>
          <w:szCs w:val="20"/>
          <w:color w:val="auto"/>
        </w:rPr>
      </w:pPr>
    </w:p>
    <w:p>
      <w:pPr>
        <w:jc w:val="both"/>
        <w:ind w:firstLine="598"/>
        <w:spacing w:after="0" w:line="342" w:lineRule="auto"/>
        <w:rPr>
          <w:sz w:val="20"/>
          <w:szCs w:val="20"/>
          <w:color w:val="auto"/>
        </w:rPr>
      </w:pPr>
      <w:r>
        <w:rPr>
          <w:rFonts w:ascii="Arial" w:cs="Arial" w:eastAsia="Arial" w:hAnsi="Arial"/>
          <w:sz w:val="16"/>
          <w:szCs w:val="16"/>
          <w:color w:val="auto"/>
        </w:rPr>
        <w:t>The Company evaluates goodwill for impairment annually or more frequently if circumstances indicate that impairment may have occurred. Pursuant to the Company’s goodwill impairment review for the years ended December 31, 2018, 2017 and 2016, the Company determined that no impairment existed.</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gross cost and accumulated amortization of other intangible assets as of December 31, 2018 and 2017, by major intangible asset category,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December 31, 2018</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Success/incentive fees</w:t>
            </w:r>
          </w:p>
        </w:tc>
        <w:tc>
          <w:tcPr>
            <w:tcW w:w="7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30,043</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27,927</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Management fees, customer relationships and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non-compete agreements</w:t>
            </w:r>
          </w:p>
        </w:tc>
        <w:tc>
          <w:tcPr>
            <w:tcW w:w="7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34,185</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33,548</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33,275</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67,225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63,591</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61,202</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Amortization expense of intangible assets, included in “amortization and other acquisition-related (benefits) costs” in the consolidated statements of operations, for the years ended December 31, 2018, 2017 and 2016 was $2,389, $1,584 and $2,057, respectively. Estimated future amortization expense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94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23"/>
        </w:trPr>
        <w:tc>
          <w:tcPr>
            <w:tcW w:w="9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color w:val="auto"/>
              </w:rPr>
              <w:t>Total amortization expense</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0" w:hanging="592"/>
        <w:spacing w:after="0"/>
        <w:tabs>
          <w:tab w:leader="none" w:pos="60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 AND OTHER LIABILITIES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table sets forth the Company’s other assets, by type, as of December 31, 2018 and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30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and other tax receivables</w:t>
            </w:r>
          </w:p>
        </w:tc>
        <w:tc>
          <w:tcPr>
            <w:tcW w:w="30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35,269</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Prepaid compensation (see Note 15)</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76,362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60,355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 advances and prepayments</w:t>
            </w:r>
          </w:p>
        </w:tc>
        <w:tc>
          <w:tcPr>
            <w:tcW w:w="3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66,248</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56,591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0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80,534</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72,374</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258,413</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224,862</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80" w:type="dxa"/>
            <w:vAlign w:val="bottom"/>
            <w:vMerge w:val="restart"/>
          </w:tcPr>
          <w:p>
            <w:pPr>
              <w:jc w:val="right"/>
              <w:ind w:right="1770"/>
              <w:spacing w:after="0"/>
              <w:rPr>
                <w:sz w:val="20"/>
                <w:szCs w:val="20"/>
                <w:color w:val="auto"/>
              </w:rPr>
            </w:pPr>
            <w:r>
              <w:rPr>
                <w:rFonts w:ascii="Arial" w:cs="Arial" w:eastAsia="Arial" w:hAnsi="Arial"/>
                <w:sz w:val="18"/>
                <w:szCs w:val="18"/>
                <w:color w:val="auto"/>
              </w:rPr>
              <w:t>97</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Company’s other liabilities, by type, as of December 31, 2018 and 2017:</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0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165,691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153,687</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Current income taxes and other taxes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128,372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121,283</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Employee benefit-related liabilities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51,051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69,201</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Deferred lease liabilities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84,352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85,028</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Unclaimed funds at LFB</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14,962</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Deferred revenue (a)</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80,995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45,381</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liability</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4,656</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7,338</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32,356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43,556</w:t>
            </w:r>
          </w:p>
        </w:tc>
        <w:tc>
          <w:tcPr>
            <w:tcW w:w="120" w:type="dxa"/>
            <w:vAlign w:val="bottom"/>
            <w:shd w:val="clear" w:color="auto" w:fill="CFF0FC"/>
          </w:tcPr>
          <w:p>
            <w:pPr>
              <w:spacing w:after="0"/>
              <w:rPr>
                <w:sz w:val="19"/>
                <w:szCs w:val="19"/>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565,801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545,092</w:t>
            </w:r>
          </w:p>
        </w:tc>
        <w:tc>
          <w:tcPr>
            <w:tcW w:w="12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0033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9" w:lineRule="exact"/>
        <w:rPr>
          <w:sz w:val="20"/>
          <w:szCs w:val="20"/>
          <w:color w:val="auto"/>
        </w:rPr>
      </w:pPr>
    </w:p>
    <w:p>
      <w:pPr>
        <w:jc w:val="both"/>
        <w:ind w:left="600" w:right="460" w:hanging="592"/>
        <w:spacing w:after="0" w:line="264" w:lineRule="auto"/>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change in deferred revenue during the year ended December 31, 2018 principally relates to additional carried interest received from private equity investments that is subject to clawback. The revenue recognized during the current year related to the deferred revenue balance as of the beginning of the year was not material to the consolidated financial statements.</w:t>
      </w:r>
    </w:p>
    <w:p>
      <w:pPr>
        <w:spacing w:after="0" w:line="384" w:lineRule="exact"/>
        <w:rPr>
          <w:sz w:val="20"/>
          <w:szCs w:val="20"/>
          <w:color w:val="auto"/>
        </w:rPr>
      </w:pPr>
    </w:p>
    <w:p>
      <w:pPr>
        <w:ind w:left="600" w:hanging="592"/>
        <w:spacing w:after="0"/>
        <w:tabs>
          <w:tab w:leader="none" w:pos="600"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December 31, 2018 and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Initial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4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Principal</w:t>
            </w:r>
          </w:p>
        </w:tc>
        <w:tc>
          <w:tcPr>
            <w:tcW w:w="122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76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Principal</w:t>
            </w:r>
          </w:p>
        </w:tc>
        <w:tc>
          <w:tcPr>
            <w:tcW w:w="2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Rate(b)</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1800" w:type="dxa"/>
            <w:vAlign w:val="bottom"/>
            <w:tcBorders>
              <w:top w:val="single" w:sz="8" w:color="CFF0FC"/>
            </w:tcBorders>
            <w:shd w:val="clear" w:color="auto" w:fill="CFF0FC"/>
          </w:tcPr>
          <w:p>
            <w:pPr>
              <w:jc w:val="right"/>
              <w:ind w:right="690"/>
              <w:spacing w:after="0"/>
              <w:rPr>
                <w:sz w:val="20"/>
                <w:szCs w:val="20"/>
                <w:color w:val="auto"/>
              </w:rPr>
            </w:pPr>
            <w:r>
              <w:rPr>
                <w:rFonts w:ascii="Arial" w:cs="Arial" w:eastAsia="Arial" w:hAnsi="Arial"/>
                <w:sz w:val="18"/>
                <w:szCs w:val="18"/>
                <w:color w:val="auto"/>
                <w:w w:val="90"/>
              </w:rPr>
              <w:t>Lazard Group</w:t>
            </w:r>
          </w:p>
        </w:tc>
        <w:tc>
          <w:tcPr>
            <w:tcW w:w="8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rPr>
              <w:t>2020 Senior</w:t>
            </w:r>
          </w:p>
        </w:tc>
        <w:tc>
          <w:tcPr>
            <w:tcW w:w="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Notes (a)</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249,137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4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2,647</w:t>
            </w:r>
          </w:p>
        </w:tc>
        <w:tc>
          <w:tcPr>
            <w:tcW w:w="1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800" w:type="dxa"/>
            <w:vAlign w:val="bottom"/>
          </w:tcPr>
          <w:p>
            <w:pPr>
              <w:jc w:val="right"/>
              <w:ind w:right="690"/>
              <w:spacing w:after="0"/>
              <w:rPr>
                <w:sz w:val="20"/>
                <w:szCs w:val="20"/>
                <w:color w:val="auto"/>
              </w:rPr>
            </w:pPr>
            <w:r>
              <w:rPr>
                <w:rFonts w:ascii="Arial" w:cs="Arial" w:eastAsia="Arial" w:hAnsi="Arial"/>
                <w:sz w:val="18"/>
                <w:szCs w:val="18"/>
                <w:color w:val="auto"/>
                <w:w w:val="90"/>
              </w:rPr>
              <w:t>Lazard Group</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jc w:val="right"/>
              <w:ind w:right="690"/>
              <w:spacing w:after="0"/>
              <w:rPr>
                <w:sz w:val="20"/>
                <w:szCs w:val="20"/>
                <w:color w:val="auto"/>
              </w:rPr>
            </w:pPr>
            <w:r>
              <w:rPr>
                <w:rFonts w:ascii="Arial" w:cs="Arial" w:eastAsia="Arial" w:hAnsi="Arial"/>
                <w:sz w:val="18"/>
                <w:szCs w:val="18"/>
                <w:color w:val="auto"/>
              </w:rPr>
              <w:t>2025 Senior</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140"/>
              <w:spacing w:after="0"/>
              <w:rPr>
                <w:sz w:val="20"/>
                <w:szCs w:val="20"/>
                <w:color w:val="auto"/>
              </w:rPr>
            </w:pPr>
            <w:r>
              <w:rPr>
                <w:rFonts w:ascii="Arial" w:cs="Arial" w:eastAsia="Arial" w:hAnsi="Arial"/>
                <w:sz w:val="18"/>
                <w:szCs w:val="18"/>
                <w:color w:val="auto"/>
              </w:rPr>
              <w:t>Notes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397,112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396,639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80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90"/>
              </w:rPr>
              <w:t>Lazard Group</w:t>
            </w:r>
          </w:p>
        </w:tc>
        <w:tc>
          <w:tcPr>
            <w:tcW w:w="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rPr>
              <w:t>2027 Senior</w:t>
            </w:r>
          </w:p>
        </w:tc>
        <w:tc>
          <w:tcPr>
            <w:tcW w:w="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Notes (a)</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296,785</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3,609</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800" w:type="dxa"/>
            <w:vAlign w:val="bottom"/>
          </w:tcPr>
          <w:p>
            <w:pPr>
              <w:jc w:val="right"/>
              <w:ind w:right="690"/>
              <w:spacing w:after="0"/>
              <w:rPr>
                <w:sz w:val="20"/>
                <w:szCs w:val="20"/>
                <w:color w:val="auto"/>
              </w:rPr>
            </w:pPr>
            <w:r>
              <w:rPr>
                <w:rFonts w:ascii="Arial" w:cs="Arial" w:eastAsia="Arial" w:hAnsi="Arial"/>
                <w:sz w:val="18"/>
                <w:szCs w:val="18"/>
                <w:color w:val="auto"/>
                <w:w w:val="90"/>
              </w:rPr>
              <w:t>Lazard Group</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jc w:val="right"/>
              <w:ind w:right="690"/>
              <w:spacing w:after="0"/>
              <w:rPr>
                <w:sz w:val="20"/>
                <w:szCs w:val="20"/>
                <w:color w:val="auto"/>
              </w:rPr>
            </w:pPr>
            <w:r>
              <w:rPr>
                <w:rFonts w:ascii="Arial" w:cs="Arial" w:eastAsia="Arial" w:hAnsi="Arial"/>
                <w:sz w:val="18"/>
                <w:szCs w:val="18"/>
                <w:color w:val="auto"/>
              </w:rPr>
              <w:t>2028 Senior</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Notes (a)</w:t>
            </w:r>
          </w:p>
        </w:tc>
        <w:tc>
          <w:tcPr>
            <w:tcW w:w="15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9/19/28</w:t>
            </w: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4.50%</w:t>
            </w:r>
          </w:p>
        </w:tc>
        <w:tc>
          <w:tcPr>
            <w:tcW w:w="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8,774</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491,226</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0" w:type="dxa"/>
            <w:vAlign w:val="bottom"/>
            <w:tcBorders>
              <w:bottom w:val="single" w:sz="8" w:color="CFF0FC"/>
            </w:tcBorders>
            <w:shd w:val="clear" w:color="auto" w:fill="CFF0FC"/>
          </w:tcPr>
          <w:p>
            <w:pPr>
              <w:jc w:val="right"/>
              <w:ind w:right="109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1,450,000</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1,434,260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1,200,000</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9,617</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1,190,383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150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hanging="592"/>
        <w:spacing w:after="0" w:line="297" w:lineRule="auto"/>
        <w:tabs>
          <w:tab w:leader="none" w:pos="6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September 2018, Lazard Group completed an offering of $500,000 aggregate principal amount of 4.50% senior notes due 2028 (the “2028 Notes”). Interest on the 2028 Notes is payable semi-annually on March 19 and September 19 of each year, beginning March 19, 2019. Lazard Group used a portion of the net proceeds of the 2028 Notes to redeem or otherwise retire $250,000 aggregate principal amount of the 4.25% senior notes due 2020 (the “2020 Notes”), which, including the recognition of unamortized issuance costs, resulted in a loss on debt extinguishment of $6,523. Such loss on debt extinguishment was recorded in “operating expenses—other” on the consolidated statement of operations for the year ended December 31, 2018.</w:t>
      </w:r>
    </w:p>
    <w:p>
      <w:pPr>
        <w:spacing w:after="0" w:line="172" w:lineRule="exact"/>
        <w:rPr>
          <w:sz w:val="20"/>
          <w:szCs w:val="20"/>
          <w:color w:val="auto"/>
        </w:rPr>
      </w:pPr>
    </w:p>
    <w:p>
      <w:pPr>
        <w:ind w:left="620" w:right="200"/>
        <w:spacing w:after="0" w:line="277" w:lineRule="auto"/>
        <w:rPr>
          <w:sz w:val="20"/>
          <w:szCs w:val="20"/>
          <w:color w:val="auto"/>
        </w:rPr>
      </w:pPr>
      <w:r>
        <w:rPr>
          <w:rFonts w:ascii="Arial" w:cs="Arial" w:eastAsia="Arial" w:hAnsi="Arial"/>
          <w:sz w:val="18"/>
          <w:szCs w:val="18"/>
          <w:color w:val="auto"/>
        </w:rPr>
        <w:t>During November 2016, Lazard Group completed an offering of $300,000 aggregate principal amount of 3.625% senior notes due 2027 (the “2027 Notes”). Interest on the 2027 Notes is payable semi-annually 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32" w:lineRule="exact"/>
        <w:rPr>
          <w:sz w:val="20"/>
          <w:szCs w:val="20"/>
          <w:color w:val="auto"/>
        </w:rPr>
      </w:pPr>
    </w:p>
    <w:p>
      <w:pPr>
        <w:ind w:left="620" w:right="220"/>
        <w:spacing w:after="0" w:line="259" w:lineRule="auto"/>
        <w:rPr>
          <w:sz w:val="20"/>
          <w:szCs w:val="20"/>
          <w:color w:val="auto"/>
        </w:rPr>
      </w:pPr>
      <w:r>
        <w:rPr>
          <w:rFonts w:ascii="Arial" w:cs="Arial" w:eastAsia="Arial" w:hAnsi="Arial"/>
          <w:sz w:val="18"/>
          <w:szCs w:val="18"/>
          <w:color w:val="auto"/>
        </w:rPr>
        <w:t>March 1 and September 1 of each year, beginning March 1, 2017. Lazard Group used a portion of the net proceeds of the 2027 Notes to redeem or otherwise retire all $98,350 of the 6.85% senior notes due June 2017 (the “2017 Notes”), which, including the recognition of unamortized issuance costs, resulted in a loss on debt extinguishment of $3,148. Such loss on debt extinguishment was recorded in “operating expenses—other” on the consolidated statement of operations for the year ended December 31, 2016.</w:t>
      </w:r>
    </w:p>
    <w:p>
      <w:pPr>
        <w:spacing w:after="0" w:line="187" w:lineRule="exact"/>
        <w:rPr>
          <w:sz w:val="20"/>
          <w:szCs w:val="20"/>
          <w:color w:val="auto"/>
        </w:rPr>
      </w:pPr>
    </w:p>
    <w:p>
      <w:pPr>
        <w:ind w:left="600" w:right="100" w:hanging="592"/>
        <w:spacing w:after="0" w:line="277" w:lineRule="auto"/>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effective interest rates of Lazard Group’s 2020 Notes, the 3.75% senior notes due February 13, 2025 (the “2025 Notes”), the 2027 Notes and the 2028 Notes are 4.43%, 3.87%, 3.76% and 4.68%, respectively.</w:t>
      </w:r>
    </w:p>
    <w:p>
      <w:pPr>
        <w:spacing w:after="0" w:line="170"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December 31, 2018 and 2017, no amounts were outstanding under the Amended and Restated Credit Agreement.</w:t>
      </w:r>
    </w:p>
    <w:p>
      <w:pPr>
        <w:spacing w:after="0" w:line="158" w:lineRule="exact"/>
        <w:rPr>
          <w:sz w:val="20"/>
          <w:szCs w:val="20"/>
          <w:color w:val="auto"/>
        </w:rPr>
      </w:pPr>
    </w:p>
    <w:p>
      <w:pPr>
        <w:jc w:val="both"/>
        <w:ind w:right="40" w:firstLine="59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December 31, 2018, the Company was in compliance with such provisions. All of the Company’s senior debt obligations are unsecured.</w:t>
      </w:r>
    </w:p>
    <w:p>
      <w:pPr>
        <w:spacing w:after="0" w:line="14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Debt maturities relating to senior borrowings outstanding at December 31, 2018 for each of the five years in the period ending December 31, 2023 and thereafter are set forth in the table below.</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630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5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2021 - 2023</w:t>
            </w:r>
          </w:p>
        </w:tc>
        <w:tc>
          <w:tcPr>
            <w:tcW w:w="58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8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58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1,450,000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The Company’s senior debt at December 31, 2018 and 2017 is carried at historical amounts. See Note 7 for information regarding the fair value and fair value hierarchy category of the Company’s senior debt.</w:t>
      </w:r>
    </w:p>
    <w:p>
      <w:pPr>
        <w:spacing w:after="0" w:line="170"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As of December 31, 2018, the Company had approximately $168,000 in unused lines of credit available to it, including the credit facility provided under the Amended and Restated Credit Agreement and unused lines of credit available to LFB of approximately $17,000.</w:t>
      </w:r>
    </w:p>
    <w:p>
      <w:pPr>
        <w:spacing w:after="0" w:line="360" w:lineRule="exact"/>
        <w:rPr>
          <w:sz w:val="20"/>
          <w:szCs w:val="20"/>
          <w:color w:val="auto"/>
        </w:rPr>
      </w:pPr>
    </w:p>
    <w:p>
      <w:pPr>
        <w:ind w:left="600" w:hanging="592"/>
        <w:spacing w:after="0"/>
        <w:tabs>
          <w:tab w:leader="none" w:pos="60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The Company leases office space and equipment under non-cancelable lease agreements, which expire on various dates through 2033.</w:t>
      </w:r>
    </w:p>
    <w:p>
      <w:pPr>
        <w:spacing w:after="0" w:line="248"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Operating lease agreements, in addition to base rentals, generally are subject to escalation provisions based on certain costs incurred by the landlord. For the years ended December 31, 2018, 2017 and 2016, aggregate rental expense relating to operating leases amounted to $84,412, $84,451 and $76,640, respectively, and is included in “occupancy and equipment” or “technology and information services” on the consolidated statements of operations, depending on the nature of the underlying asset. The Company also subleases office space under agreements which expire on various dates through 2022. Sublease income from such agreements was $7,519, $7,659 and $7,858 for the years ended December 31, 2018, 2017 and 2016, respectively.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Capital lease obligations recorded under sale/leaseback transactions were paid in 2017.</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At December 31, 2018, minimum rental commitments under non-cancelable operating leases, net of sublease income, are approximately as follows:</w:t>
      </w:r>
    </w:p>
    <w:p>
      <w:pPr>
        <w:spacing w:after="0" w:line="200" w:lineRule="exact"/>
        <w:rPr>
          <w:sz w:val="20"/>
          <w:szCs w:val="20"/>
          <w:color w:val="auto"/>
        </w:rPr>
      </w:pPr>
    </w:p>
    <w:p>
      <w:pPr>
        <w:spacing w:after="0" w:line="36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4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3180" w:type="dxa"/>
            <w:vAlign w:val="bottom"/>
            <w:shd w:val="clear" w:color="auto" w:fill="CFF0FC"/>
          </w:tcPr>
          <w:p>
            <w:pPr>
              <w:spacing w:after="0"/>
              <w:rPr>
                <w:sz w:val="19"/>
                <w:szCs w:val="19"/>
                <w:color w:val="auto"/>
              </w:rPr>
            </w:pPr>
          </w:p>
        </w:tc>
        <w:tc>
          <w:tcPr>
            <w:tcW w:w="2960" w:type="dxa"/>
            <w:vAlign w:val="bottom"/>
            <w:gridSpan w:val="2"/>
            <w:shd w:val="clear" w:color="auto" w:fill="CFF0FC"/>
          </w:tcPr>
          <w:p>
            <w:pPr>
              <w:jc w:val="right"/>
              <w:ind w:right="58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86,664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31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89,260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18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83,517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31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70,611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18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59,973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488,612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minimum rental commitments</w:t>
            </w:r>
          </w:p>
        </w:tc>
        <w:tc>
          <w:tcPr>
            <w:tcW w:w="2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878,637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sublease proceeds</w:t>
            </w:r>
          </w:p>
        </w:tc>
        <w:tc>
          <w:tcPr>
            <w:tcW w:w="2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rental commitments</w:t>
            </w:r>
          </w:p>
        </w:tc>
        <w:tc>
          <w:tcPr>
            <w:tcW w:w="2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851,696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598"/>
        <w:spacing w:after="0" w:line="308" w:lineRule="auto"/>
        <w:rPr>
          <w:sz w:val="20"/>
          <w:szCs w:val="20"/>
          <w:color w:val="auto"/>
        </w:rPr>
      </w:pPr>
      <w:r>
        <w:rPr>
          <w:rFonts w:ascii="Arial" w:cs="Arial" w:eastAsia="Arial" w:hAnsi="Arial"/>
          <w:sz w:val="17"/>
          <w:szCs w:val="17"/>
          <w:color w:val="auto"/>
        </w:rPr>
        <w:t>In August 2018, the Company entered into a lease agreement for additional office facilities, which are currently under construction, with delivery anticipated in the third quarter of 2019. Operating lease commitments in the table above include the impact of the new lease agreement.</w:t>
      </w:r>
    </w:p>
    <w:p>
      <w:pPr>
        <w:spacing w:after="0" w:line="18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December 31, 2018, LFB had $4,991 of such indemnifications and held $4,947 of collateral/counter-guarantees to secure these commitments. The Company believes the likelihood of loss with respect to these indemnities is remote. Accordingly, no liability is recorded in the consolidated statement of financial condition.</w:t>
      </w:r>
    </w:p>
    <w:p>
      <w:pPr>
        <w:spacing w:after="0" w:line="187" w:lineRule="exact"/>
        <w:rPr>
          <w:sz w:val="20"/>
          <w:szCs w:val="20"/>
          <w:color w:val="auto"/>
        </w:rPr>
      </w:pPr>
    </w:p>
    <w:p>
      <w:pPr>
        <w:ind w:right="60" w:firstLine="598"/>
        <w:spacing w:after="0" w:line="286" w:lineRule="auto"/>
        <w:rPr>
          <w:sz w:val="20"/>
          <w:szCs w:val="20"/>
          <w:color w:val="auto"/>
        </w:rPr>
      </w:pPr>
      <w:r>
        <w:rPr>
          <w:rFonts w:ascii="Arial" w:cs="Arial" w:eastAsia="Arial" w:hAnsi="Arial"/>
          <w:sz w:val="17"/>
          <w:szCs w:val="17"/>
          <w:b w:val="1"/>
          <w:bCs w:val="1"/>
          <w:i w:val="1"/>
          <w:iCs w:val="1"/>
          <w:color w:val="auto"/>
        </w:rPr>
        <w:t>Business Acquisitions</w:t>
      </w:r>
      <w:r>
        <w:rPr>
          <w:rFonts w:ascii="Arial" w:cs="Arial" w:eastAsia="Arial" w:hAnsi="Arial"/>
          <w:sz w:val="17"/>
          <w:szCs w:val="17"/>
          <w:color w:val="auto"/>
        </w:rPr>
        <w:t>—For a business acquired in 2016, the remaining consideration consists of (i) 40,524 shares of Class A common stock subject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non-compete provisions and employment conditions and (ii) up to 210,431 additional shares of Class A common stock that are subject to certain performance thresholds. During the year ended December 31, 2018, 20,293 of the contingent shares were earned.</w:t>
      </w:r>
    </w:p>
    <w:p>
      <w:pPr>
        <w:spacing w:after="0" w:line="166"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December 31, 2018, LFB and LFNY had no such underwriting commitments.</w:t>
      </w:r>
    </w:p>
    <w:p>
      <w:pPr>
        <w:spacing w:after="0" w:line="181"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See Notes 7 and 16 for information regarding commitments relating to investment capital funding commitments and obligations to fund our pension plans, respectively.</w:t>
      </w:r>
    </w:p>
    <w:p>
      <w:pPr>
        <w:spacing w:after="0" w:line="170" w:lineRule="exact"/>
        <w:rPr>
          <w:sz w:val="20"/>
          <w:szCs w:val="20"/>
          <w:color w:val="auto"/>
        </w:rPr>
      </w:pPr>
    </w:p>
    <w:p>
      <w:pPr>
        <w:ind w:right="620" w:firstLine="59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70"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0" w:hanging="592"/>
        <w:spacing w:after="0"/>
        <w:tabs>
          <w:tab w:leader="none" w:pos="600"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b w:val="1"/>
          <w:bCs w:val="1"/>
          <w:i w:val="1"/>
          <w:iCs w:val="1"/>
          <w:color w:val="auto"/>
        </w:rPr>
        <w:t>Lazard Group Distributions</w:t>
      </w:r>
      <w:r>
        <w:rPr>
          <w:rFonts w:ascii="Arial" w:cs="Arial" w:eastAsia="Arial" w:hAnsi="Arial"/>
          <w:sz w:val="17"/>
          <w:szCs w:val="17"/>
          <w:color w:val="auto"/>
        </w:rPr>
        <w:t>—Distributions in respect of Lazard Group’s common membership interests are allocated to the holders of such interests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accordance with the provisions of the Operating Agreement. Such distributions primarily represent amounts necessary to fund (i) any dividends Lazard Ltd may declare on its Class A common stock and (ii) tax distributions in respect of income taxes that Lazard Ltd’s subsidiaries incur.</w:t>
      </w:r>
    </w:p>
    <w:p>
      <w:pPr>
        <w:spacing w:after="0" w:line="57" w:lineRule="exact"/>
        <w:rPr>
          <w:sz w:val="20"/>
          <w:szCs w:val="20"/>
          <w:color w:val="auto"/>
        </w:rPr>
      </w:pPr>
    </w:p>
    <w:p>
      <w:pPr>
        <w:ind w:right="660" w:firstLine="598"/>
        <w:spacing w:after="0" w:line="277" w:lineRule="auto"/>
        <w:rPr>
          <w:sz w:val="20"/>
          <w:szCs w:val="20"/>
          <w:color w:val="auto"/>
        </w:rPr>
      </w:pPr>
      <w:r>
        <w:rPr>
          <w:rFonts w:ascii="Arial" w:cs="Arial" w:eastAsia="Arial" w:hAnsi="Arial"/>
          <w:sz w:val="18"/>
          <w:szCs w:val="18"/>
          <w:color w:val="auto"/>
        </w:rPr>
        <w:t>During the years ended December 31, 2018, 2017 and 2016, Lazard Group distributed $448,912, $346,072 and $301,262, respectively, to the subsidiaries of Lazard Ltd.</w:t>
      </w:r>
    </w:p>
    <w:p>
      <w:pPr>
        <w:spacing w:after="0" w:line="62" w:lineRule="exact"/>
        <w:rPr>
          <w:sz w:val="20"/>
          <w:szCs w:val="20"/>
          <w:color w:val="auto"/>
        </w:rPr>
      </w:pPr>
    </w:p>
    <w:p>
      <w:pPr>
        <w:ind w:right="380" w:firstLine="598"/>
        <w:spacing w:after="0" w:line="308" w:lineRule="auto"/>
        <w:rPr>
          <w:sz w:val="20"/>
          <w:szCs w:val="20"/>
          <w:color w:val="auto"/>
        </w:rPr>
      </w:pPr>
      <w:r>
        <w:rPr>
          <w:rFonts w:ascii="Arial" w:cs="Arial" w:eastAsia="Arial" w:hAnsi="Arial"/>
          <w:sz w:val="17"/>
          <w:szCs w:val="17"/>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38"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year ended December 31, 2018 and since 2015, the Board of Directors of Lazard authorized the repurchase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Class A common stock as set forth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620" w:type="dxa"/>
            <w:vAlign w:val="bottom"/>
            <w:vMerge w:val="restart"/>
          </w:tcPr>
          <w:p>
            <w:pPr>
              <w:spacing w:after="0"/>
              <w:rPr>
                <w:sz w:val="14"/>
                <w:szCs w:val="14"/>
                <w:color w:val="auto"/>
              </w:rPr>
            </w:pPr>
          </w:p>
        </w:tc>
        <w:tc>
          <w:tcPr>
            <w:tcW w:w="2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9"/>
              </w:rPr>
              <w:t>Repurchase</w:t>
            </w:r>
          </w:p>
        </w:tc>
        <w:tc>
          <w:tcPr>
            <w:tcW w:w="2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2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gridSpan w:val="2"/>
          </w:tcPr>
          <w:p>
            <w:pPr>
              <w:jc w:val="center"/>
              <w:ind w:right="820"/>
              <w:spacing w:after="0" w:line="158" w:lineRule="exact"/>
              <w:rPr>
                <w:sz w:val="20"/>
                <w:szCs w:val="20"/>
                <w:color w:val="auto"/>
              </w:rPr>
            </w:pPr>
            <w:r>
              <w:rPr>
                <w:rFonts w:ascii="Arial" w:cs="Arial" w:eastAsia="Arial" w:hAnsi="Arial"/>
                <w:sz w:val="14"/>
                <w:szCs w:val="14"/>
                <w:b w:val="1"/>
                <w:bCs w:val="1"/>
                <w:color w:val="auto"/>
                <w:w w:val="95"/>
              </w:rPr>
              <w:t>Authorization</w:t>
            </w:r>
          </w:p>
        </w:tc>
        <w:tc>
          <w:tcPr>
            <w:tcW w:w="2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February 2015</w:t>
            </w:r>
          </w:p>
        </w:tc>
        <w:tc>
          <w:tcPr>
            <w:tcW w:w="27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500" w:type="dxa"/>
            <w:vAlign w:val="bottom"/>
            <w:tcBorders>
              <w:top w:val="single" w:sz="8" w:color="CFF0FC"/>
            </w:tcBorders>
            <w:shd w:val="clear" w:color="auto" w:fill="CFF0FC"/>
          </w:tcPr>
          <w:p>
            <w:pPr>
              <w:spacing w:after="0"/>
              <w:rPr>
                <w:sz w:val="18"/>
                <w:szCs w:val="18"/>
                <w:color w:val="auto"/>
              </w:rPr>
            </w:pPr>
          </w:p>
        </w:tc>
        <w:tc>
          <w:tcPr>
            <w:tcW w:w="2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December 31, 2016</w:t>
            </w: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January 2016</w:t>
            </w:r>
          </w:p>
        </w:tc>
        <w:tc>
          <w:tcPr>
            <w:tcW w:w="30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200,000</w:t>
            </w:r>
          </w:p>
        </w:tc>
        <w:tc>
          <w:tcPr>
            <w:tcW w:w="5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December 31, 2017</w:t>
            </w:r>
          </w:p>
        </w:tc>
        <w:tc>
          <w:tcPr>
            <w:tcW w:w="0" w:type="dxa"/>
            <w:vAlign w:val="bottom"/>
          </w:tcPr>
          <w:p>
            <w:pPr>
              <w:spacing w:after="0"/>
              <w:rPr>
                <w:sz w:val="1"/>
                <w:szCs w:val="1"/>
                <w:color w:val="auto"/>
              </w:rPr>
            </w:pPr>
          </w:p>
        </w:tc>
      </w:tr>
      <w:tr>
        <w:trPr>
          <w:trHeight w:val="243"/>
        </w:trPr>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2016</w:t>
            </w:r>
          </w:p>
        </w:tc>
        <w:tc>
          <w:tcPr>
            <w:tcW w:w="30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113,182</w:t>
            </w:r>
          </w:p>
        </w:tc>
        <w:tc>
          <w:tcPr>
            <w:tcW w:w="500" w:type="dxa"/>
            <w:vAlign w:val="bottom"/>
            <w:shd w:val="clear" w:color="auto" w:fill="CFF0FC"/>
          </w:tcPr>
          <w:p>
            <w:pPr>
              <w:spacing w:after="0"/>
              <w:rPr>
                <w:sz w:val="21"/>
                <w:szCs w:val="21"/>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31, 2017</w:t>
            </w: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November 2016</w:t>
            </w:r>
          </w:p>
        </w:tc>
        <w:tc>
          <w:tcPr>
            <w:tcW w:w="30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236,000</w:t>
            </w:r>
          </w:p>
        </w:tc>
        <w:tc>
          <w:tcPr>
            <w:tcW w:w="5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December 31, 2018</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2017</w:t>
            </w:r>
          </w:p>
        </w:tc>
        <w:tc>
          <w:tcPr>
            <w:tcW w:w="30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500" w:type="dxa"/>
            <w:vAlign w:val="bottom"/>
            <w:shd w:val="clear" w:color="auto" w:fill="CFF0FC"/>
          </w:tcPr>
          <w:p>
            <w:pPr>
              <w:spacing w:after="0"/>
              <w:rPr>
                <w:sz w:val="19"/>
                <w:szCs w:val="19"/>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31, 2019</w:t>
            </w: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April 2018</w:t>
            </w:r>
          </w:p>
        </w:tc>
        <w:tc>
          <w:tcPr>
            <w:tcW w:w="30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300,000</w:t>
            </w:r>
          </w:p>
        </w:tc>
        <w:tc>
          <w:tcPr>
            <w:tcW w:w="5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December 31, 2020</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2018</w:t>
            </w:r>
          </w:p>
        </w:tc>
        <w:tc>
          <w:tcPr>
            <w:tcW w:w="30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500" w:type="dxa"/>
            <w:vAlign w:val="bottom"/>
            <w:shd w:val="clear" w:color="auto" w:fill="CFF0FC"/>
          </w:tcPr>
          <w:p>
            <w:pPr>
              <w:spacing w:after="0"/>
              <w:rPr>
                <w:sz w:val="19"/>
                <w:szCs w:val="19"/>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31, 2020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2008 Incentive Compensation Plan (the “2008 Plan”) and the Lazard Ltd 2018 Incentive Compensation Plan (the “2018 Plan”). Pursuant to the share repurchase program, purchases have been made in the open market or through privately negotiated transactions. The rate at which the Company purchases shares in connection with the share repurchase program may vary from period to period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December 31:</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2016</w:t>
            </w:r>
          </w:p>
        </w:tc>
        <w:tc>
          <w:tcPr>
            <w:tcW w:w="61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8,551,271</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2017</w:t>
            </w:r>
          </w:p>
        </w:tc>
        <w:tc>
          <w:tcPr>
            <w:tcW w:w="6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6,956,097</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6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12,206,652</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There were 16,737,000 and 9,907,479 shares of Class A common stock held by Lazard Group at December 31, 2018 and 2017, respectively. Such shares of Class A common stock are reported, at cost, as a reduction of members’ equity within the accompanying consolidated statements of financial condition.</w:t>
      </w:r>
    </w:p>
    <w:p>
      <w:pPr>
        <w:spacing w:after="0" w:line="181"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During 2018, 2017 and 2016, certain of our executive officers received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Class A common stock from the executive officers equal in value to all or a portion of the estimated amount of such tax. In addition, during the years ended December 31, 2018, 2017 and 2016, the Company purchased shares of Class A common stock from certain of our executive officers. The aggregate value of all such purchases in 2018, 2017 and 2016 was approximately $17,700, $14,700 and $4,900,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jc w:val="center"/>
        <w:ind w:right="20"/>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During the year ended December 31, 2017, Lazard Group purchased 91,333 shares of Lazard Ltd Class A common stock from subsidiaries of Lazard Ltd for $4,130. There were no such purchases during the years ended December 31, 2018 and 2016.</w:t>
      </w:r>
    </w:p>
    <w:p>
      <w:pPr>
        <w:spacing w:after="0" w:line="170"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As of December 31, 2018, a total of $295,512 of share repurchase authorization remained available under Lazard Ltd’s share repurchase program, all of which will expire on December 31, 2020.</w:t>
      </w:r>
    </w:p>
    <w:p>
      <w:pPr>
        <w:spacing w:after="0" w:line="170"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In addition, on February 4, 2019, the Board of Directors of Lazard authorized the repurchase of up to $300,000 of additional shares of Class A common stock, which authorization will expire on December 31, 2020, bringing the total available share repurchase authorization as of February 4, 2019 to approximately $510,000.</w:t>
      </w:r>
    </w:p>
    <w:p>
      <w:pPr>
        <w:spacing w:after="0" w:line="181"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During the year ended December 31, 2018, Lazard Ltd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Accumulated Other Comprehensive Income (Loss), Net of Tax</w:t>
      </w:r>
      <w:r>
        <w:rPr>
          <w:rFonts w:ascii="Arial" w:cs="Arial" w:eastAsia="Arial" w:hAnsi="Arial"/>
          <w:sz w:val="17"/>
          <w:szCs w:val="17"/>
          <w:color w:val="auto"/>
        </w:rPr>
        <w:t>—The tables below reflect the balances of each component of AOCI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 and activity during the years then ended: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AOCI</w:t>
            </w: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Interests</w:t>
            </w: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AOCI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(43,790)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(151,466</w:t>
            </w:r>
          </w:p>
        </w:tc>
        <w:tc>
          <w:tcPr>
            <w:tcW w:w="240" w:type="dxa"/>
            <w:vAlign w:val="bottom"/>
            <w:tcBorders>
              <w:top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(195,256</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(195,256</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(39,039)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(5,100)</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(44,139)</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(44,139)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(39,039)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(33,404)</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(33,404)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December 31,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(145,831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(228,660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(228,660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(109,306</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(161,471</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(270,777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(270,775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65,516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67,570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67,568</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75,521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December 31, 2017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(151,466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(195,256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6"/>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4" w:name="page105"/>
    <w:bookmarkEnd w:id="104"/>
    <w:p>
      <w:pPr>
        <w:jc w:val="center"/>
        <w:ind w:right="20"/>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(137,073</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(189,760</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(189,758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(56,619)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(26,924)</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(83,543)</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(83,543)</w:t>
            </w: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other comprehensive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(24,398)</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(81,017)</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December 31, 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(109,306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(161,471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(270,777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(270,775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table below reflects adjustments for items reclassified out of AOCI, by component, for the years ended December 31, 2018, 2017 and 2016:</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15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13,070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4,283</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related income taxes</w:t>
            </w:r>
          </w:p>
        </w:tc>
        <w:tc>
          <w:tcPr>
            <w:tcW w:w="15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15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10,735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7,951</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600" w:right="80" w:hanging="592"/>
        <w:spacing w:after="0" w:line="277"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16). Such amounts are included in “operating expenses –other”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1150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0"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w:t>
      </w:r>
    </w:p>
    <w:p>
      <w:pPr>
        <w:spacing w:after="0" w:line="170" w:lineRule="exact"/>
        <w:rPr>
          <w:sz w:val="20"/>
          <w:szCs w:val="20"/>
          <w:color w:val="auto"/>
        </w:rPr>
      </w:pPr>
    </w:p>
    <w:p>
      <w:pPr>
        <w:ind w:right="780" w:firstLine="598"/>
        <w:spacing w:after="0" w:line="277" w:lineRule="auto"/>
        <w:rPr>
          <w:sz w:val="20"/>
          <w:szCs w:val="20"/>
          <w:color w:val="auto"/>
        </w:rPr>
      </w:pPr>
      <w:r>
        <w:rPr>
          <w:rFonts w:ascii="Arial" w:cs="Arial" w:eastAsia="Arial" w:hAnsi="Arial"/>
          <w:sz w:val="18"/>
          <w:szCs w:val="18"/>
          <w:color w:val="auto"/>
        </w:rPr>
        <w:t>The tables below summarize net income attributable to noncontrolling interests for the years ended December 31, 2018, 2017 and 2016 and noncontrolling interests as of December 31, 2018 and 2017, in the Company’s consolidated financial statements:</w:t>
      </w:r>
    </w:p>
    <w:p>
      <w:pPr>
        <w:spacing w:after="0" w:line="176"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Net Income</w:t>
      </w:r>
    </w:p>
    <w:p>
      <w:pPr>
        <w:jc w:val="center"/>
        <w:ind w:left="6660"/>
        <w:spacing w:after="0" w:line="226" w:lineRule="auto"/>
        <w:rPr>
          <w:sz w:val="20"/>
          <w:szCs w:val="20"/>
          <w:color w:val="auto"/>
        </w:rPr>
      </w:pPr>
      <w:r>
        <w:rPr>
          <w:rFonts w:ascii="Arial" w:cs="Arial" w:eastAsia="Arial" w:hAnsi="Arial"/>
          <w:sz w:val="14"/>
          <w:szCs w:val="14"/>
          <w:b w:val="1"/>
          <w:bCs w:val="1"/>
          <w:color w:val="auto"/>
        </w:rPr>
        <w:t>Attributable to Noncontrolling Interests</w:t>
      </w:r>
    </w:p>
    <w:p>
      <w:pPr>
        <w:jc w:val="center"/>
        <w:ind w:left="6660"/>
        <w:spacing w:after="0" w:line="232" w:lineRule="auto"/>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56"/>
        </w:trPr>
        <w:tc>
          <w:tcPr>
            <w:tcW w:w="3180" w:type="dxa"/>
            <w:vAlign w:val="bottom"/>
            <w:tcBorders>
              <w:bottom w:val="single" w:sz="8" w:color="CFF0FC"/>
            </w:tcBorders>
          </w:tcPr>
          <w:p>
            <w:pPr>
              <w:spacing w:after="0"/>
              <w:rPr>
                <w:sz w:val="13"/>
                <w:szCs w:val="13"/>
                <w:color w:val="auto"/>
              </w:rPr>
            </w:pPr>
          </w:p>
        </w:tc>
        <w:tc>
          <w:tcPr>
            <w:tcW w:w="360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36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5,320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6,259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6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6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5,323</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6,263</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5,993</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1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Noncontrolling Interests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tcBorders>
              <w:bottom w:val="single" w:sz="8" w:color="CFF0FC"/>
            </w:tcBorders>
          </w:tcPr>
          <w:p>
            <w:pPr>
              <w:spacing w:after="0"/>
              <w:rPr>
                <w:sz w:val="13"/>
                <w:szCs w:val="13"/>
                <w:color w:val="auto"/>
              </w:rPr>
            </w:pPr>
          </w:p>
        </w:tc>
        <w:tc>
          <w:tcPr>
            <w:tcW w:w="360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3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52,695</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58,568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6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6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52,707</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58,582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600" w:type="dxa"/>
            <w:vAlign w:val="bottom"/>
            <w:vMerge w:val="restart"/>
          </w:tcPr>
          <w:p>
            <w:pPr>
              <w:jc w:val="right"/>
              <w:ind w:right="85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18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8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32" w:lineRule="exact"/>
        <w:rPr>
          <w:sz w:val="20"/>
          <w:szCs w:val="20"/>
          <w:color w:val="auto"/>
        </w:rPr>
      </w:pPr>
    </w:p>
    <w:p>
      <w:pPr>
        <w:ind w:left="600" w:hanging="592"/>
        <w:spacing w:after="0"/>
        <w:tabs>
          <w:tab w:leader="none" w:pos="60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A description of Lazard Ltd’s 2018 Plan, 2008 Plan and 2005 Equity Incentive Plan (the “2005 Plan”) and activity with respect thereto during the years ended December 31, 2018, 2017 and 2016 is presented below.</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Shares Available Under the 2018 Plan, 2008 Plan and 2005 Plan</w:t>
      </w:r>
    </w:p>
    <w:p>
      <w:pPr>
        <w:spacing w:after="0" w:line="117"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The 2018 Plan became effective on April 24, 2018 and replaced the 2008 Plan, which was terminated on April 24, 2018. The 2018 Plan authorizes the issuance of up to 30,000,000 shares of Class A common stock pursuant to the grant or exercise of stock options, stock appreciation rights, restricted stock units (“RSUs”), performance-based restricted stock units (“PRSUs”) and other share-based awards.</w:t>
      </w:r>
    </w:p>
    <w:p>
      <w:pPr>
        <w:spacing w:after="0" w:line="181" w:lineRule="exact"/>
        <w:rPr>
          <w:sz w:val="20"/>
          <w:szCs w:val="20"/>
          <w:color w:val="auto"/>
        </w:rPr>
      </w:pPr>
    </w:p>
    <w:p>
      <w:pPr>
        <w:ind w:right="120" w:firstLine="598"/>
        <w:spacing w:after="0" w:line="297" w:lineRule="auto"/>
        <w:rPr>
          <w:sz w:val="20"/>
          <w:szCs w:val="20"/>
          <w:color w:val="auto"/>
        </w:rPr>
      </w:pPr>
      <w:r>
        <w:rPr>
          <w:rFonts w:ascii="Arial" w:cs="Arial" w:eastAsia="Arial" w:hAnsi="Arial"/>
          <w:sz w:val="16"/>
          <w:szCs w:val="16"/>
          <w:color w:val="auto"/>
        </w:rPr>
        <w:t>The 2008 Plan authorized the issuance of shares of Class A common stock pursuant to the grant or exercise of stock options, stock appreciation rights, RSUs, PRSUs and other share-based awards. Under the 2008 Plan, the maximum number of shares available was based on a formula that limited the aggregate number of shares that could, at any time, be subject to awards that were considered “outstanding” under the 2008 Plan to 30% of the then-outstanding shares of Class A common stock. The 2008 Plan was terminated on April 24, 2018, and no additional awards have been or will be granted under the 2008 Plan after its termination, although outstanding awards granted under the 2008 Plan before its termination continue to be subject to its terms.</w:t>
      </w:r>
    </w:p>
    <w:p>
      <w:pPr>
        <w:spacing w:after="0" w:line="158"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The 2005 Plan authorized the issuance of up to 25,000,000 shares of Class A common stock pursuant to the grant or exercise of stock options, stock appreciation rights, RSUs and other share-based awards. The 2005 Plan expired in the second quarter of 2015, although outstanding deferred stock unit (“DSU”) awards granted under the 2005 Plan before its expiration continue to be subject to its terms.</w:t>
      </w:r>
    </w:p>
    <w:p>
      <w:pPr>
        <w:spacing w:after="0" w:line="181"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PRSUs and restricted stock awards) and “professional services” expense (with respect to DSUs) within the Company’s accompanying consolidated statements of operations: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00" w:type="dxa"/>
            <w:vAlign w:val="bottom"/>
            <w:tcBorders>
              <w:bottom w:val="single" w:sz="8" w:color="CFF0FC"/>
            </w:tcBorders>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RSUs</w:t>
            </w:r>
          </w:p>
        </w:tc>
        <w:tc>
          <w:tcPr>
            <w:tcW w:w="2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193,924</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190,821</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171,188</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34,114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40,767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43,018</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37,261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39,369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45,536</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DSUs</w:t>
            </w:r>
          </w:p>
        </w:tc>
        <w:tc>
          <w:tcPr>
            <w:tcW w:w="2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FF0FC"/>
          </w:tcPr>
          <w:p>
            <w:pPr>
              <w:spacing w:after="0"/>
              <w:rPr>
                <w:sz w:val="19"/>
                <w:szCs w:val="19"/>
                <w:color w:val="auto"/>
              </w:rPr>
            </w:pPr>
          </w:p>
        </w:tc>
      </w:tr>
      <w:tr>
        <w:trPr>
          <w:trHeight w:val="223"/>
        </w:trPr>
        <w:tc>
          <w:tcPr>
            <w:tcW w:w="4500" w:type="dxa"/>
            <w:vAlign w:val="bottom"/>
          </w:tcPr>
          <w:p>
            <w:pPr>
              <w:ind w:left="260"/>
              <w:spacing w:after="0"/>
              <w:rPr>
                <w:sz w:val="20"/>
                <w:szCs w:val="20"/>
                <w:color w:val="auto"/>
              </w:rPr>
            </w:pPr>
            <w:r>
              <w:rPr>
                <w:rFonts w:ascii="Arial" w:cs="Arial" w:eastAsia="Arial" w:hAnsi="Arial"/>
                <w:sz w:val="18"/>
                <w:szCs w:val="18"/>
                <w:color w:val="auto"/>
              </w:rPr>
              <w:t>Total</w:t>
            </w:r>
          </w:p>
        </w:tc>
        <w:tc>
          <w:tcPr>
            <w:tcW w:w="2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266,436</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271,961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260,602</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RSUs generally require future service as a condition for the delivery of the underlying shares of Class A common stock (unless the recipient is then eligible for retirement under the Company’s retirement policy)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8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years ended December 31, 2018, 2017 and 2016, dividend participation rights required the issuance of 888,472, 985,584 and 1,085,354 RSUs, respectively.</w:t>
      </w:r>
    </w:p>
    <w:p>
      <w:pPr>
        <w:spacing w:after="0" w:line="222"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which resulted in 30,463, 31,280 and 38,771 DSUs granted during the years ended December 31, 2018, 2017 and 2016,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dividends paid on Class A common stock.</w:t>
      </w:r>
    </w:p>
    <w:p>
      <w:pPr>
        <w:spacing w:after="0" w:line="193"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Lazard Ltd’s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years ended December 31, 2018, 2017 and 2016, 14,661, 13,882 and 10,043 DSUs, respectively, had been granted pursuant to such Plan.</w:t>
      </w:r>
    </w:p>
    <w:p>
      <w:pPr>
        <w:spacing w:after="0" w:line="18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activity relating to RSUs and DSUs during the three-year period ended December 31, 2018:</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DSUs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9,599,658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44.06</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312,670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1,085,354 RSUs relating to</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dividend 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6,878,306</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34.86</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48,814</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(239,432)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Settled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(4,540,394)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39.16</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(84,759)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2016</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11,698,138</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40.65</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276,725</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985,584 RSUs relating to</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dividend 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5,437,591</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43.03</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45,162</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(217,720)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Settled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(3,998,163)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45.26</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(43,465)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12,919,846</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40.23</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278,422</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888,472 RSUs relating to</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dividend 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4,245,554</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53.44</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45,124</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(144,655)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Settled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(5,658,439)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42.89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11,362,306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323,546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connection with RSUs that settled during the years ended December 31, 2018, 2017 and 2016, the Company satisfied its minimum statutory tax withholding requirements in lieu of delivering 1,651,129, 1,290,601 and 1,421,396 shares of Class A common stock during such respective years. Accordingly, 4,007,310, 2,707,562 and 3,118,998 shares of Class A common stock held by the Company were delivered during the years ended December 31, 2018, 2017 and 2016, respectively.</w:t>
      </w:r>
    </w:p>
    <w:p>
      <w:pPr>
        <w:spacing w:after="0" w:line="187"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As of December 31, 2018, estimated unrecognized RSU compensation expense was approximately $129,837, with such expense expected to be recognized over a weighted average period of approximately 0.8 years subsequent to December 31,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three-year period ended December 31, 2018:</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713,738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1,795,258</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(34,051)</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Settled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(819,872)</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1,655,073</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841,355</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(66,592)</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Settled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(491,676)</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1,938,160</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40.54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529,987</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(35,968)</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Settled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(891,121)</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1,541,058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connection with shares of restricted Class A common stock that settled during the years ended December 31, 2018, 2017 and 2016, the Company satisfied its minimum statutory tax withholding requirements in lieu of delivering 300,272, 150,470 and 141,026 shares of Class A common stock during such respective years. Accordingly, 590,849, 341,206 and 678,846 shares of Class A common stock held by the Company were delivered during the years ended December 31, 2018, 2017 and 2016, respectively.</w:t>
      </w:r>
    </w:p>
    <w:p>
      <w:pPr>
        <w:spacing w:after="0" w:line="187" w:lineRule="exact"/>
        <w:rPr>
          <w:sz w:val="20"/>
          <w:szCs w:val="20"/>
          <w:color w:val="auto"/>
        </w:rPr>
      </w:pPr>
    </w:p>
    <w:p>
      <w:pPr>
        <w:ind w:right="260" w:firstLine="598"/>
        <w:spacing w:after="0" w:line="312" w:lineRule="auto"/>
        <w:rPr>
          <w:sz w:val="20"/>
          <w:szCs w:val="20"/>
          <w:color w:val="auto"/>
        </w:rPr>
      </w:pPr>
      <w:r>
        <w:rPr>
          <w:rFonts w:ascii="Arial" w:cs="Arial" w:eastAsia="Arial" w:hAnsi="Arial"/>
          <w:sz w:val="16"/>
          <w:szCs w:val="16"/>
          <w:color w:val="auto"/>
        </w:rPr>
        <w:t>The restricted stock awards include a cash dividend participation right equivalent to dividends paid on Class A common stock during the period, which will vest concurrently with the underlying restricted stock award. At December 31, 2018, estimated unrecognized restricted stock expense was approximately $17,849, with such expense to be recognized over a weighted average period of approximately 0.7 years subsequent to December 31, 2018.</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PRSUs</w:t>
      </w:r>
    </w:p>
    <w:p>
      <w:pPr>
        <w:spacing w:after="0" w:line="117" w:lineRule="exact"/>
        <w:rPr>
          <w:sz w:val="20"/>
          <w:szCs w:val="20"/>
          <w:color w:val="auto"/>
        </w:rPr>
      </w:pPr>
    </w:p>
    <w:p>
      <w:pPr>
        <w:ind w:right="140" w:firstLine="598"/>
        <w:spacing w:after="0" w:line="287"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approximately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Lazard Ltd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9" w:name="page110"/>
    <w:bookmarkEnd w:id="109"/>
    <w:p>
      <w:pPr>
        <w:jc w:val="center"/>
        <w:ind w:right="-13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activity relating to PRSUs during the three-year period ended December 31,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1,019,038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627,956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Performance units earned (b)</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360,783</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Settled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(417,021)</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December 31,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1,590,756</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458,113</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Performance units earned (b)</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368,389</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Settled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(825,565)</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December 31,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1,591,693</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42.46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399,869</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Performance units earned (b)</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627,956</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Settled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(847,723)</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1,771,795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38.66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23" w:lineRule="exact"/>
        <w:rPr>
          <w:rFonts w:ascii="Arial" w:cs="Arial" w:eastAsia="Arial" w:hAnsi="Arial"/>
          <w:sz w:val="18"/>
          <w:szCs w:val="18"/>
          <w:color w:val="auto"/>
        </w:rPr>
      </w:pPr>
    </w:p>
    <w:p>
      <w:pPr>
        <w:ind w:left="600" w:right="340" w:hanging="592"/>
        <w:spacing w:after="0" w:line="261" w:lineRule="auto"/>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shares of Class A common stock earned during the fiscal year under the performance criteria of previously-granted PRSU awards in excess of the target payout level of such awards.</w:t>
      </w:r>
    </w:p>
    <w:p>
      <w:pPr>
        <w:spacing w:after="0" w:line="184" w:lineRule="exact"/>
        <w:rPr>
          <w:sz w:val="20"/>
          <w:szCs w:val="20"/>
          <w:color w:val="auto"/>
        </w:rPr>
      </w:pPr>
    </w:p>
    <w:p>
      <w:pPr>
        <w:ind w:right="220" w:firstLine="598"/>
        <w:spacing w:after="0" w:line="259" w:lineRule="auto"/>
        <w:rPr>
          <w:sz w:val="20"/>
          <w:szCs w:val="20"/>
          <w:color w:val="auto"/>
        </w:rPr>
      </w:pPr>
      <w:r>
        <w:rPr>
          <w:rFonts w:ascii="Arial" w:cs="Arial" w:eastAsia="Arial" w:hAnsi="Arial"/>
          <w:sz w:val="18"/>
          <w:szCs w:val="18"/>
          <w:color w:val="auto"/>
        </w:rPr>
        <w:t>In connection with certain PRSUs that settled during the years ended December 31, 2018, 2017 and 2016, the Company satisfied its minimum statutory tax withholding requirements in lieu of delivering 91,962, 127,530 and 64,169 shares of Class A common stock during such respective years. Accordingly, 755,761, 698,035 and 352,852 shares of Class A common stock held by the Company were delivered during the years ended December 31, 2018, 2017 and 2016, respectively.</w:t>
      </w:r>
    </w:p>
    <w:p>
      <w:pPr>
        <w:spacing w:after="0" w:line="18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December 31, 2018, the total estimated unrecognized compensation expense was approximately $6,498, and the Company expects to amortize such expense over a weighted-average period of approximately 0.9 years subsequent to December 31, 2018.</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110" w:name="page111"/>
    <w:bookmarkEnd w:id="110"/>
    <w:p>
      <w:pPr>
        <w:jc w:val="center"/>
        <w:ind w:right="20"/>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following is a summary of activity relating to LFI and other similar deferred compensation arrangements during the years ended December 31, 2018 and 2017:</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60,355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104,740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(86,318)</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(1,391)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(85,679)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Decrease in fair value of underlying</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(14,086)</w:t>
            </w: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(1,663)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December 31, 2018</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76,362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77,580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(96,025)</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(992)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(67,575)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December 31, 2017</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60,355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40" w:firstLine="59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0.9 years subsequent to December 31, 2018.</w:t>
      </w:r>
    </w:p>
    <w:p>
      <w:pPr>
        <w:spacing w:after="0" w:line="170" w:lineRule="exact"/>
        <w:rPr>
          <w:sz w:val="20"/>
          <w:szCs w:val="20"/>
          <w:color w:val="auto"/>
        </w:rPr>
      </w:pPr>
    </w:p>
    <w:p>
      <w:pPr>
        <w:ind w:right="360" w:firstLine="598"/>
        <w:spacing w:after="0" w:line="308" w:lineRule="auto"/>
        <w:rPr>
          <w:sz w:val="20"/>
          <w:szCs w:val="20"/>
          <w:color w:val="auto"/>
        </w:rPr>
      </w:pPr>
      <w:r>
        <w:rPr>
          <w:rFonts w:ascii="Arial" w:cs="Arial" w:eastAsia="Arial" w:hAnsi="Arial"/>
          <w:sz w:val="17"/>
          <w:szCs w:val="17"/>
          <w:color w:val="auto"/>
        </w:rPr>
        <w:t>The following is a summary of the impact of LFI and other similar deferred compensation arrangements on “compensation and benefits” expense within the accompanying consolidated statements of operations for the years ended December 31, 2018, 2017 and 2016:</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7"/>
          </w:tcPr>
          <w:p>
            <w:pPr>
              <w:jc w:val="right"/>
              <w:ind w:right="65"/>
              <w:spacing w:after="0"/>
              <w:rPr>
                <w:sz w:val="20"/>
                <w:szCs w:val="20"/>
                <w:color w:val="auto"/>
              </w:rPr>
            </w:pPr>
            <w:r>
              <w:rPr>
                <w:rFonts w:ascii="Arial" w:cs="Arial" w:eastAsia="Arial" w:hAnsi="Arial"/>
                <w:sz w:val="14"/>
                <w:szCs w:val="14"/>
                <w:b w:val="1"/>
                <w:bCs w:val="1"/>
                <w:color w:val="auto"/>
              </w:rPr>
              <w:t>Year Ended Ended 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20" w:type="dxa"/>
            <w:vAlign w:val="bottom"/>
            <w:tcBorders>
              <w:bottom w:val="single" w:sz="8" w:color="CFF0FC"/>
            </w:tcBorders>
          </w:tcPr>
          <w:p>
            <w:pPr>
              <w:spacing w:after="0"/>
              <w:rPr>
                <w:sz w:val="13"/>
                <w:szCs w:val="13"/>
                <w:color w:val="auto"/>
              </w:rPr>
            </w:pPr>
          </w:p>
        </w:tc>
        <w:tc>
          <w:tcPr>
            <w:tcW w:w="1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(14,086)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23,526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76,144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60" w:type="dxa"/>
            <w:vAlign w:val="bottom"/>
            <w:vMerge w:val="restart"/>
          </w:tcPr>
          <w:p>
            <w:pPr>
              <w:jc w:val="right"/>
              <w:ind w:right="730"/>
              <w:spacing w:after="0"/>
              <w:rPr>
                <w:sz w:val="20"/>
                <w:szCs w:val="20"/>
                <w:color w:val="auto"/>
              </w:rPr>
            </w:pPr>
            <w:r>
              <w:rPr>
                <w:rFonts w:ascii="Arial" w:cs="Arial" w:eastAsia="Arial" w:hAnsi="Arial"/>
                <w:sz w:val="18"/>
                <w:szCs w:val="18"/>
                <w:color w:val="auto"/>
              </w:rPr>
              <w:t>109</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1" w:name="page112"/>
    <w:bookmarkEnd w:id="111"/>
    <w:p>
      <w:pPr>
        <w:jc w:val="center"/>
        <w:ind w:right="-5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Incentive Awards Granted In February 2019</w:t>
      </w:r>
    </w:p>
    <w:p>
      <w:pPr>
        <w:spacing w:after="0" w:line="144"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On February 4, 2019, the Company amended and restated the Operating Agreement in order to establish a new long-term incentive compensation program consisting of profits interest participation rights (“PIPRs”), which are equity incentive awards that, subject to certain conditions, may be exchanged for shares of Class A common stock pursuant to the 2018 Plan.</w:t>
      </w:r>
    </w:p>
    <w:p>
      <w:pPr>
        <w:spacing w:after="0" w:line="181" w:lineRule="exact"/>
        <w:rPr>
          <w:sz w:val="20"/>
          <w:szCs w:val="20"/>
          <w:color w:val="auto"/>
        </w:rPr>
      </w:pPr>
    </w:p>
    <w:p>
      <w:pPr>
        <w:ind w:firstLine="598"/>
        <w:spacing w:after="0" w:line="270" w:lineRule="auto"/>
        <w:rPr>
          <w:sz w:val="20"/>
          <w:szCs w:val="20"/>
          <w:color w:val="auto"/>
        </w:rPr>
      </w:pPr>
      <w:r>
        <w:rPr>
          <w:rFonts w:ascii="Arial" w:cs="Arial" w:eastAsia="Arial" w:hAnsi="Arial"/>
          <w:sz w:val="18"/>
          <w:szCs w:val="18"/>
          <w:color w:val="auto"/>
        </w:rPr>
        <w:t>In February 2019, the Company granted approximately $376,000 of deferred incentive compensation awards to eligible employees. These grants included: RSUs or shares of restricted Class A common stock; PIPRs, including PIPRs that are subject to additional performance conditions; LFI awards; deferred cash awards; and a portion of certain fund managers’ year-end incentive compensation that is reinvested in certain funds managed by the Company’s Asset Management business.</w:t>
      </w:r>
    </w:p>
    <w:p>
      <w:pPr>
        <w:spacing w:after="0" w:line="176"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The RSUs, restricted Class A common stock and LFI granted generally provide for one-third vesting on the second anniversary of the grant date and the remaining two-thirds vesting on the third anniversary of the grant date, so long as applicable conditions have been satisfied. The PIPRs granted generally provide for vesting on the third anniversary of the grant date, so long as applicable conditions have been satisfied</w:t>
      </w:r>
      <w:r>
        <w:rPr>
          <w:rFonts w:ascii="Arial" w:cs="Arial" w:eastAsia="Arial" w:hAnsi="Arial"/>
          <w:sz w:val="21"/>
          <w:szCs w:val="21"/>
          <w:color w:val="auto"/>
        </w:rPr>
        <w:t>.</w:t>
      </w:r>
      <w:r>
        <w:rPr>
          <w:rFonts w:ascii="Arial" w:cs="Arial" w:eastAsia="Arial" w:hAnsi="Arial"/>
          <w:sz w:val="18"/>
          <w:szCs w:val="18"/>
          <w:color w:val="auto"/>
        </w:rPr>
        <w:t xml:space="preserve"> Compensation expense with respect to such incentive awards will generally be recognized over the applicable service period.</w:t>
      </w:r>
    </w:p>
    <w:p>
      <w:pPr>
        <w:spacing w:after="0" w:line="380" w:lineRule="exact"/>
        <w:rPr>
          <w:sz w:val="20"/>
          <w:szCs w:val="20"/>
          <w:color w:val="auto"/>
        </w:rPr>
      </w:pPr>
    </w:p>
    <w:p>
      <w:pPr>
        <w:ind w:left="600" w:hanging="592"/>
        <w:spacing w:after="0"/>
        <w:tabs>
          <w:tab w:leader="none" w:pos="600" w:val="left"/>
        </w:tabs>
        <w:numPr>
          <w:ilvl w:val="0"/>
          <w:numId w:val="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ind w:right="100" w:firstLine="598"/>
        <w:spacing w:after="0" w:line="297"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and, until December 2016, in the U.S., a partially funded contributory medical post-retirement plan covering certain qualifying U.S. employees.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expenses-other” for the other components of benefit costs on the consolidated statements of operations (See Note 3).</w:t>
      </w:r>
    </w:p>
    <w:p>
      <w:pPr>
        <w:spacing w:after="0" w:line="158"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b w:val="1"/>
          <w:bCs w:val="1"/>
          <w:i w:val="1"/>
          <w:iCs w:val="1"/>
          <w:color w:val="auto"/>
        </w:rPr>
        <w:t>Medical Plan—</w:t>
      </w:r>
      <w:r>
        <w:rPr>
          <w:rFonts w:ascii="Arial" w:cs="Arial" w:eastAsia="Arial" w:hAnsi="Arial"/>
          <w:sz w:val="18"/>
          <w:szCs w:val="18"/>
          <w:color w:val="auto"/>
        </w:rPr>
        <w:t>The medical plan was previously amended such that effective January 1, 2005 the plan limited post-retirement medical coverage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then former and current employees of the Company that were hired prior to January 1, 2005 and attained the age of 55 on or prior to December 31, 2005, and their dependents. Effective December 31, 2016, the Company ceased offering the medical plan.</w:t>
      </w:r>
    </w:p>
    <w:p>
      <w:pPr>
        <w:spacing w:after="0" w:line="181"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In October 2016, the Company paid participants in the medical plan $2,936 in the aggregate to settle in full the Company’s obligations under the medical plan. The settlement of such obligations resulted in the recognition of a gain of $1,788 that is recorded as a reduction to compensation and benefits expense in the consolidated statements of operations for the year ended December 31, 2016.</w:t>
      </w:r>
    </w:p>
    <w:p>
      <w:pPr>
        <w:spacing w:after="0" w:line="181"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applicable upon an agreement with the plans’ trustees. Management also evaluates from time to time whether to make voluntary contributions to the plans.</w:t>
      </w:r>
    </w:p>
    <w:p>
      <w:pPr>
        <w:spacing w:after="0" w:line="181"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The Company does not expect to make a contribution to the U.S. pension plan during the year ending December 31, 2019. The Company expects to contribute approximately $4,000 to the other non-U.S. pension plans during the year ending December 31, 2019.</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The following table summarizes the changes in the benefit obligations, the fair value of the assets, the funded status and amounts recognized in the consolidated statements of financial condition for the post-retirement plans. The Company uses December 31 as the measurement date for its post-retirement plans.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Pension Plans</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 in benefit obligation</w:t>
            </w:r>
          </w:p>
        </w:tc>
        <w:tc>
          <w:tcPr>
            <w:tcW w:w="2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2960" w:type="dxa"/>
            <w:vAlign w:val="bottom"/>
            <w:gridSpan w:val="2"/>
          </w:tcPr>
          <w:p>
            <w:pPr>
              <w:jc w:val="right"/>
              <w:ind w:right="774"/>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763,831</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718,821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2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Interest cost</w:t>
            </w:r>
          </w:p>
        </w:tc>
        <w:tc>
          <w:tcPr>
            <w:tcW w:w="2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Amendments</w:t>
            </w:r>
          </w:p>
        </w:tc>
        <w:tc>
          <w:tcPr>
            <w:tcW w:w="2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Actuarial (gain) loss</w:t>
            </w:r>
          </w:p>
        </w:tc>
        <w:tc>
          <w:tcPr>
            <w:tcW w:w="2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(27,623)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Benefits paid</w:t>
            </w:r>
          </w:p>
        </w:tc>
        <w:tc>
          <w:tcPr>
            <w:tcW w:w="2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(64,747)</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(44,589)</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Foreign currency translation and other adjustments</w:t>
            </w:r>
          </w:p>
        </w:tc>
        <w:tc>
          <w:tcPr>
            <w:tcW w:w="2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(36,095)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Benefit obligation at end of year</w:t>
            </w:r>
          </w:p>
        </w:tc>
        <w:tc>
          <w:tcPr>
            <w:tcW w:w="20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655,015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763,831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2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plan assets at beginning of year</w:t>
            </w:r>
          </w:p>
        </w:tc>
        <w:tc>
          <w:tcPr>
            <w:tcW w:w="2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728,281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646,119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(10,608)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Employer contributions</w:t>
            </w:r>
          </w:p>
        </w:tc>
        <w:tc>
          <w:tcPr>
            <w:tcW w:w="2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Benefits paid</w:t>
            </w:r>
          </w:p>
        </w:tc>
        <w:tc>
          <w:tcPr>
            <w:tcW w:w="2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(62,056)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(42,022)</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and other adjustments</w:t>
            </w:r>
          </w:p>
        </w:tc>
        <w:tc>
          <w:tcPr>
            <w:tcW w:w="2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(34,933)</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Fair value of plan assets at end of year</w:t>
            </w:r>
          </w:p>
        </w:tc>
        <w:tc>
          <w:tcPr>
            <w:tcW w:w="200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642,837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728,281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Funded (deficit) at end of year</w:t>
            </w:r>
          </w:p>
        </w:tc>
        <w:tc>
          <w:tcPr>
            <w:tcW w:w="20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(12,178)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Amounts recognized in the consolidated statements</w:t>
            </w:r>
          </w:p>
        </w:tc>
        <w:tc>
          <w:tcPr>
            <w:tcW w:w="2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rPr>
                <w:sz w:val="20"/>
                <w:szCs w:val="20"/>
                <w:color w:val="auto"/>
              </w:rPr>
            </w:pPr>
            <w:r>
              <w:rPr>
                <w:rFonts w:ascii="Arial" w:cs="Arial" w:eastAsia="Arial" w:hAnsi="Arial"/>
                <w:sz w:val="18"/>
                <w:szCs w:val="18"/>
                <w:color w:val="auto"/>
              </w:rPr>
              <w:t>of financial condition at December 31, 2018 and</w:t>
            </w:r>
          </w:p>
        </w:tc>
        <w:tc>
          <w:tcPr>
            <w:tcW w:w="2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2017 consist of:</w:t>
            </w:r>
          </w:p>
        </w:tc>
        <w:tc>
          <w:tcPr>
            <w:tcW w:w="2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pension asset (included in “other assets”)</w:t>
            </w:r>
          </w:p>
        </w:tc>
        <w:tc>
          <w:tcPr>
            <w:tcW w:w="2960" w:type="dxa"/>
            <w:vAlign w:val="bottom"/>
            <w:gridSpan w:val="2"/>
            <w:shd w:val="clear" w:color="auto" w:fill="CFF0FC"/>
          </w:tcPr>
          <w:p>
            <w:pPr>
              <w:jc w:val="right"/>
              <w:ind w:right="774"/>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19,573</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60"/>
              <w:spacing w:after="0"/>
              <w:rPr>
                <w:sz w:val="20"/>
                <w:szCs w:val="20"/>
                <w:color w:val="auto"/>
              </w:rPr>
            </w:pPr>
            <w:r>
              <w:rPr>
                <w:rFonts w:ascii="Arial" w:cs="Arial" w:eastAsia="Arial" w:hAnsi="Arial"/>
                <w:sz w:val="18"/>
                <w:szCs w:val="18"/>
                <w:color w:val="auto"/>
              </w:rPr>
              <w:t>Accrued benefit liability (included in “other</w:t>
            </w:r>
          </w:p>
        </w:tc>
        <w:tc>
          <w:tcPr>
            <w:tcW w:w="2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380"/>
              <w:spacing w:after="0"/>
              <w:rPr>
                <w:sz w:val="20"/>
                <w:szCs w:val="20"/>
                <w:color w:val="auto"/>
              </w:rPr>
            </w:pPr>
            <w:r>
              <w:rPr>
                <w:rFonts w:ascii="Arial" w:cs="Arial" w:eastAsia="Arial" w:hAnsi="Arial"/>
                <w:sz w:val="18"/>
                <w:szCs w:val="18"/>
                <w:color w:val="auto"/>
              </w:rPr>
              <w:t>liabilities”)</w:t>
            </w:r>
          </w:p>
        </w:tc>
        <w:tc>
          <w:tcPr>
            <w:tcW w:w="2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(31,751)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(51,739)</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amount recognized</w:t>
            </w:r>
          </w:p>
        </w:tc>
        <w:tc>
          <w:tcPr>
            <w:tcW w:w="20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(12,178)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Amounts recognized in AOCI (excluding tax</w:t>
            </w:r>
          </w:p>
        </w:tc>
        <w:tc>
          <w:tcPr>
            <w:tcW w:w="2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rPr>
                <w:sz w:val="20"/>
                <w:szCs w:val="20"/>
                <w:color w:val="auto"/>
              </w:rPr>
            </w:pPr>
            <w:r>
              <w:rPr>
                <w:rFonts w:ascii="Arial" w:cs="Arial" w:eastAsia="Arial" w:hAnsi="Arial"/>
                <w:sz w:val="18"/>
                <w:szCs w:val="18"/>
                <w:color w:val="auto"/>
              </w:rPr>
              <w:t>benefits of $31,080 and $32,669 at December</w:t>
            </w:r>
          </w:p>
        </w:tc>
        <w:tc>
          <w:tcPr>
            <w:tcW w:w="2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31, 2018 and 2017, respectively) consist of:</w:t>
            </w:r>
          </w:p>
        </w:tc>
        <w:tc>
          <w:tcPr>
            <w:tcW w:w="2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Actuarial net loss (gain)</w:t>
            </w:r>
          </w:p>
        </w:tc>
        <w:tc>
          <w:tcPr>
            <w:tcW w:w="2960" w:type="dxa"/>
            <w:vAlign w:val="bottom"/>
            <w:gridSpan w:val="2"/>
            <w:shd w:val="clear" w:color="auto" w:fill="CFF0FC"/>
          </w:tcPr>
          <w:p>
            <w:pPr>
              <w:jc w:val="right"/>
              <w:ind w:right="774"/>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173,732</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Prior service cost (credit)</w:t>
            </w:r>
          </w:p>
        </w:tc>
        <w:tc>
          <w:tcPr>
            <w:tcW w:w="20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amount recognized</w:t>
            </w:r>
          </w:p>
        </w:tc>
        <w:tc>
          <w:tcPr>
            <w:tcW w:w="20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176,910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184,135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The following table summarizes the fair value of plan assets, the accumulated benefit obligation and the projected benefit obligation at December 31, 2018 and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ind w:left="240"/>
              <w:spacing w:after="0"/>
              <w:rPr>
                <w:sz w:val="20"/>
                <w:szCs w:val="20"/>
                <w:color w:val="auto"/>
              </w:rPr>
            </w:pPr>
            <w:r>
              <w:rPr>
                <w:rFonts w:ascii="Arial" w:cs="Arial" w:eastAsia="Arial" w:hAnsi="Arial"/>
                <w:sz w:val="14"/>
                <w:szCs w:val="14"/>
                <w:b w:val="1"/>
                <w:bCs w:val="1"/>
                <w:color w:val="auto"/>
              </w:rPr>
              <w:t>U.S. Pension Plans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ind w:left="100"/>
              <w:spacing w:after="0"/>
              <w:rPr>
                <w:sz w:val="20"/>
                <w:szCs w:val="20"/>
                <w:color w:val="auto"/>
              </w:rPr>
            </w:pPr>
            <w:r>
              <w:rPr>
                <w:rFonts w:ascii="Arial" w:cs="Arial" w:eastAsia="Arial" w:hAnsi="Arial"/>
                <w:sz w:val="14"/>
                <w:szCs w:val="14"/>
                <w:b w:val="1"/>
                <w:bCs w:val="1"/>
                <w:color w:val="auto"/>
              </w:rPr>
              <w:t>Non-U.S. Pension Plans</w:t>
            </w:r>
          </w:p>
        </w:tc>
        <w:tc>
          <w:tcPr>
            <w:tcW w:w="200" w:type="dxa"/>
            <w:vAlign w:val="bottom"/>
          </w:tcPr>
          <w:p>
            <w:pPr>
              <w:spacing w:after="0"/>
              <w:rPr>
                <w:sz w:val="14"/>
                <w:szCs w:val="14"/>
                <w:color w:val="auto"/>
              </w:rPr>
            </w:pPr>
          </w:p>
        </w:tc>
        <w:tc>
          <w:tcPr>
            <w:tcW w:w="1120" w:type="dxa"/>
            <w:vAlign w:val="bottom"/>
            <w:gridSpan w:val="3"/>
          </w:tcPr>
          <w:p>
            <w:pPr>
              <w:ind w:left="660"/>
              <w:spacing w:after="0"/>
              <w:rPr>
                <w:sz w:val="20"/>
                <w:szCs w:val="20"/>
                <w:color w:val="auto"/>
              </w:rPr>
            </w:pPr>
            <w:r>
              <w:rPr>
                <w:rFonts w:ascii="Arial" w:cs="Arial" w:eastAsia="Arial" w:hAnsi="Arial"/>
                <w:sz w:val="14"/>
                <w:szCs w:val="14"/>
                <w:b w:val="1"/>
                <w:bCs w:val="1"/>
                <w:color w:val="auto"/>
              </w:rPr>
              <w:t>Total</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ind w:left="20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4"/>
                <w:szCs w:val="14"/>
                <w:color w:val="auto"/>
              </w:rPr>
            </w:pPr>
          </w:p>
        </w:tc>
        <w:tc>
          <w:tcPr>
            <w:tcW w:w="1960" w:type="dxa"/>
            <w:vAlign w:val="bottom"/>
            <w:gridSpan w:val="5"/>
          </w:tcPr>
          <w:p>
            <w:pPr>
              <w:ind w:left="18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14"/>
                <w:szCs w:val="14"/>
                <w:color w:val="auto"/>
              </w:rPr>
            </w:pPr>
          </w:p>
        </w:tc>
      </w:tr>
      <w:tr>
        <w:trPr>
          <w:trHeight w:val="156"/>
        </w:trPr>
        <w:tc>
          <w:tcPr>
            <w:tcW w:w="354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plan assets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20,813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622,024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703,637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642,837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9"/>
              </w:rPr>
              <w:t>728,281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ind w:left="200"/>
              <w:spacing w:after="0"/>
              <w:rPr>
                <w:sz w:val="20"/>
                <w:szCs w:val="20"/>
                <w:color w:val="auto"/>
              </w:rPr>
            </w:pPr>
            <w:r>
              <w:rPr>
                <w:rFonts w:ascii="Arial" w:cs="Arial" w:eastAsia="Arial" w:hAnsi="Arial"/>
                <w:sz w:val="18"/>
                <w:szCs w:val="18"/>
                <w:color w:val="auto"/>
              </w:rPr>
              <w:t>28,869</w:t>
            </w:r>
          </w:p>
        </w:tc>
        <w:tc>
          <w:tcPr>
            <w:tcW w:w="1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35,376</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ind w:left="120"/>
              <w:spacing w:after="0"/>
              <w:rPr>
                <w:sz w:val="20"/>
                <w:szCs w:val="20"/>
                <w:color w:val="auto"/>
              </w:rPr>
            </w:pPr>
            <w:r>
              <w:rPr>
                <w:rFonts w:ascii="Arial" w:cs="Arial" w:eastAsia="Arial" w:hAnsi="Arial"/>
                <w:sz w:val="18"/>
                <w:szCs w:val="18"/>
                <w:color w:val="auto"/>
              </w:rPr>
              <w:t>626,146</w:t>
            </w:r>
          </w:p>
        </w:tc>
        <w:tc>
          <w:tcPr>
            <w:tcW w:w="1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100"/>
              <w:spacing w:after="0"/>
              <w:rPr>
                <w:sz w:val="20"/>
                <w:szCs w:val="20"/>
                <w:color w:val="auto"/>
              </w:rPr>
            </w:pPr>
            <w:r>
              <w:rPr>
                <w:rFonts w:ascii="Arial" w:cs="Arial" w:eastAsia="Arial" w:hAnsi="Arial"/>
                <w:sz w:val="18"/>
                <w:szCs w:val="18"/>
                <w:color w:val="auto"/>
                <w:w w:val="89"/>
              </w:rPr>
              <w:t>728,455</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100"/>
              <w:spacing w:after="0"/>
              <w:rPr>
                <w:sz w:val="20"/>
                <w:szCs w:val="20"/>
                <w:color w:val="auto"/>
              </w:rPr>
            </w:pPr>
            <w:r>
              <w:rPr>
                <w:rFonts w:ascii="Arial" w:cs="Arial" w:eastAsia="Arial" w:hAnsi="Arial"/>
                <w:sz w:val="18"/>
                <w:szCs w:val="18"/>
                <w:color w:val="auto"/>
                <w:w w:val="89"/>
              </w:rPr>
              <w:t>655,015</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763,831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28,869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35,376</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626,146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728,455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655,015</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9"/>
              </w:rPr>
              <w:t>763,831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48"/>
        </w:trPr>
        <w:tc>
          <w:tcPr>
            <w:tcW w:w="3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w w:val="99"/>
              </w:rPr>
              <w:t>111</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3" w:name="page114"/>
    <w:bookmarkEnd w:id="113"/>
    <w:p>
      <w:pPr>
        <w:jc w:val="center"/>
        <w:ind w:right="20"/>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73" w:lineRule="exact"/>
        <w:rPr>
          <w:sz w:val="20"/>
          <w:szCs w:val="20"/>
          <w:color w:val="auto"/>
        </w:rPr>
      </w:pPr>
    </w:p>
    <w:p>
      <w:pPr>
        <w:ind w:right="640" w:firstLine="598"/>
        <w:spacing w:after="0" w:line="308" w:lineRule="auto"/>
        <w:rPr>
          <w:sz w:val="20"/>
          <w:szCs w:val="20"/>
          <w:color w:val="auto"/>
        </w:rPr>
      </w:pPr>
      <w:r>
        <w:rPr>
          <w:rFonts w:ascii="Arial" w:cs="Arial" w:eastAsia="Arial" w:hAnsi="Arial"/>
          <w:sz w:val="17"/>
          <w:szCs w:val="17"/>
          <w:color w:val="auto"/>
        </w:rPr>
        <w:t>The following table summarizes the components of net periodic benefit cost (credit), the return on the Company’s post-retirement plan assets, benefits paid, contributions and other amounts recognized in AOCI for the years ended December 31, 2018, 2017 and 2016: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Pension Plans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Medical Plan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For The Year Ended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For The Year Ended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31"/>
              <w:spacing w:after="0" w:line="155"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ind w:right="45"/>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31"/>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Components of Net Periodic Benefit Cost</w:t>
            </w: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(Credit):</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Service cost</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884</w:t>
            </w:r>
          </w:p>
        </w:tc>
        <w:tc>
          <w:tcPr>
            <w:tcW w:w="220" w:type="dxa"/>
            <w:vAlign w:val="bottom"/>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1,413</w:t>
            </w:r>
          </w:p>
        </w:tc>
        <w:tc>
          <w:tcPr>
            <w:tcW w:w="200" w:type="dxa"/>
            <w:vAlign w:val="bottom"/>
          </w:tcPr>
          <w:p>
            <w:pPr>
              <w:spacing w:after="0"/>
              <w:rPr>
                <w:sz w:val="19"/>
                <w:szCs w:val="19"/>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1,235</w:t>
            </w:r>
          </w:p>
        </w:tc>
        <w:tc>
          <w:tcPr>
            <w:tcW w:w="220" w:type="dxa"/>
            <w:vAlign w:val="bottom"/>
          </w:tcPr>
          <w:p>
            <w:pPr>
              <w:spacing w:after="0"/>
              <w:rPr>
                <w:sz w:val="19"/>
                <w:szCs w:val="19"/>
                <w:color w:val="auto"/>
              </w:rPr>
            </w:pP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cost</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19,871</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Expected return on plan assets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8"/>
                <w:szCs w:val="18"/>
                <w:color w:val="auto"/>
              </w:rPr>
              <w:t>(29,622)</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(25,300)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(27,337)</w:t>
            </w: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480"/>
              <w:spacing w:after="0"/>
              <w:rPr>
                <w:sz w:val="20"/>
                <w:szCs w:val="20"/>
                <w:color w:val="auto"/>
              </w:rPr>
            </w:pPr>
            <w:r>
              <w:rPr>
                <w:rFonts w:ascii="Arial" w:cs="Arial" w:eastAsia="Arial" w:hAnsi="Arial"/>
                <w:sz w:val="18"/>
                <w:szCs w:val="18"/>
                <w:color w:val="auto"/>
              </w:rPr>
              <w:t>Prior service cost</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2,369</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actuarial loss (gain)</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3,888</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Settlement loss (gain)</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(credit)</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8"/>
              <w:spacing w:after="0"/>
              <w:rPr>
                <w:sz w:val="20"/>
                <w:szCs w:val="20"/>
                <w:color w:val="auto"/>
              </w:rPr>
            </w:pPr>
            <w:r>
              <w:rPr>
                <w:rFonts w:ascii="Arial" w:cs="Arial" w:eastAsia="Arial" w:hAnsi="Arial"/>
                <w:sz w:val="18"/>
                <w:szCs w:val="18"/>
                <w:color w:val="auto"/>
              </w:rPr>
              <w:t>(10,608)</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43,624</w:t>
            </w:r>
          </w:p>
        </w:tc>
        <w:tc>
          <w:tcPr>
            <w:tcW w:w="200" w:type="dxa"/>
            <w:vAlign w:val="bottom"/>
          </w:tcPr>
          <w:p>
            <w:pPr>
              <w:spacing w:after="0"/>
              <w:rPr>
                <w:sz w:val="19"/>
                <w:szCs w:val="19"/>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119,287</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Employer contributions</w:t>
            </w:r>
          </w:p>
        </w:tc>
        <w:tc>
          <w:tcPr>
            <w:tcW w:w="9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16,844</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11,343</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Benefits paid</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62,056</w:t>
            </w:r>
          </w:p>
        </w:tc>
        <w:tc>
          <w:tcPr>
            <w:tcW w:w="220" w:type="dxa"/>
            <w:vAlign w:val="bottom"/>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42,022</w:t>
            </w:r>
          </w:p>
        </w:tc>
        <w:tc>
          <w:tcPr>
            <w:tcW w:w="200" w:type="dxa"/>
            <w:vAlign w:val="bottom"/>
          </w:tcPr>
          <w:p>
            <w:pPr>
              <w:spacing w:after="0"/>
              <w:rPr>
                <w:sz w:val="19"/>
                <w:szCs w:val="19"/>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29,384</w:t>
            </w:r>
          </w:p>
        </w:tc>
        <w:tc>
          <w:tcPr>
            <w:tcW w:w="220" w:type="dxa"/>
            <w:vAlign w:val="bottom"/>
          </w:tcPr>
          <w:p>
            <w:pPr>
              <w:spacing w:after="0"/>
              <w:rPr>
                <w:sz w:val="19"/>
                <w:szCs w:val="19"/>
                <w:color w:val="auto"/>
              </w:rPr>
            </w:pP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 changes in plan assets and benefit</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obligations recognized in AOCI (excluding</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 expense (benefit) of $1,589, $(1,255)</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$(998), during the years ended</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2018, 2017 and 2016,</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respectively):</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480"/>
              <w:spacing w:after="0"/>
              <w:rPr>
                <w:sz w:val="20"/>
                <w:szCs w:val="20"/>
                <w:color w:val="auto"/>
              </w:rPr>
            </w:pPr>
            <w:r>
              <w:rPr>
                <w:rFonts w:ascii="Arial" w:cs="Arial" w:eastAsia="Arial" w:hAnsi="Arial"/>
                <w:sz w:val="18"/>
                <w:szCs w:val="18"/>
                <w:color w:val="auto"/>
              </w:rPr>
              <w:t>Net actuarial (gain) loss</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11,073</w:t>
            </w:r>
          </w:p>
        </w:tc>
        <w:tc>
          <w:tcPr>
            <w:tcW w:w="220" w:type="dxa"/>
            <w:vAlign w:val="bottom"/>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(17,357)</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51,626</w:t>
            </w:r>
          </w:p>
        </w:tc>
        <w:tc>
          <w:tcPr>
            <w:tcW w:w="220" w:type="dxa"/>
            <w:vAlign w:val="bottom"/>
          </w:tcPr>
          <w:p>
            <w:pPr>
              <w:spacing w:after="0"/>
              <w:rPr>
                <w:sz w:val="19"/>
                <w:szCs w:val="19"/>
                <w:color w:val="auto"/>
              </w:rPr>
            </w:pP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Prior service cost (credit)</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tcPr>
          <w:p>
            <w:pPr>
              <w:ind w:left="480"/>
              <w:spacing w:after="0"/>
              <w:rPr>
                <w:sz w:val="20"/>
                <w:szCs w:val="20"/>
                <w:color w:val="auto"/>
              </w:rPr>
            </w:pPr>
            <w:r>
              <w:rPr>
                <w:rFonts w:ascii="Arial" w:cs="Arial" w:eastAsia="Arial" w:hAnsi="Arial"/>
                <w:sz w:val="18"/>
                <w:szCs w:val="18"/>
                <w:color w:val="auto"/>
              </w:rPr>
              <w:t>Reclassification of prior service (cost)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620"/>
              <w:spacing w:after="0"/>
              <w:rPr>
                <w:sz w:val="20"/>
                <w:szCs w:val="20"/>
                <w:color w:val="auto"/>
              </w:rPr>
            </w:pPr>
            <w:r>
              <w:rPr>
                <w:rFonts w:ascii="Arial" w:cs="Arial" w:eastAsia="Arial" w:hAnsi="Arial"/>
                <w:sz w:val="18"/>
                <w:szCs w:val="18"/>
                <w:color w:val="auto"/>
              </w:rPr>
              <w:t>credit to earnings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(2,369)</w:t>
            </w: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Reclassification of actuarial gain (loss)</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 earnings</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(13,052)</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(10,141)</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(3,888)</w:t>
            </w: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tcPr>
          <w:p>
            <w:pPr>
              <w:ind w:left="480"/>
              <w:spacing w:after="0"/>
              <w:rPr>
                <w:sz w:val="20"/>
                <w:szCs w:val="20"/>
                <w:color w:val="auto"/>
              </w:rPr>
            </w:pPr>
            <w:r>
              <w:rPr>
                <w:rFonts w:ascii="Arial" w:cs="Arial" w:eastAsia="Arial" w:hAnsi="Arial"/>
                <w:sz w:val="18"/>
                <w:szCs w:val="18"/>
                <w:color w:val="auto"/>
              </w:rPr>
              <w:t>Currency translation and other</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620"/>
              <w:spacing w:after="0"/>
              <w:rPr>
                <w:sz w:val="20"/>
                <w:szCs w:val="20"/>
                <w:color w:val="auto"/>
              </w:rPr>
            </w:pPr>
            <w:r>
              <w:rPr>
                <w:rFonts w:ascii="Arial" w:cs="Arial" w:eastAsia="Arial" w:hAnsi="Arial"/>
                <w:sz w:val="18"/>
                <w:szCs w:val="18"/>
                <w:color w:val="auto"/>
              </w:rPr>
              <w:t>adjustments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8"/>
                <w:szCs w:val="18"/>
                <w:color w:val="auto"/>
              </w:rPr>
              <w:t>(8,424)</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18,778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(20,309)</w:t>
            </w: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recognized in AOCI</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 in total periodic</w:t>
            </w: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benefit cost and AOCI</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8"/>
              <w:spacing w:after="0"/>
              <w:rPr>
                <w:sz w:val="20"/>
                <w:szCs w:val="20"/>
                <w:color w:val="auto"/>
              </w:rPr>
            </w:pPr>
            <w:r>
              <w:rPr>
                <w:rFonts w:ascii="Arial" w:cs="Arial" w:eastAsia="Arial" w:hAnsi="Arial"/>
                <w:sz w:val="18"/>
                <w:szCs w:val="18"/>
                <w:color w:val="auto"/>
              </w:rPr>
              <w:t>(7,324)</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(5,419)</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25,086</w:t>
            </w:r>
          </w:p>
        </w:tc>
        <w:tc>
          <w:tcPr>
            <w:tcW w:w="220" w:type="dxa"/>
            <w:vAlign w:val="bottom"/>
          </w:tcPr>
          <w:p>
            <w:pPr>
              <w:spacing w:after="0"/>
              <w:rPr>
                <w:sz w:val="20"/>
                <w:szCs w:val="20"/>
                <w:color w:val="auto"/>
              </w:rPr>
            </w:pP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920" w:firstLine="598"/>
        <w:spacing w:after="0" w:line="277" w:lineRule="auto"/>
        <w:rPr>
          <w:sz w:val="20"/>
          <w:szCs w:val="20"/>
          <w:color w:val="auto"/>
        </w:rPr>
      </w:pPr>
      <w:r>
        <w:rPr>
          <w:rFonts w:ascii="Arial" w:cs="Arial" w:eastAsia="Arial" w:hAnsi="Arial"/>
          <w:sz w:val="18"/>
          <w:szCs w:val="18"/>
          <w:color w:val="auto"/>
        </w:rPr>
        <w:t>The amounts in AOCI on the consolidated statement of financial condition as of December 31, 2018 that are expected to be recognized as components of net periodic benefit cost (credit) for the year ending December 31, 2019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Pension</w:t>
            </w:r>
          </w:p>
        </w:tc>
        <w:tc>
          <w:tcPr>
            <w:tcW w:w="20" w:type="dxa"/>
            <w:vAlign w:val="bottom"/>
          </w:tcPr>
          <w:p>
            <w:pPr>
              <w:spacing w:after="0"/>
              <w:rPr>
                <w:sz w:val="14"/>
                <w:szCs w:val="14"/>
                <w:color w:val="auto"/>
              </w:rPr>
            </w:pPr>
          </w:p>
        </w:tc>
      </w:tr>
      <w:tr>
        <w:trPr>
          <w:trHeight w:val="171"/>
        </w:trPr>
        <w:tc>
          <w:tcPr>
            <w:tcW w:w="34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Plans</w:t>
            </w:r>
          </w:p>
        </w:tc>
        <w:tc>
          <w:tcPr>
            <w:tcW w:w="20" w:type="dxa"/>
            <w:vAlign w:val="bottom"/>
          </w:tcPr>
          <w:p>
            <w:pPr>
              <w:spacing w:after="0"/>
              <w:rPr>
                <w:sz w:val="14"/>
                <w:szCs w:val="14"/>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actuarial loss</w:t>
            </w:r>
          </w:p>
        </w:tc>
        <w:tc>
          <w:tcPr>
            <w:tcW w:w="59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Prior service cost</w:t>
            </w:r>
          </w:p>
        </w:tc>
        <w:tc>
          <w:tcPr>
            <w:tcW w:w="63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7"/>
        </w:trPr>
        <w:tc>
          <w:tcPr>
            <w:tcW w:w="3420" w:type="dxa"/>
            <w:vAlign w:val="bottom"/>
          </w:tcPr>
          <w:p>
            <w:pPr>
              <w:spacing w:after="0"/>
              <w:rPr>
                <w:sz w:val="24"/>
                <w:szCs w:val="24"/>
                <w:color w:val="auto"/>
              </w:rPr>
            </w:pPr>
          </w:p>
        </w:tc>
        <w:tc>
          <w:tcPr>
            <w:tcW w:w="5980" w:type="dxa"/>
            <w:vAlign w:val="bottom"/>
          </w:tcPr>
          <w:p>
            <w:pPr>
              <w:jc w:val="right"/>
              <w:ind w:right="3470"/>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4" w:name="page115"/>
    <w:bookmarkEnd w:id="114"/>
    <w:p>
      <w:pPr>
        <w:jc w:val="center"/>
        <w:ind w:right="20"/>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assumptions used to develop actuarial present value of the projected benefit obligation and net periodic pension cost as of or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 are set forth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Pension Plans</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Medical Plan</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6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December 31,</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62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0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assumptions used to</w:t>
            </w:r>
          </w:p>
        </w:tc>
        <w:tc>
          <w:tcPr>
            <w:tcW w:w="6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determine benefit obligations:</w:t>
            </w: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Discount rate</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2.6%</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15"/>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assumptions used to</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determine net periodic benefit cost:</w:t>
            </w: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Discount rate</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2.4%</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15"/>
        </w:trPr>
        <w:tc>
          <w:tcPr>
            <w:tcW w:w="5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Expected long-term rate of return on plan</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assets</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4.4%</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r>
      <w:tr>
        <w:trPr>
          <w:trHeight w:val="215"/>
        </w:trPr>
        <w:tc>
          <w:tcPr>
            <w:tcW w:w="5240" w:type="dxa"/>
            <w:vAlign w:val="bottom"/>
            <w:gridSpan w:val="2"/>
          </w:tcPr>
          <w:p>
            <w:pPr>
              <w:spacing w:after="0"/>
              <w:rPr>
                <w:sz w:val="20"/>
                <w:szCs w:val="20"/>
                <w:color w:val="auto"/>
              </w:rPr>
            </w:pPr>
            <w:r>
              <w:rPr>
                <w:rFonts w:ascii="Arial" w:cs="Arial" w:eastAsia="Arial" w:hAnsi="Arial"/>
                <w:sz w:val="18"/>
                <w:szCs w:val="18"/>
                <w:color w:val="auto"/>
              </w:rPr>
              <w:t>Healthcare cost trend rates used to determine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240" w:type="dxa"/>
            <w:vAlign w:val="bottom"/>
            <w:gridSpan w:val="2"/>
          </w:tcPr>
          <w:p>
            <w:pPr>
              <w:ind w:left="140"/>
              <w:spacing w:after="0"/>
              <w:rPr>
                <w:sz w:val="20"/>
                <w:szCs w:val="20"/>
                <w:color w:val="auto"/>
              </w:rPr>
            </w:pPr>
            <w:r>
              <w:rPr>
                <w:rFonts w:ascii="Arial" w:cs="Arial" w:eastAsia="Arial" w:hAnsi="Arial"/>
                <w:sz w:val="18"/>
                <w:szCs w:val="18"/>
                <w:color w:val="auto"/>
              </w:rPr>
              <w:t>net periodic benefit cost: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5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Initial</w:t>
            </w:r>
          </w:p>
        </w:tc>
        <w:tc>
          <w:tcPr>
            <w:tcW w:w="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Ultimate</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30"/>
        </w:trPr>
        <w:tc>
          <w:tcPr>
            <w:tcW w:w="5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Year ultimate trend rate achieved</w:t>
            </w:r>
          </w:p>
        </w:tc>
        <w:tc>
          <w:tcPr>
            <w:tcW w:w="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right="40" w:firstLine="598"/>
        <w:spacing w:after="0" w:line="277" w:lineRule="auto"/>
        <w:rPr>
          <w:sz w:val="20"/>
          <w:szCs w:val="20"/>
          <w:color w:val="auto"/>
        </w:rPr>
      </w:pPr>
      <w:r>
        <w:rPr>
          <w:rFonts w:ascii="Arial" w:cs="Arial" w:eastAsia="Arial" w:hAnsi="Arial"/>
          <w:sz w:val="18"/>
          <w:szCs w:val="18"/>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170"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historical returns. This basis is consistent for all years presented.</w:t>
      </w:r>
    </w:p>
    <w:p>
      <w:pPr>
        <w:spacing w:after="0" w:line="222"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b w:val="1"/>
          <w:bCs w:val="1"/>
          <w:i w:val="1"/>
          <w:iCs w:val="1"/>
          <w:color w:val="auto"/>
        </w:rPr>
        <w:t>Expected Benefit Payments</w:t>
      </w:r>
      <w:r>
        <w:rPr>
          <w:rFonts w:ascii="Arial" w:cs="Arial" w:eastAsia="Arial" w:hAnsi="Arial"/>
          <w:sz w:val="18"/>
          <w:szCs w:val="18"/>
          <w:color w:val="auto"/>
        </w:rPr>
        <w:t>—The following table summarizes the expected benefit payments for the Company’s pension plans for each of the next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five fiscal years and in the aggregate for the five fiscal years thereafter:</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534"/>
              <w:spacing w:after="0"/>
              <w:rPr>
                <w:sz w:val="20"/>
                <w:szCs w:val="20"/>
                <w:color w:val="auto"/>
              </w:rPr>
            </w:pPr>
            <w:r>
              <w:rPr>
                <w:rFonts w:ascii="Arial" w:cs="Arial" w:eastAsia="Arial" w:hAnsi="Arial"/>
                <w:sz w:val="14"/>
                <w:szCs w:val="14"/>
                <w:b w:val="1"/>
                <w:bCs w:val="1"/>
                <w:color w:val="auto"/>
              </w:rPr>
              <w:t>Pension</w:t>
            </w:r>
          </w:p>
        </w:tc>
        <w:tc>
          <w:tcPr>
            <w:tcW w:w="1160" w:type="dxa"/>
            <w:vAlign w:val="bottom"/>
          </w:tcPr>
          <w:p>
            <w:pPr>
              <w:spacing w:after="0"/>
              <w:rPr>
                <w:sz w:val="14"/>
                <w:szCs w:val="14"/>
                <w:color w:val="auto"/>
              </w:rPr>
            </w:pPr>
          </w:p>
        </w:tc>
      </w:tr>
      <w:tr>
        <w:trPr>
          <w:trHeight w:val="171"/>
        </w:trPr>
        <w:tc>
          <w:tcPr>
            <w:tcW w:w="1160" w:type="dxa"/>
            <w:vAlign w:val="bottom"/>
          </w:tcPr>
          <w:p>
            <w:pPr>
              <w:spacing w:after="0"/>
              <w:rPr>
                <w:sz w:val="14"/>
                <w:szCs w:val="14"/>
                <w:color w:val="auto"/>
              </w:rPr>
            </w:pPr>
          </w:p>
        </w:tc>
        <w:tc>
          <w:tcPr>
            <w:tcW w:w="2600" w:type="dxa"/>
            <w:vAlign w:val="bottom"/>
            <w:tcBorders>
              <w:bottom w:val="single" w:sz="8" w:color="CFF0FC"/>
            </w:tcBorders>
          </w:tcPr>
          <w:p>
            <w:pPr>
              <w:spacing w:after="0"/>
              <w:rPr>
                <w:sz w:val="14"/>
                <w:szCs w:val="14"/>
                <w:color w:val="auto"/>
              </w:rPr>
            </w:pPr>
          </w:p>
        </w:tc>
        <w:tc>
          <w:tcPr>
            <w:tcW w:w="49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Plans</w:t>
            </w:r>
          </w:p>
        </w:tc>
        <w:tc>
          <w:tcPr>
            <w:tcW w:w="116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49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24,782</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2020</w:t>
            </w:r>
          </w:p>
        </w:tc>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24,570</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27,051</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2022</w:t>
            </w:r>
          </w:p>
        </w:tc>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28,053</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28,787</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2024-2028</w:t>
            </w:r>
          </w:p>
        </w:tc>
        <w:tc>
          <w:tcPr>
            <w:tcW w:w="4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152,854</w:t>
            </w:r>
          </w:p>
        </w:tc>
        <w:tc>
          <w:tcPr>
            <w:tcW w:w="1160" w:type="dxa"/>
            <w:vAlign w:val="bottom"/>
          </w:tcPr>
          <w:p>
            <w:pPr>
              <w:spacing w:after="0"/>
              <w:rPr>
                <w:sz w:val="20"/>
                <w:szCs w:val="20"/>
                <w:color w:val="auto"/>
              </w:rPr>
            </w:pPr>
          </w:p>
        </w:tc>
      </w:tr>
      <w:tr>
        <w:trPr>
          <w:trHeight w:val="647"/>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900" w:type="dxa"/>
            <w:vAlign w:val="bottom"/>
          </w:tcPr>
          <w:p>
            <w:pPr>
              <w:jc w:val="right"/>
              <w:ind w:right="2730"/>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5" w:name="page116"/>
    <w:bookmarkEnd w:id="115"/>
    <w:p>
      <w:pPr>
        <w:jc w:val="center"/>
        <w:ind w:right="-5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73"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b w:val="1"/>
          <w:bCs w:val="1"/>
          <w:i w:val="1"/>
          <w:iCs w:val="1"/>
          <w:color w:val="auto"/>
        </w:rPr>
        <w:t>Plan Assets</w:t>
      </w:r>
      <w:r>
        <w:rPr>
          <w:rFonts w:ascii="Arial" w:cs="Arial" w:eastAsia="Arial" w:hAnsi="Arial"/>
          <w:sz w:val="18"/>
          <w:szCs w:val="18"/>
          <w:color w:val="auto"/>
        </w:rPr>
        <w:t>—The following tables present the categorization of our pension plans’ assets as of December 31, 2018 and 2017, measured at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a fair value hierarchy and investments measured at NAV or its equivalent as a practical expedient in accordance with fair value measurement disclosure requirements: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6"/>
          </w:tcPr>
          <w:p>
            <w:pPr>
              <w:jc w:val="center"/>
              <w:ind w:left="534"/>
              <w:spacing w:after="0"/>
              <w:rPr>
                <w:sz w:val="20"/>
                <w:szCs w:val="20"/>
                <w:color w:val="auto"/>
              </w:rPr>
            </w:pPr>
            <w:r>
              <w:rPr>
                <w:rFonts w:ascii="Arial" w:cs="Arial" w:eastAsia="Arial" w:hAnsi="Arial"/>
                <w:sz w:val="14"/>
                <w:szCs w:val="14"/>
                <w:b w:val="1"/>
                <w:bCs w:val="1"/>
                <w:color w:val="auto"/>
                <w:w w:val="90"/>
              </w:rPr>
              <w:t>As of December 31, 2018</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NAV (a)</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Cash</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6,619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6,619</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81,533</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Equities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27,585</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Funds: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Arial" w:cs="Arial" w:eastAsia="Arial" w:hAnsi="Arial"/>
                <w:sz w:val="18"/>
                <w:szCs w:val="18"/>
                <w:color w:val="auto"/>
              </w:rPr>
              <w:t>Alternative investments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29,975</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322,739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333,332</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Arial" w:cs="Arial" w:eastAsia="Arial" w:hAnsi="Arial"/>
                <w:sz w:val="18"/>
                <w:szCs w:val="18"/>
                <w:color w:val="auto"/>
              </w:rPr>
              <w:t>Equity</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151,199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5,572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162,802</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Derivative</w:t>
            </w:r>
          </w:p>
        </w:tc>
        <w:tc>
          <w:tcPr>
            <w:tcW w:w="1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277,529</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642,837</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left="534"/>
              <w:spacing w:after="0"/>
              <w:rPr>
                <w:sz w:val="20"/>
                <w:szCs w:val="20"/>
                <w:color w:val="auto"/>
              </w:rPr>
            </w:pPr>
            <w:r>
              <w:rPr>
                <w:rFonts w:ascii="Arial" w:cs="Arial" w:eastAsia="Arial" w:hAnsi="Arial"/>
                <w:sz w:val="14"/>
                <w:szCs w:val="14"/>
                <w:b w:val="1"/>
                <w:bCs w:val="1"/>
                <w:color w:val="auto"/>
                <w:w w:val="90"/>
              </w:rPr>
              <w:t>As of December 31, 2017</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NAV (a)</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Cash</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11,544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11,544</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73,728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73,728</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Equities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36,854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36,854</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Funds: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Arial" w:cs="Arial" w:eastAsia="Arial" w:hAnsi="Arial"/>
                <w:sz w:val="18"/>
                <w:szCs w:val="18"/>
                <w:color w:val="auto"/>
              </w:rPr>
              <w:t>Alternative investments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25,938</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363,915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374,917</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Arial" w:cs="Arial" w:eastAsia="Arial" w:hAnsi="Arial"/>
                <w:sz w:val="18"/>
                <w:szCs w:val="18"/>
                <w:color w:val="auto"/>
              </w:rPr>
              <w:t>Equity</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192,875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204,636</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Derivative</w:t>
            </w:r>
          </w:p>
        </w:tc>
        <w:tc>
          <w:tcPr>
            <w:tcW w:w="1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326,003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4,410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397,868</w:t>
            </w:r>
          </w:p>
        </w:tc>
        <w:tc>
          <w:tcPr>
            <w:tcW w:w="220" w:type="dxa"/>
            <w:vAlign w:val="bottom"/>
            <w:gridSpan w:val="2"/>
          </w:tcPr>
          <w:p>
            <w:pPr>
              <w:spacing w:after="0"/>
              <w:rPr>
                <w:sz w:val="19"/>
                <w:szCs w:val="19"/>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728,281</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right="420" w:hanging="592"/>
        <w:spacing w:after="0" w:line="277" w:lineRule="auto"/>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certain investments measured at NAV or its equivalent as a practical expedient in determining fair value. In accordance with current accounting guidance, these investments have not been classified in the fair value hierarchy.</w:t>
      </w:r>
    </w:p>
    <w:p>
      <w:pPr>
        <w:spacing w:after="0" w:line="170"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Included in equity funds are $87,129 and $102,455 as of December 31, 2018 and 2017, respectively, that are invested in funds managed by the Company.</w:t>
      </w:r>
    </w:p>
    <w:p>
      <w:pPr>
        <w:spacing w:after="0" w:line="170"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Consistent with the plans’ investment strategies, at December 31, 2018 and 2017, the Company’s U.S. pension plan had 49% and 55%, respectively, of the plans’ assets invested in equity funds in Level 1 and measured at NAV or its equivalent as a practical expedient and 51% and 45%, respectively, invested in Level 1 debt funds. The Company’s non-U.S. pension plans at December 31, 2018 and 2017 had 29% and 32%, respectively, of the plans’ assets invested in equities and equity funds that are primarily Level 1 assets; 65% and 62%, respectively, of the plans’ assets invested in debt and debt funds that are Level 1 assets or measured at NAV or its equivalent as a practical expedient, and 6% and 6%, respectively, of the plans’ assets invested in cash, which is a Level 1 asset, or in alternative investment funds that are primarily measured at NAV.</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b w:val="1"/>
          <w:bCs w:val="1"/>
          <w:i w:val="1"/>
          <w:iCs w:val="1"/>
          <w:color w:val="auto"/>
        </w:rPr>
        <w:t>Investment Policies and Strategies</w:t>
      </w:r>
      <w:r>
        <w:rPr>
          <w:rFonts w:ascii="Arial" w:cs="Arial" w:eastAsia="Arial" w:hAnsi="Arial"/>
          <w:sz w:val="17"/>
          <w:szCs w:val="17"/>
          <w:color w:val="auto"/>
        </w:rPr>
        <w:t>—The primary investment goal is to ensure that the pension plans remain well funded, taking account of the likely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risks to investment returns and contributions. As a result, a portfolio of assets is maintained with appropriate liquidity and diversification that can be expected to generate long-term future returns that minimize the long-term costs of the pension plans without exposing the plans to an unacceptable risk of under-funding. The Company’s likely future ability to pay such contributions as are required to maintain the funded status of the plans over a reasonable time period is considered when determining the level of risk that is appropriate. The fair value of plan investments classified as Level 1 assets are based on market quotes. The fair value of plan investments measured at NAV or its equivalent as a practical expedient is determined based on information provided by external fund administrators and such investments are redeemable in the near term.</w:t>
      </w:r>
    </w:p>
    <w:p>
      <w:pPr>
        <w:spacing w:after="0" w:line="178" w:lineRule="exact"/>
        <w:rPr>
          <w:sz w:val="20"/>
          <w:szCs w:val="20"/>
          <w:color w:val="auto"/>
        </w:rPr>
      </w:pPr>
    </w:p>
    <w:p>
      <w:pPr>
        <w:ind w:right="420" w:firstLine="598"/>
        <w:spacing w:after="0" w:line="264" w:lineRule="auto"/>
        <w:rPr>
          <w:sz w:val="20"/>
          <w:szCs w:val="20"/>
          <w:color w:val="auto"/>
        </w:rPr>
      </w:pPr>
      <w:r>
        <w:rPr>
          <w:rFonts w:ascii="Arial" w:cs="Arial" w:eastAsia="Arial" w:hAnsi="Arial"/>
          <w:sz w:val="18"/>
          <w:szCs w:val="18"/>
          <w:b w:val="1"/>
          <w:bCs w:val="1"/>
          <w:i w:val="1"/>
          <w:iCs w:val="1"/>
          <w:color w:val="auto"/>
        </w:rPr>
        <w:t>Defined Contribution Plans</w:t>
      </w:r>
      <w:r>
        <w:rPr>
          <w:rFonts w:ascii="Arial" w:cs="Arial" w:eastAsia="Arial" w:hAnsi="Arial"/>
          <w:sz w:val="18"/>
          <w:szCs w:val="18"/>
          <w:color w:val="auto"/>
        </w:rPr>
        <w:t>—Pursuant to certain matching contributions, the Company contributes to employer sponsored defined contribution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Such contributions amounted to $15,765, $15,064 and $14,454 for the years ended December 31, 2018, 2017 and 2016, respectively, which are included in “compensation and benefits” expense on the consolidated statements of operations.</w:t>
      </w:r>
    </w:p>
    <w:p>
      <w:pPr>
        <w:spacing w:after="0" w:line="370" w:lineRule="exact"/>
        <w:rPr>
          <w:sz w:val="20"/>
          <w:szCs w:val="20"/>
          <w:color w:val="auto"/>
        </w:rPr>
      </w:pPr>
    </w:p>
    <w:p>
      <w:pPr>
        <w:ind w:left="600" w:hanging="592"/>
        <w:spacing w:after="0"/>
        <w:tabs>
          <w:tab w:leader="none" w:pos="600" w:val="left"/>
        </w:tabs>
        <w:numPr>
          <w:ilvl w:val="0"/>
          <w:numId w:val="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93"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On December 22, 2017, the Tax Cuts and Jobs Act (the “Tax Act”) was enacted. The Tax Act significantly revised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included several provisions that limited the benefit of the tax rate reduction, such as restricting the deductibility of interest expense and other corporate business expenses. The Tax Act further included anti-base erosion provisions such as the base erosion and anti-abuse tax and tax on global intangible low-taxed income.</w:t>
      </w:r>
    </w:p>
    <w:p>
      <w:pPr>
        <w:spacing w:after="0" w:line="173"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As a result of the reduction of the U.S. federal corporate tax rate to 21%, the Company was required to remeasure its deferred tax assets and liabilities at the new federal income tax rate of 21% based on the balances that existed on the date of the enactment of the Tax Act. The impact of this remeasurement was immaterial to the Company.</w:t>
      </w:r>
    </w:p>
    <w:p>
      <w:pPr>
        <w:spacing w:after="0" w:line="181"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The Tax Act also required companies to pay a one-time repatriation tax on previously unremitted earnings of certain non-U.S. corporate subsidiaries. Most of the Company’s operations outside the U.S. are conducted in “pass-through” entities for U.S. income tax purposes, and, as a result, the deemed repatriation transition tax did not apply to these pass-through entities or their earnings. The Company instead provides for U.S. income taxes on a current basis for the relevant portion of those earnings. The Company also conducts operations outside the U.S. through foreign corporate subsidiaries. The impact of the one-time repatriation tax was immaterial to the Company.</w:t>
      </w:r>
    </w:p>
    <w:p>
      <w:pPr>
        <w:spacing w:after="0" w:line="188"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In accordance with the guidance provided by Staff Accounting Bulletin No. 118, the Company recognized the provisional tax impact related to the one-time deemed repatriation tax on certain foreign earnings and the remeasurement of our deferred tax assets in the year ended December 31, 2017. In 2018, we finalized our analysis of the provisional items, including the one-time repatriation tax, and adjustments to previously recorded provisional amounts related to the Tax Act were not material to the Company’s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jc w:val="center"/>
        <w:ind w:right="-15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On January 1, 2017, the Company adopted new accounting guidance on share-based incentive compensation. As a result of the adoption of this new guidance, the Company recognized excess tax benefits of approximately $14,000 and $2,000 from the vesting of share-based incentive compensation in the provision for income taxes in the consolidated statements of operations for the years ended December 31, 2018 and 2017, respectively. The Company also recorded deferred tax assets of $4,945, net of a valuation allowance of $12,090, as of January 1, 2017, for previously unrecognized excess tax benefits (including tax benefits from dividends or dividend equivalents) on share-based incentive compensation, with an offsetting adjustment to retained earnings.</w:t>
      </w:r>
    </w:p>
    <w:p>
      <w:pPr>
        <w:spacing w:after="0" w:line="158"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The components of the Company’s provision for income taxes for the years ended December 31, 2018, 2017 and 2016, and a reconciliation of the U.S. federal statutory income tax rate to the Company’s effective tax rates for such years, are shown below.</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8"/>
          </w:tcPr>
          <w:p>
            <w:pPr>
              <w:jc w:val="right"/>
              <w:ind w:right="85"/>
              <w:spacing w:after="0"/>
              <w:rPr>
                <w:sz w:val="20"/>
                <w:szCs w:val="20"/>
                <w:color w:val="auto"/>
              </w:rPr>
            </w:pPr>
            <w:r>
              <w:rPr>
                <w:rFonts w:ascii="Arial" w:cs="Arial" w:eastAsia="Arial" w:hAnsi="Arial"/>
                <w:sz w:val="14"/>
                <w:szCs w:val="14"/>
                <w:b w:val="1"/>
                <w:bCs w:val="1"/>
                <w:color w:val="auto"/>
                <w:w w:val="98"/>
              </w:rPr>
              <w:t>Year Ended December 31,</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Federal</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1,569</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91,073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62,666</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52,644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State and local</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5,058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2,038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Total current</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97,700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65,478</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54,898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1,045</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(10,227)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12,961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2,379</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(9,337)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16,385</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(5,225)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88,363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81,863</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49,673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U.S. federal statutory income tax rate</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Rate benefit for U.S. Partnership operations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8"/>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Foreign taxes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State and local taxes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20 regarding “operating income (loss)” by geographic region.</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17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Basis adjustments (a)</w:t>
            </w:r>
          </w:p>
        </w:tc>
        <w:tc>
          <w:tcPr>
            <w:tcW w:w="30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5,334</w:t>
            </w:r>
          </w:p>
        </w:tc>
        <w:tc>
          <w:tcPr>
            <w:tcW w:w="280" w:type="dxa"/>
            <w:vAlign w:val="bottom"/>
          </w:tcPr>
          <w:p>
            <w:pPr>
              <w:spacing w:after="0"/>
              <w:rPr>
                <w:sz w:val="19"/>
                <w:szCs w:val="19"/>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8,184</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74,531</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Net operating loss and tax credit carryforwards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66,962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40,685</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8,060</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Gross deferred tax assets</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144,142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132,985</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Valuation allowance</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(67,997)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(54,487)</w:t>
            </w:r>
          </w:p>
        </w:tc>
      </w:tr>
      <w:tr>
        <w:trPr>
          <w:trHeight w:val="223"/>
        </w:trPr>
        <w:tc>
          <w:tcPr>
            <w:tcW w:w="57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Deferred tax assets (net of valuation allowance)</w:t>
            </w:r>
          </w:p>
        </w:tc>
        <w:tc>
          <w:tcPr>
            <w:tcW w:w="20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76,145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78,498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Compensation and benefits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9,806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23,049</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15,944</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20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41,047</w:t>
            </w:r>
          </w:p>
        </w:tc>
        <w:tc>
          <w:tcPr>
            <w:tcW w:w="120" w:type="dxa"/>
            <w:vAlign w:val="bottom"/>
            <w:shd w:val="clear" w:color="auto" w:fill="CFF0FC"/>
          </w:tcPr>
          <w:p>
            <w:pPr>
              <w:spacing w:after="0"/>
              <w:rPr>
                <w:sz w:val="19"/>
                <w:szCs w:val="19"/>
                <w:color w:val="auto"/>
              </w:rPr>
            </w:pPr>
          </w:p>
        </w:tc>
      </w:tr>
      <w:tr>
        <w:trPr>
          <w:trHeight w:val="223"/>
        </w:trPr>
        <w:tc>
          <w:tcPr>
            <w:tcW w:w="5780" w:type="dxa"/>
            <w:vAlign w:val="bottom"/>
            <w:gridSpan w:val="2"/>
          </w:tcPr>
          <w:p>
            <w:pPr>
              <w:ind w:left="500"/>
              <w:spacing w:after="0"/>
              <w:rPr>
                <w:sz w:val="20"/>
                <w:szCs w:val="20"/>
                <w:color w:val="auto"/>
              </w:rPr>
            </w:pPr>
            <w:r>
              <w:rPr>
                <w:rFonts w:ascii="Arial" w:cs="Arial" w:eastAsia="Arial" w:hAnsi="Arial"/>
                <w:sz w:val="18"/>
                <w:szCs w:val="18"/>
                <w:color w:val="auto"/>
              </w:rPr>
              <w:t>Net deferred tax assets</w:t>
            </w:r>
          </w:p>
        </w:tc>
        <w:tc>
          <w:tcPr>
            <w:tcW w:w="208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37,451</w:t>
            </w:r>
          </w:p>
        </w:tc>
        <w:tc>
          <w:tcPr>
            <w:tcW w:w="120" w:type="dxa"/>
            <w:vAlign w:val="bottom"/>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40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ind w:left="600" w:hanging="592"/>
        <w:spacing w:after="0"/>
        <w:tabs>
          <w:tab w:leader="none" w:pos="6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basis adjustments recorded as of December 31, 2018 and 2017 are primarily the result of additional basis from acquisitions of interests.</w:t>
      </w:r>
    </w:p>
    <w:p>
      <w:pPr>
        <w:spacing w:after="0" w:line="23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historical profitability of each tax paying entity is an important factor in determining whether to record a valuation allowance and when to release any such allowance. Certain of our tax-paying entities have individually experienced losses on a cumulative three year basis or have tax attributes that may expire unused. In addition, one of our tax 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$67,997 and $54,487 of deferred tax assets held by these entities as of December 31, 2018 and 2017, respectively.</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Changes in the deferred tax assets valuation allowance for the years ended December 31, 2018, 2017 and 2016 was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54,487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55,194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89,100</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Charged (credited) to provision for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15,789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(15,998)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(30,185)</w:t>
            </w: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Charged (credited) to other comprehensive income (a)</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(2,279)</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(3,721)</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67,997</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54,487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55,194</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1150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63" w:lineRule="exact"/>
        <w:rPr>
          <w:sz w:val="20"/>
          <w:szCs w:val="20"/>
          <w:color w:val="auto"/>
        </w:rPr>
      </w:pPr>
    </w:p>
    <w:p>
      <w:pPr>
        <w:ind w:left="600" w:right="80" w:hanging="592"/>
        <w:spacing w:after="0" w:line="264" w:lineRule="auto"/>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accordance with the accounting guidance described above, 2017 includes recognition of previously unrecognized excess tax benefits offset by a valuation allowance of $12,090 recorded to retained earnings. 2016 includes acquisition-related deferred tax assets offset by a valuation allowance in the amount of $2,218.</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The Company had net operating loss and tax credit carryforwards for which related deferred tax assets of $66,962 were recorded at December 31, 2018 primarily relating to:</w:t>
      </w:r>
    </w:p>
    <w:p>
      <w:pPr>
        <w:spacing w:after="0" w:line="62" w:lineRule="exact"/>
        <w:rPr>
          <w:sz w:val="20"/>
          <w:szCs w:val="20"/>
          <w:color w:val="auto"/>
        </w:rPr>
      </w:pPr>
    </w:p>
    <w:p>
      <w:pPr>
        <w:ind w:left="1200" w:hanging="598"/>
        <w:spacing w:after="0" w:line="277" w:lineRule="auto"/>
        <w:tabs>
          <w:tab w:leader="none" w:pos="12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indefinite-lived carryforwards (subject to various limitations) of approximately $26,000 in Australia, Germany, Hong Kong, Singapore, Spain and the U.K.;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certain carryforwards of approximately $31,000 in the U.S., which begin expiring in 2025.</w:t>
      </w:r>
    </w:p>
    <w:p>
      <w:pPr>
        <w:spacing w:after="0" w:line="225" w:lineRule="exact"/>
        <w:rPr>
          <w:sz w:val="20"/>
          <w:szCs w:val="20"/>
          <w:color w:val="auto"/>
        </w:rPr>
      </w:pPr>
    </w:p>
    <w:p>
      <w:pPr>
        <w:ind w:right="140" w:firstLine="640"/>
        <w:spacing w:after="0" w:line="302" w:lineRule="auto"/>
        <w:rPr>
          <w:sz w:val="20"/>
          <w:szCs w:val="20"/>
          <w:color w:val="auto"/>
        </w:rPr>
      </w:pPr>
      <w:r>
        <w:rPr>
          <w:rFonts w:ascii="Arial" w:cs="Arial" w:eastAsia="Arial" w:hAnsi="Arial"/>
          <w:sz w:val="16"/>
          <w:szCs w:val="16"/>
          <w:color w:val="auto"/>
        </w:rPr>
        <w:t>With few exceptions, the Company is no longer subject to income tax examination by foreign tax authorities and by U.S. federal, state and local tax authorities for years prior to 2014. While we are under examination in various tax jurisdictions with respect to certain open years, the Company does not expect that the result of any final determination related to these examinations will have a material impact on its financial statements. Developments with respect to such examinations are monitored on an ongoing basis and adjustments to tax liabilities are made as appropriate.</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 reconciliation of the beginning to the ending amount of gross unrecognized tax benefits (excluding interest and penalties)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 is as follows: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13"/>
              <w:spacing w:after="0" w:line="155"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(excluding interest and penalties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$15,136, $15,392 and $13,083, respectively)</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47,426</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47,901</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8"/>
                <w:szCs w:val="18"/>
                <w:color w:val="auto"/>
              </w:rPr>
              <w:t>Increases in gross unrecognized tax benefits relating</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140"/>
              <w:spacing w:after="0"/>
              <w:rPr>
                <w:sz w:val="20"/>
                <w:szCs w:val="20"/>
                <w:color w:val="auto"/>
              </w:rPr>
            </w:pPr>
            <w:r>
              <w:rPr>
                <w:rFonts w:ascii="Arial" w:cs="Arial" w:eastAsia="Arial" w:hAnsi="Arial"/>
                <w:sz w:val="18"/>
                <w:szCs w:val="18"/>
                <w:color w:val="auto"/>
              </w:rPr>
              <w:t>to tax positions taken during:</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Prior years</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Arial" w:cs="Arial" w:eastAsia="Arial" w:hAnsi="Arial"/>
                <w:sz w:val="18"/>
                <w:szCs w:val="18"/>
                <w:color w:val="auto"/>
              </w:rPr>
              <w:t>Current year</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Decreases in gross unrecognized tax benefits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relating to:</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Arial" w:cs="Arial" w:eastAsia="Arial" w:hAnsi="Arial"/>
                <w:sz w:val="18"/>
                <w:szCs w:val="18"/>
                <w:color w:val="auto"/>
              </w:rPr>
              <w:t>Tax positions taken during prior years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(2,961)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Settlements with tax authorities</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Arial" w:cs="Arial" w:eastAsia="Arial" w:hAnsi="Arial"/>
                <w:sz w:val="18"/>
                <w:szCs w:val="18"/>
                <w:color w:val="auto"/>
              </w:rPr>
              <w:t>Lapse of the applicable statute of limitations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(10,447)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(11,720)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(8,984)</w:t>
            </w:r>
          </w:p>
        </w:tc>
        <w:tc>
          <w:tcPr>
            <w:tcW w:w="0" w:type="dxa"/>
            <w:vAlign w:val="bottom"/>
          </w:tcPr>
          <w:p>
            <w:pPr>
              <w:spacing w:after="0"/>
              <w:rPr>
                <w:sz w:val="1"/>
                <w:szCs w:val="1"/>
                <w:color w:val="auto"/>
              </w:rPr>
            </w:pPr>
          </w:p>
        </w:tc>
      </w:tr>
      <w:tr>
        <w:trPr>
          <w:trHeight w:val="209"/>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(excluding interest and</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penalties of $15,830, $15,136 and $15,392,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47,674</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47,426</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w w:val="95"/>
              </w:rPr>
              <w:t>Additional information with respect to unrecognized tax benefits is as follows:</w:t>
            </w: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13"/>
              <w:spacing w:after="0" w:line="155"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at the end of the year that,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if recognized, would favorably affect the effective</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 rate (includes interest and penalties of $15,830,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$15,136 and $15,392, respectively)</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53,854</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52,007</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8"/>
                <w:szCs w:val="18"/>
                <w:color w:val="auto"/>
              </w:rPr>
              <w:t>Unrecognized tax benefits that, if recognized, would not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140"/>
              <w:spacing w:after="0"/>
              <w:rPr>
                <w:sz w:val="20"/>
                <w:szCs w:val="20"/>
                <w:color w:val="auto"/>
              </w:rPr>
            </w:pPr>
            <w:r>
              <w:rPr>
                <w:rFonts w:ascii="Arial" w:cs="Arial" w:eastAsia="Arial" w:hAnsi="Arial"/>
                <w:sz w:val="18"/>
                <w:szCs w:val="18"/>
                <w:color w:val="auto"/>
              </w:rPr>
              <w:t>affect the effective tax rate</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9,650</w:t>
            </w:r>
          </w:p>
        </w:tc>
        <w:tc>
          <w:tcPr>
            <w:tcW w:w="14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10,555</w:t>
            </w:r>
          </w:p>
        </w:tc>
        <w:tc>
          <w:tcPr>
            <w:tcW w:w="20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Interest and penalties recognized in current income</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 expense (after giving effect to the reversal of</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and penalties of $4,889, $6,185 and</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$3,143, respectively)</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(256)</w:t>
            </w: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520" w:firstLine="598"/>
        <w:spacing w:after="0" w:line="342" w:lineRule="auto"/>
        <w:rPr>
          <w:sz w:val="20"/>
          <w:szCs w:val="20"/>
          <w:color w:val="auto"/>
        </w:rPr>
      </w:pPr>
      <w:r>
        <w:rPr>
          <w:rFonts w:ascii="Arial" w:cs="Arial" w:eastAsia="Arial" w:hAnsi="Arial"/>
          <w:sz w:val="16"/>
          <w:szCs w:val="16"/>
          <w:color w:val="auto"/>
        </w:rPr>
        <w:t>The Company anticipates that it is reasonably possible that approximately $9,000 of unrecognized tax benefits, including interest and penalties recorded at December 31, 2018, may be recognized within 12 months as a result of the lapse of the statute of limitations in various tax jurisdictions.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0" w:hanging="592"/>
        <w:spacing w:after="0"/>
        <w:tabs>
          <w:tab w:leader="none" w:pos="60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Receivable from and Payable to Lazard Ltd Subsidiaries</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Lazard Group’s receivables from subsidiaries of Lazard Ltd at December 31, 2017 included interest-bearing loans of $72, including accrued interest thereon. Interest income relating to interest-bearing loans with subsidiaries of Lazard Ltd amounted to $452, $165 and $250 for the years ended December 31, 2018, 2017, and 2016, respectively.</w:t>
      </w:r>
    </w:p>
    <w:p>
      <w:pPr>
        <w:spacing w:after="0" w:line="181" w:lineRule="exact"/>
        <w:rPr>
          <w:sz w:val="20"/>
          <w:szCs w:val="20"/>
          <w:color w:val="auto"/>
        </w:rPr>
      </w:pPr>
    </w:p>
    <w:p>
      <w:pPr>
        <w:jc w:val="both"/>
        <w:ind w:right="80" w:firstLine="598"/>
        <w:spacing w:after="0" w:line="264" w:lineRule="auto"/>
        <w:rPr>
          <w:sz w:val="20"/>
          <w:szCs w:val="20"/>
          <w:color w:val="auto"/>
        </w:rPr>
      </w:pPr>
      <w:r>
        <w:rPr>
          <w:rFonts w:ascii="Arial" w:cs="Arial" w:eastAsia="Arial" w:hAnsi="Arial"/>
          <w:sz w:val="18"/>
          <w:szCs w:val="18"/>
          <w:color w:val="auto"/>
        </w:rPr>
        <w:t>Lazard Group’s payables to subsidiaries of Lazard Ltd at December 31, 2018 and 2017 included interest-bearing loans, including interest thereon, of $60,875 and $64,203, respectively. Interest expense relating to interest-bearing loans with subsidiaries of Lazard Ltd amounted to $3,687, $3,835 and $3,503 for the years ended December 31, 2018, 2017 and 2016, respectively.</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Sponsored Funds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serves as an investment advisor for certain affiliated investment companies and fund entities and receives management fees and,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alternative investment funds, performance-based incentive fees for providing such services. Investment advisory fees relating to such services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$654,561, $649,089 and $516,667 for the years ended December 31, 2018, 2017 and 2016, respectively, and are included in “asset management fees”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operations. Of such amounts, $59,304 and $69,107 remained as receivables at December 31, 2018 and 2017, respectively, and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in “fees receivable” on the consolidated statements of financial condition.</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200" w:firstLine="598"/>
        <w:spacing w:after="0" w:line="302" w:lineRule="auto"/>
        <w:rPr>
          <w:sz w:val="20"/>
          <w:szCs w:val="20"/>
          <w:color w:val="auto"/>
        </w:rPr>
      </w:pPr>
      <w:r>
        <w:rPr>
          <w:rFonts w:ascii="Arial" w:cs="Arial" w:eastAsia="Arial" w:hAnsi="Arial"/>
          <w:sz w:val="16"/>
          <w:szCs w:val="16"/>
          <w:color w:val="auto"/>
        </w:rPr>
        <w:t>In the fourth quarter of 2018, the Company established a not-for-profit entity, the Lazard Foundation (the “Foundation”), with the objective of donating funds to qualifying charities. In November 2018, the Company made an unconditional commitment of $10,000 to the Foundation. The Company agreed to fund the unconditional commitment by December 31, 2028. Certain executive officers of the Company will serve as members, directors and officers of the Foundation. In accordance with U.S. GAAP, the Foundation is not consolidated in the accompanying financial statements.</w:t>
      </w:r>
    </w:p>
    <w:p>
      <w:pPr>
        <w:spacing w:after="0" w:line="46"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color w:val="auto"/>
        </w:rPr>
        <w:t>See Note 14 for information regarding related party transactions pertaining to shares repurchased from certain of our executive officers and subsidiaries of Lazard Ltd.</w:t>
      </w:r>
    </w:p>
    <w:p>
      <w:pPr>
        <w:spacing w:after="0" w:line="360" w:lineRule="exact"/>
        <w:rPr>
          <w:sz w:val="20"/>
          <w:szCs w:val="20"/>
          <w:color w:val="auto"/>
        </w:rPr>
      </w:pPr>
    </w:p>
    <w:p>
      <w:pPr>
        <w:ind w:left="600" w:hanging="592"/>
        <w:spacing w:after="0"/>
        <w:tabs>
          <w:tab w:leader="none" w:pos="600"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right="120" w:firstLine="598"/>
        <w:spacing w:after="0" w:line="245"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December 31, 2018, LFNY’s regulatory net capital was $174,732, which exceeded the minimum requirement by $171,679. LFNY’s aggregate indebtedness to net capital ratio was 0.26:1 as of December 31, 2018.</w:t>
      </w:r>
    </w:p>
    <w:p>
      <w:pPr>
        <w:spacing w:after="0" w:line="198" w:lineRule="exact"/>
        <w:rPr>
          <w:sz w:val="20"/>
          <w:szCs w:val="20"/>
          <w:color w:val="auto"/>
        </w:rPr>
      </w:pPr>
    </w:p>
    <w:p>
      <w:pPr>
        <w:jc w:val="both"/>
        <w:ind w:right="120" w:firstLine="59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December 31, 2018, the aggregate regulatory net capital of the U.K. Subsidiaries was $162,350, which exceeded the minimum requirement by $142,542.</w:t>
      </w:r>
    </w:p>
    <w:p>
      <w:pPr>
        <w:spacing w:after="0" w:line="181" w:lineRule="exact"/>
        <w:rPr>
          <w:sz w:val="20"/>
          <w:szCs w:val="20"/>
          <w:color w:val="auto"/>
        </w:rPr>
      </w:pPr>
    </w:p>
    <w:p>
      <w:pPr>
        <w:ind w:right="640" w:firstLine="598"/>
        <w:spacing w:after="0" w:line="277" w:lineRule="auto"/>
        <w:rPr>
          <w:sz w:val="20"/>
          <w:szCs w:val="20"/>
          <w:color w:val="auto"/>
        </w:rPr>
      </w:pPr>
      <w:r>
        <w:rPr>
          <w:rFonts w:ascii="Arial" w:cs="Arial" w:eastAsia="Arial" w:hAnsi="Arial"/>
          <w:sz w:val="18"/>
          <w:szCs w:val="18"/>
          <w:color w:val="auto"/>
        </w:rPr>
        <w:t>CFLF, under which asset management and commercial banking activities are carried out in France, is subject to regulation by the Autorité de Contrôle Prudentiel et de Résolution (“ACPR”) for its banking activities conducted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through its subsidiary, LFB. LFB, as a registered bank, is engaged primarily in commercial and private banking services for clients and funds managed by LFG (asset management) and other clients, and asset-liability management. The investment services activities of the Paris group, exercised through LFB and other subsidiaries of CFLF, primarily LFG, also are subject to regulation and supervision by the Autorité des Marchés Financiers. At December 31, 2018, the consolidated regulatory net capital of CFLF was $136,110, which exceeded the minimum requirement set for regulatory capital levels by $81,336.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December 31, 2018, the regulatory net capital of the combined European regulated group was $157,783, which exceeded the minimum requirement set for regulatory capital levels by $56,330.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88"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December 31, 2018, for those subsidiaries with regulatory capital requirements, their aggregate net capital was $149,252, which exceeded the minimum required capital by $121,863.</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December 31, 2018, each of these subsidiaries individually was in compliance with its regulatory capital requirements.</w:t>
      </w:r>
    </w:p>
    <w:p>
      <w:pPr>
        <w:spacing w:after="0" w:line="225"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600" w:hanging="592"/>
        <w:spacing w:after="0"/>
        <w:tabs>
          <w:tab w:leader="none" w:pos="60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20" w:firstLine="59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Company’s segment information for the years ended December 31, 2018, 2017 and 2016 is prepared using the following methodology:</w:t>
      </w:r>
    </w:p>
    <w:p>
      <w:pPr>
        <w:spacing w:after="0" w:line="129" w:lineRule="exact"/>
        <w:rPr>
          <w:sz w:val="20"/>
          <w:szCs w:val="20"/>
          <w:color w:val="auto"/>
        </w:rPr>
      </w:pPr>
    </w:p>
    <w:p>
      <w:pPr>
        <w:ind w:left="1200" w:hanging="598"/>
        <w:spacing w:after="0"/>
        <w:tabs>
          <w:tab w:leader="none" w:pos="12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1200" w:right="180" w:hanging="598"/>
        <w:spacing w:after="0" w:line="277" w:lineRule="auto"/>
        <w:tabs>
          <w:tab w:leader="none" w:pos="12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1200" w:right="560" w:hanging="598"/>
        <w:spacing w:after="0" w:line="308" w:lineRule="auto"/>
        <w:tabs>
          <w:tab w:leader="none" w:pos="12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47"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2" w:name="page123"/>
    <w:bookmarkEnd w:id="122"/>
    <w:p>
      <w:pPr>
        <w:jc w:val="center"/>
        <w:ind w:right="20"/>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For the years ended December 31, 2018, 2017 and 2016, no individual client constituted more than 10% of the net revenue of any of the Company’s business segments.</w:t>
      </w:r>
    </w:p>
    <w:p>
      <w:pPr>
        <w:spacing w:after="0" w:line="170" w:lineRule="exact"/>
        <w:rPr>
          <w:sz w:val="20"/>
          <w:szCs w:val="20"/>
          <w:color w:val="auto"/>
        </w:rPr>
      </w:pPr>
    </w:p>
    <w:p>
      <w:pPr>
        <w:ind w:right="460" w:firstLine="59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Or For The Year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7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1,548,918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1,386,688</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1,301,044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(a)</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1,206,511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1,130,186</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1,011,495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342,407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256,502</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289,549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829,898</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817,185</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Revenue</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1,331,801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1,255,820</w:t>
            </w:r>
          </w:p>
        </w:tc>
        <w:tc>
          <w:tcPr>
            <w:tcW w:w="2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1,051,316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Expenses (a)</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912,110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810,870</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444,950</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728,220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756,398</w:t>
            </w:r>
          </w:p>
        </w:tc>
        <w:tc>
          <w:tcPr>
            <w:tcW w:w="2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(63,858)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(2,911)</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(a)</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38,957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64,788</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(102,815)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(67,699)</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(49,135)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2,831,357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2,726,990</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1,986,947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Revenue</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2,816,861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2,639,597</w:t>
            </w:r>
          </w:p>
        </w:tc>
        <w:tc>
          <w:tcPr>
            <w:tcW w:w="2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2,329,871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Expenses (a)</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2,157,578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2,005,844</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1,807,878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633,753</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4,389,475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4,300,573</w:t>
            </w:r>
          </w:p>
        </w:tc>
        <w:tc>
          <w:tcPr>
            <w:tcW w:w="2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3,515,984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of property as set forth in table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320" w:type="dxa"/>
            <w:vAlign w:val="bottom"/>
            <w:tcBorders>
              <w:bottom w:val="single" w:sz="8" w:color="CFF0FC"/>
            </w:tcBorders>
          </w:tcPr>
          <w:p>
            <w:pPr>
              <w:spacing w:after="0"/>
              <w:rPr>
                <w:sz w:val="13"/>
                <w:szCs w:val="13"/>
                <w:color w:val="auto"/>
              </w:rPr>
            </w:pPr>
          </w:p>
        </w:tc>
        <w:tc>
          <w:tcPr>
            <w:tcW w:w="2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Financial Advisory</w:t>
            </w:r>
          </w:p>
        </w:tc>
        <w:tc>
          <w:tcPr>
            <w:tcW w:w="27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Asset Management</w:t>
            </w: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27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23,130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22,072</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Total</w:t>
            </w:r>
          </w:p>
        </w:tc>
        <w:tc>
          <w:tcPr>
            <w:tcW w:w="276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33,778</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31,491</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760" w:type="dxa"/>
            <w:vAlign w:val="bottom"/>
            <w:vMerge w:val="restart"/>
          </w:tcPr>
          <w:p>
            <w:pPr>
              <w:jc w:val="right"/>
              <w:ind w:right="730"/>
              <w:spacing w:after="0"/>
              <w:rPr>
                <w:sz w:val="20"/>
                <w:szCs w:val="20"/>
                <w:color w:val="auto"/>
              </w:rPr>
            </w:pPr>
            <w:r>
              <w:rPr>
                <w:rFonts w:ascii="Arial" w:cs="Arial" w:eastAsia="Arial" w:hAnsi="Arial"/>
                <w:sz w:val="18"/>
                <w:szCs w:val="18"/>
                <w:color w:val="auto"/>
              </w:rPr>
              <w:t>121</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8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following table sets forth the net revenue from, and identifiable assets for, the Company and its consolidated subsidiaries by geographic region allocated on the basis described above.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940" w:type="dxa"/>
            <w:vAlign w:val="bottom"/>
            <w:gridSpan w:val="8"/>
          </w:tcPr>
          <w:p>
            <w:pPr>
              <w:ind w:left="420"/>
              <w:spacing w:after="0"/>
              <w:rPr>
                <w:sz w:val="20"/>
                <w:szCs w:val="20"/>
                <w:color w:val="auto"/>
              </w:rPr>
            </w:pPr>
            <w:r>
              <w:rPr>
                <w:rFonts w:ascii="Arial" w:cs="Arial" w:eastAsia="Arial" w:hAnsi="Arial"/>
                <w:sz w:val="14"/>
                <w:szCs w:val="14"/>
                <w:b w:val="1"/>
                <w:bCs w:val="1"/>
                <w:color w:val="auto"/>
              </w:rPr>
              <w:t>As Of Or For The Year Ended December 31,</w:t>
            </w:r>
          </w:p>
        </w:tc>
        <w:tc>
          <w:tcPr>
            <w:tcW w:w="0" w:type="dxa"/>
            <w:vAlign w:val="bottom"/>
          </w:tcPr>
          <w:p>
            <w:pPr>
              <w:spacing w:after="0"/>
              <w:rPr>
                <w:sz w:val="1"/>
                <w:szCs w:val="1"/>
                <w:color w:val="auto"/>
              </w:rPr>
            </w:pPr>
          </w:p>
        </w:tc>
      </w:tr>
      <w:tr>
        <w:trPr>
          <w:trHeight w:val="156"/>
        </w:trPr>
        <w:tc>
          <w:tcPr>
            <w:tcW w:w="3740" w:type="dxa"/>
            <w:vAlign w:val="bottom"/>
            <w:tcBorders>
              <w:bottom w:val="single" w:sz="8" w:color="CFF0FC"/>
            </w:tcBorders>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Arial" w:cs="Arial" w:eastAsia="Arial" w:hAnsi="Arial"/>
                <w:sz w:val="18"/>
                <w:szCs w:val="18"/>
                <w:color w:val="auto"/>
              </w:rPr>
              <w:t>Americas</w:t>
            </w:r>
          </w:p>
        </w:tc>
        <w:tc>
          <w:tcPr>
            <w:tcW w:w="2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1,606,245</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1,553,356</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1,395,785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EMEA</w:t>
            </w:r>
          </w:p>
        </w:tc>
        <w:tc>
          <w:tcPr>
            <w:tcW w:w="2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1,022,994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903,525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795,932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Asia Pacific</w:t>
            </w:r>
          </w:p>
        </w:tc>
        <w:tc>
          <w:tcPr>
            <w:tcW w:w="2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187,622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182,716</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2,816,861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2,639,597</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2,329,871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2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Americas</w:t>
            </w:r>
          </w:p>
        </w:tc>
        <w:tc>
          <w:tcPr>
            <w:tcW w:w="26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412,628</w:t>
            </w:r>
          </w:p>
        </w:tc>
        <w:tc>
          <w:tcPr>
            <w:tcW w:w="5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404,351</w:t>
            </w:r>
          </w:p>
        </w:tc>
        <w:tc>
          <w:tcPr>
            <w:tcW w:w="4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Arial" w:cs="Arial" w:eastAsia="Arial" w:hAnsi="Arial"/>
                <w:sz w:val="18"/>
                <w:szCs w:val="18"/>
                <w:color w:val="auto"/>
              </w:rPr>
              <w:t>EMEA</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206,578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193,781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Asia Pacific</w:t>
            </w:r>
          </w:p>
        </w:tc>
        <w:tc>
          <w:tcPr>
            <w:tcW w:w="23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40,077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35,621</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659,283</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633,753</w:t>
            </w:r>
          </w:p>
        </w:tc>
        <w:tc>
          <w:tcPr>
            <w:tcW w:w="2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521,993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Identifiable Assets:</w:t>
            </w:r>
          </w:p>
        </w:tc>
        <w:tc>
          <w:tcPr>
            <w:tcW w:w="2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Arial" w:cs="Arial" w:eastAsia="Arial" w:hAnsi="Arial"/>
                <w:sz w:val="18"/>
                <w:szCs w:val="18"/>
                <w:color w:val="auto"/>
              </w:rPr>
              <w:t>Americas</w:t>
            </w:r>
          </w:p>
        </w:tc>
        <w:tc>
          <w:tcPr>
            <w:tcW w:w="2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1,950,138</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1,972,308</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1,974,743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EMEA</w:t>
            </w:r>
          </w:p>
        </w:tc>
        <w:tc>
          <w:tcPr>
            <w:tcW w:w="2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2,150,597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2,039,385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Asia Pacific</w:t>
            </w:r>
          </w:p>
        </w:tc>
        <w:tc>
          <w:tcPr>
            <w:tcW w:w="2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288,740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288,880</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4,389,475</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4,300,573</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3,515,984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(UNAUDITED)</w:t>
      </w:r>
    </w:p>
    <w:p>
      <w:pPr>
        <w:spacing w:after="0" w:line="117" w:lineRule="exact"/>
        <w:rPr>
          <w:sz w:val="20"/>
          <w:szCs w:val="20"/>
          <w:color w:val="auto"/>
        </w:rPr>
      </w:pPr>
    </w:p>
    <w:p>
      <w:pPr>
        <w:jc w:val="both"/>
        <w:ind w:right="180" w:firstLine="598"/>
        <w:spacing w:after="0" w:line="264" w:lineRule="auto"/>
        <w:rPr>
          <w:sz w:val="20"/>
          <w:szCs w:val="20"/>
          <w:color w:val="auto"/>
        </w:rPr>
      </w:pPr>
      <w:r>
        <w:rPr>
          <w:rFonts w:ascii="Arial" w:cs="Arial" w:eastAsia="Arial" w:hAnsi="Arial"/>
          <w:sz w:val="18"/>
          <w:szCs w:val="18"/>
          <w:color w:val="auto"/>
        </w:rPr>
        <w:t>The following represents the Company’s unaudited quarterly results for the years ended December 31, 2018 and 2017.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2018 Fiscal Quarter</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First</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Second</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rPr>
              <w:t>Third</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Fourth</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753,261</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754,639</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625,012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683,949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2,816,861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566,309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562,825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490,280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538,164</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2,157,578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186,952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191,814</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134,732</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145,785</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659,283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168,337</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160,369</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109,339</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132,875</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Less - net income attributable to</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Net income attributable to Lazard Group</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166,368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158,953</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107,687</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132,589</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2017 Fiscal Quarter</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First</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Second</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rPr>
              <w:t>Third</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Fourth</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622,477</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716,026</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623,771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677,323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2,639,597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469,465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540,780</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478,577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517,022</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2,005,844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153,012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175,246</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145,194</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160,301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633,753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131,017</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142,806</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117,827</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160,240</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Less - net income attributable to</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2,877</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Net income attributable to Lazard Group</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128,140</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142,284</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115,566</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159,637</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were no changes in or disagreements with accountants on accounting and financial disclosure during the last two fiscal years.</w:t>
      </w:r>
    </w:p>
    <w:p>
      <w:pPr>
        <w:spacing w:after="0" w:line="200" w:lineRule="exact"/>
        <w:rPr>
          <w:sz w:val="20"/>
          <w:szCs w:val="20"/>
          <w:color w:val="auto"/>
        </w:rPr>
      </w:pPr>
    </w:p>
    <w:p>
      <w:pPr>
        <w:spacing w:after="0" w:line="21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120" w:firstLine="598"/>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Annual Report on Form 10-K. Based on that evaluation, our Chief Executive Officer and Chief Financial Officer have concluded that, as of the end of the period covered by this Annual Report on Form 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400" w:firstLine="598"/>
        <w:spacing w:after="0" w:line="308" w:lineRule="auto"/>
        <w:rPr>
          <w:sz w:val="20"/>
          <w:szCs w:val="20"/>
          <w:color w:val="auto"/>
        </w:rPr>
      </w:pPr>
      <w:r>
        <w:rPr>
          <w:rFonts w:ascii="Arial" w:cs="Arial" w:eastAsia="Arial" w:hAnsi="Arial"/>
          <w:sz w:val="17"/>
          <w:szCs w:val="17"/>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5" w:name="page126"/>
    <w:bookmarkEnd w:id="125"/>
    <w:p>
      <w:pPr>
        <w:ind w:firstLine="598"/>
        <w:spacing w:after="0" w:line="264" w:lineRule="auto"/>
        <w:rPr>
          <w:sz w:val="20"/>
          <w:szCs w:val="20"/>
          <w:color w:val="auto"/>
        </w:rPr>
      </w:pPr>
      <w:r>
        <w:rPr>
          <w:rFonts w:ascii="Arial" w:cs="Arial" w:eastAsia="Arial" w:hAnsi="Arial"/>
          <w:sz w:val="18"/>
          <w:szCs w:val="18"/>
          <w:color w:val="auto"/>
        </w:rPr>
        <w:t>Management’s Report on Internal Control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3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679" w:right="439" w:bottom="1440" w:gutter="0" w:footer="0" w:header="0"/>
        </w:sectPr>
      </w:pPr>
    </w:p>
    <w:bookmarkStart w:id="126" w:name="page127"/>
    <w:bookmarkEnd w:id="126"/>
    <w:p>
      <w:pPr>
        <w:ind w:left="5360"/>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Registrant meets the conditions set forth in General Instruction (I)(l)(a) and (b) of Form 10-K and has omitted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39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Registrant meets the conditions set forth in General Instruction (I)(l)(a) and (b) of Form 10-K and has omitted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39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Registrant meets the conditions set forth in General Instruction (I)(l)(a) and (b) of Form 10-K and has omitted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39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Registrant meets the conditions set forth in General Instruction (I)(l)(a) and (b) of Form 10-K and has omitted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39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For the fiscal years ended December 31, 2018 and 2017, fees for services provided by Deloitte &amp; Touche LLP, the member firms of Deloitte Touche Tohmatsu and their respective affiliates were as follows (in thousands of dollars):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3"/>
              </w:rPr>
              <w:t>Fees</w:t>
            </w:r>
          </w:p>
        </w:tc>
        <w:tc>
          <w:tcPr>
            <w:tcW w:w="7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3"/>
              </w:rPr>
              <w:t>2018</w:t>
            </w:r>
          </w:p>
        </w:tc>
        <w:tc>
          <w:tcPr>
            <w:tcW w:w="4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b w:val="1"/>
                <w:bCs w:val="1"/>
                <w:color w:val="auto"/>
              </w:rPr>
              <w:t xml:space="preserve">Audit Fees </w:t>
            </w:r>
            <w:r>
              <w:rPr>
                <w:rFonts w:ascii="Arial" w:cs="Arial" w:eastAsia="Arial" w:hAnsi="Arial"/>
                <w:sz w:val="18"/>
                <w:szCs w:val="18"/>
                <w:color w:val="auto"/>
              </w:rPr>
              <w:t>for the audit of the Company's annual financial statements, the audit of the</w:t>
            </w:r>
          </w:p>
        </w:tc>
        <w:tc>
          <w:tcPr>
            <w:tcW w:w="1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effectiveness of the Company's internal controls over financial reporting and reviews</w:t>
            </w: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of the financial statements included in the Company's quarterly reports Form 10-Q,</w:t>
            </w: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including services in connection with statutory and regulatory filings or</w:t>
            </w: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engagements</w:t>
            </w:r>
          </w:p>
        </w:tc>
        <w:tc>
          <w:tcPr>
            <w:tcW w:w="16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8,371</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7,830</w:t>
            </w:r>
          </w:p>
        </w:tc>
      </w:tr>
      <w:tr>
        <w:trPr>
          <w:trHeight w:val="215"/>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Audit-Related Fees, </w:t>
            </w:r>
            <w:r>
              <w:rPr>
                <w:rFonts w:ascii="Arial" w:cs="Arial" w:eastAsia="Arial" w:hAnsi="Arial"/>
                <w:sz w:val="18"/>
                <w:szCs w:val="18"/>
                <w:color w:val="auto"/>
              </w:rPr>
              <w:t>including fees for audits of employee benefit plans, computer</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20"/>
              <w:spacing w:after="0"/>
              <w:rPr>
                <w:sz w:val="20"/>
                <w:szCs w:val="20"/>
                <w:color w:val="auto"/>
              </w:rPr>
            </w:pPr>
            <w:r>
              <w:rPr>
                <w:rFonts w:ascii="Arial" w:cs="Arial" w:eastAsia="Arial" w:hAnsi="Arial"/>
                <w:sz w:val="18"/>
                <w:szCs w:val="18"/>
                <w:color w:val="auto"/>
              </w:rPr>
              <w:t>and control-related attest services, agreed upon procedures, regulatory and</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gridSpan w:val="2"/>
          </w:tcPr>
          <w:p>
            <w:pPr>
              <w:ind w:left="120"/>
              <w:spacing w:after="0"/>
              <w:rPr>
                <w:sz w:val="20"/>
                <w:szCs w:val="20"/>
                <w:color w:val="auto"/>
              </w:rPr>
            </w:pPr>
            <w:r>
              <w:rPr>
                <w:rFonts w:ascii="Arial" w:cs="Arial" w:eastAsia="Arial" w:hAnsi="Arial"/>
                <w:sz w:val="18"/>
                <w:szCs w:val="18"/>
                <w:color w:val="auto"/>
              </w:rPr>
              <w:t>compliance reviews, fund audits and other accounting research services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1,398</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1,440</w:t>
            </w:r>
          </w:p>
        </w:tc>
      </w:tr>
      <w:tr>
        <w:trPr>
          <w:trHeight w:val="230"/>
        </w:trPr>
        <w:tc>
          <w:tcPr>
            <w:tcW w:w="20" w:type="dxa"/>
            <w:vAlign w:val="bottom"/>
          </w:tcPr>
          <w:p>
            <w:pPr>
              <w:spacing w:after="0"/>
              <w:rPr>
                <w:sz w:val="19"/>
                <w:szCs w:val="19"/>
                <w:color w:val="auto"/>
              </w:rPr>
            </w:pPr>
          </w:p>
        </w:tc>
        <w:tc>
          <w:tcPr>
            <w:tcW w:w="7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for tax advisory and compliance services not related to the audit</w:t>
            </w:r>
          </w:p>
        </w:tc>
        <w:tc>
          <w:tcPr>
            <w:tcW w:w="16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431</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651</w:t>
            </w:r>
          </w:p>
        </w:tc>
      </w:tr>
      <w:tr>
        <w:trPr>
          <w:trHeight w:val="234"/>
        </w:trPr>
        <w:tc>
          <w:tcPr>
            <w:tcW w:w="2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All Other Fees(1)</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76</w:t>
            </w:r>
          </w:p>
        </w:tc>
      </w:tr>
    </w:tbl>
    <w:p>
      <w:pPr>
        <w:spacing w:after="0" w:line="305" w:lineRule="exact"/>
        <w:rPr>
          <w:sz w:val="20"/>
          <w:szCs w:val="20"/>
          <w:color w:val="auto"/>
        </w:rPr>
      </w:pPr>
    </w:p>
    <w:p>
      <w:pPr>
        <w:ind w:right="160" w:firstLine="8"/>
        <w:spacing w:after="0" w:line="277"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fees for training that were provided to the Company by affiliates of Deloitte &amp; Touche LLP that were unrelated to the audit, audit-related and tax services described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7" w:name="page128"/>
    <w:bookmarkEnd w:id="127"/>
    <w:p>
      <w:pPr>
        <w:ind w:firstLine="563"/>
        <w:spacing w:after="0" w:line="269" w:lineRule="auto"/>
        <w:rPr>
          <w:sz w:val="20"/>
          <w:szCs w:val="20"/>
          <w:color w:val="auto"/>
        </w:rPr>
      </w:pPr>
      <w:r>
        <w:rPr>
          <w:rFonts w:ascii="Arial" w:cs="Arial" w:eastAsia="Arial" w:hAnsi="Arial"/>
          <w:sz w:val="17"/>
          <w:szCs w:val="17"/>
          <w:color w:val="auto"/>
        </w:rPr>
        <w:t>The Audit Committee of the Board of Directors of Lazard Ltd (the “Audit Committee”) has adopted a policy regarding pre-approval of audit and non-audit services provided by Deloitte &amp; Touche LLP to the Company and its subsidiaries. The policy provides the guidelines necessary to adhere to Lazard’s commitment to auditor independence and compliance with relevant laws, regulations and guidelines relating to auditor independence. The policy sets forth four categories of permitted services (Audit, Audit-Related, Tax and Other), listing the types of permitted services in each category. All of the permitted services require pre-approval by the Audit Committee. In lieu of Audit Committee pre-approval on an engagement-by-engagement basis, each category of permitted services, with reasonable detail as to the types of services contemplated, is pre-approved as part of the annual budget approval by the Audit Committee. Permitted services not contemplated during the budget process must be presented to the Audit Committee for approval prior to the commencement of the relevant engagement. The Audit Committee chair, or, if he is not available, any other member of the Audit Committee, may grant approval for any such engagement if approval is required prior to the next scheduled meeting of the Audit Committee. All of the fees paid to Deloitte &amp; Touche LLP in 2018 were pre-approved in accordance with these procedures, and there were no services for which the de minimus exception permitted in certain circumstances under SEC rules was 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25" w:right="279"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17" w:lineRule="exact"/>
        <w:rPr>
          <w:sz w:val="20"/>
          <w:szCs w:val="20"/>
          <w:color w:val="auto"/>
        </w:rPr>
      </w:pPr>
    </w:p>
    <w:p>
      <w:pPr>
        <w:ind w:left="600" w:hanging="592"/>
        <w:spacing w:after="0"/>
        <w:tabs>
          <w:tab w:leader="none" w:pos="6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117" w:lineRule="exact"/>
        <w:rPr>
          <w:rFonts w:ascii="Arial" w:cs="Arial" w:eastAsia="Arial" w:hAnsi="Arial"/>
          <w:sz w:val="18"/>
          <w:szCs w:val="18"/>
          <w:b w:val="1"/>
          <w:bCs w:val="1"/>
          <w:color w:val="auto"/>
        </w:rPr>
      </w:pPr>
    </w:p>
    <w:p>
      <w:pPr>
        <w:ind w:left="1200" w:hanging="598"/>
        <w:spacing w:after="0"/>
        <w:tabs>
          <w:tab w:leader="none" w:pos="1200"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121" w:lineRule="exact"/>
        <w:rPr>
          <w:rFonts w:ascii="Arial" w:cs="Arial" w:eastAsia="Arial" w:hAnsi="Arial"/>
          <w:sz w:val="18"/>
          <w:szCs w:val="18"/>
          <w:b w:val="1"/>
          <w:bCs w:val="1"/>
          <w:color w:val="auto"/>
        </w:rPr>
      </w:pPr>
    </w:p>
    <w:p>
      <w:pPr>
        <w:ind w:left="12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Annual Report on Form 10-K are listed on page F-1 hereof and in Part II, Item 8 hereof.</w:t>
      </w:r>
    </w:p>
    <w:p>
      <w:pPr>
        <w:spacing w:after="0" w:line="58" w:lineRule="exact"/>
        <w:rPr>
          <w:rFonts w:ascii="Arial" w:cs="Arial" w:eastAsia="Arial" w:hAnsi="Arial"/>
          <w:sz w:val="18"/>
          <w:szCs w:val="18"/>
          <w:b w:val="1"/>
          <w:bCs w:val="1"/>
          <w:color w:val="auto"/>
        </w:rPr>
      </w:pPr>
    </w:p>
    <w:p>
      <w:pPr>
        <w:ind w:left="1200" w:hanging="598"/>
        <w:spacing w:after="0"/>
        <w:tabs>
          <w:tab w:leader="none" w:pos="1200"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121" w:lineRule="exact"/>
        <w:rPr>
          <w:rFonts w:ascii="Arial" w:cs="Arial" w:eastAsia="Arial" w:hAnsi="Arial"/>
          <w:sz w:val="18"/>
          <w:szCs w:val="18"/>
          <w:b w:val="1"/>
          <w:bCs w:val="1"/>
          <w:color w:val="auto"/>
        </w:rPr>
      </w:pPr>
    </w:p>
    <w:p>
      <w:pPr>
        <w:jc w:val="both"/>
        <w:ind w:left="120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 schedule required in the Annual Report on Form 10-K is listed on page F-1 hereof. The required schedule appears on pages F-2 through F-6 hereof. All other schedules have been omitted because they are not applicable, not required or the information required is included in the Company’s consolidated financial statements or notes thereto.</w:t>
      </w:r>
    </w:p>
    <w:p>
      <w:pPr>
        <w:spacing w:after="0" w:line="69" w:lineRule="exact"/>
        <w:rPr>
          <w:rFonts w:ascii="Arial" w:cs="Arial" w:eastAsia="Arial" w:hAnsi="Arial"/>
          <w:sz w:val="18"/>
          <w:szCs w:val="18"/>
          <w:b w:val="1"/>
          <w:bCs w:val="1"/>
          <w:color w:val="auto"/>
        </w:rPr>
      </w:pPr>
    </w:p>
    <w:p>
      <w:pPr>
        <w:ind w:left="1200" w:hanging="598"/>
        <w:spacing w:after="0"/>
        <w:tabs>
          <w:tab w:leader="none" w:pos="1200"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3.1</w:t>
            </w:r>
          </w:p>
        </w:tc>
        <w:tc>
          <w:tcPr>
            <w:tcW w:w="10100" w:type="dxa"/>
            <w:vAlign w:val="bottom"/>
            <w:tcBorders>
              <w:bottom w:val="single" w:sz="8" w:color="0000EE"/>
            </w:tcBorders>
            <w:gridSpan w:val="10"/>
          </w:tcPr>
          <w:p>
            <w:pP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Certificate of Formation of the Registrant (incorporated by reference to Exhibit 3.1 to the Registrant’s Registration Statement (File No. 333-</w:t>
              </w:r>
            </w:hyperlink>
          </w:p>
        </w:tc>
      </w:tr>
      <w:tr>
        <w:trPr>
          <w:trHeight w:val="196"/>
        </w:trPr>
        <w:tc>
          <w:tcPr>
            <w:tcW w:w="108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126751) on Form S-4 filed on July 21, 2005).</w:t>
              </w:r>
            </w:hyperlink>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3.2</w:t>
            </w:r>
          </w:p>
        </w:tc>
        <w:tc>
          <w:tcPr>
            <w:tcW w:w="10080" w:type="dxa"/>
            <w:vAlign w:val="bottom"/>
            <w:tcBorders>
              <w:bottom w:val="single" w:sz="8" w:color="0000EE"/>
            </w:tcBorders>
            <w:gridSpan w:val="9"/>
          </w:tcPr>
          <w:p>
            <w:pPr>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Certificate of Amendment of Certificate of Formation of the Registrant, changing name to Lazard Group LLC (incorporated by reference to</w:t>
              </w:r>
            </w:hyperlink>
          </w:p>
        </w:tc>
        <w:tc>
          <w:tcPr>
            <w:tcW w:w="2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2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Exhibit 3.2 to the Registrant’s Registration Statement (File No. 333-126751) on Form S-4 filed on July 21, 2005).</w:t>
              </w:r>
            </w:hyperlink>
          </w:p>
        </w:tc>
        <w:tc>
          <w:tcPr>
            <w:tcW w:w="1900" w:type="dxa"/>
            <w:vAlign w:val="bottom"/>
            <w:gridSpan w:val="6"/>
          </w:tcPr>
          <w:p>
            <w:pPr>
              <w:spacing w:after="0"/>
              <w:rPr>
                <w:sz w:val="17"/>
                <w:szCs w:val="17"/>
                <w:color w:val="auto"/>
              </w:rPr>
            </w:pPr>
          </w:p>
        </w:tc>
      </w:tr>
      <w:tr>
        <w:trPr>
          <w:trHeight w:val="318"/>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3.3</w:t>
            </w:r>
          </w:p>
        </w:tc>
        <w:tc>
          <w:tcPr>
            <w:tcW w:w="9940" w:type="dxa"/>
            <w:vAlign w:val="bottom"/>
            <w:tcBorders>
              <w:bottom w:val="single" w:sz="8" w:color="0000EE"/>
            </w:tcBorders>
            <w:gridSpan w:val="8"/>
          </w:tcPr>
          <w:p>
            <w:pPr>
              <w:spacing w:after="0"/>
              <w:rPr>
                <w:rFonts w:ascii="Arial" w:cs="Arial" w:eastAsia="Arial" w:hAnsi="Arial"/>
                <w:sz w:val="18"/>
                <w:szCs w:val="18"/>
                <w:color w:val="0000EE"/>
                <w:w w:val="90"/>
              </w:rPr>
            </w:pPr>
            <w:hyperlink r:id="rId177">
              <w:r>
                <w:rPr>
                  <w:rFonts w:ascii="Arial" w:cs="Arial" w:eastAsia="Arial" w:hAnsi="Arial"/>
                  <w:sz w:val="18"/>
                  <w:szCs w:val="18"/>
                  <w:color w:val="0000EE"/>
                  <w:w w:val="90"/>
                </w:rPr>
                <w:t>Amended and Restated Operating Agreement of the Registrant, dated as of February 4, 2019 (incorporated by reference to Exhibit 99.1 to</w:t>
              </w:r>
            </w:hyperlink>
          </w:p>
        </w:tc>
        <w:tc>
          <w:tcPr>
            <w:tcW w:w="16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69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the Registrant’s Current Report (File No. 333-126751) on Form 8-K filed on February 5, 2019).</w:t>
              </w:r>
            </w:hyperlink>
          </w:p>
        </w:tc>
        <w:tc>
          <w:tcPr>
            <w:tcW w:w="3200" w:type="dxa"/>
            <w:vAlign w:val="bottom"/>
            <w:gridSpan w:val="7"/>
          </w:tcPr>
          <w:p>
            <w:pPr>
              <w:spacing w:after="0"/>
              <w:rPr>
                <w:sz w:val="17"/>
                <w:szCs w:val="17"/>
                <w:color w:val="auto"/>
              </w:rPr>
            </w:pPr>
          </w:p>
        </w:tc>
      </w:tr>
      <w:tr>
        <w:trPr>
          <w:trHeight w:val="318"/>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4.1</w:t>
            </w:r>
          </w:p>
        </w:tc>
        <w:tc>
          <w:tcPr>
            <w:tcW w:w="9880" w:type="dxa"/>
            <w:vAlign w:val="bottom"/>
            <w:tcBorders>
              <w:bottom w:val="single" w:sz="8" w:color="0000EE"/>
            </w:tcBorders>
            <w:gridSpan w:val="7"/>
          </w:tcPr>
          <w:p>
            <w:pPr>
              <w:spacing w:after="0"/>
              <w:rPr>
                <w:rFonts w:ascii="Arial" w:cs="Arial" w:eastAsia="Arial" w:hAnsi="Arial"/>
                <w:sz w:val="18"/>
                <w:szCs w:val="18"/>
                <w:color w:val="0000EE"/>
                <w:w w:val="90"/>
              </w:rPr>
            </w:pPr>
            <w:hyperlink r:id="rId178">
              <w:r>
                <w:rPr>
                  <w:rFonts w:ascii="Arial" w:cs="Arial" w:eastAsia="Arial" w:hAnsi="Arial"/>
                  <w:sz w:val="18"/>
                  <w:szCs w:val="18"/>
                  <w:color w:val="0000EE"/>
                  <w:w w:val="90"/>
                </w:rPr>
                <w:t>Indenture, dated as of May 10, 2005, by and between the Registrant and The Bank of New York, as Trustee (incorporated by reference to</w:t>
              </w:r>
            </w:hyperlink>
          </w:p>
        </w:tc>
        <w:tc>
          <w:tcPr>
            <w:tcW w:w="22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2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Exhibit 4.1 to the Registrant’s Registration Statement (File No. 333-126751) on Form S-4 filed on July 21, 2005).</w:t>
              </w:r>
            </w:hyperlink>
          </w:p>
        </w:tc>
        <w:tc>
          <w:tcPr>
            <w:tcW w:w="1900" w:type="dxa"/>
            <w:vAlign w:val="bottom"/>
            <w:gridSpan w:val="6"/>
          </w:tcPr>
          <w:p>
            <w:pPr>
              <w:spacing w:after="0"/>
              <w:rPr>
                <w:sz w:val="17"/>
                <w:szCs w:val="17"/>
                <w:color w:val="auto"/>
              </w:rPr>
            </w:pPr>
          </w:p>
        </w:tc>
      </w:tr>
      <w:tr>
        <w:trPr>
          <w:trHeight w:val="318"/>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4.2</w:t>
            </w:r>
          </w:p>
        </w:tc>
        <w:tc>
          <w:tcPr>
            <w:tcW w:w="9580" w:type="dxa"/>
            <w:vAlign w:val="bottom"/>
            <w:tcBorders>
              <w:bottom w:val="single" w:sz="8" w:color="0000EE"/>
            </w:tcBorders>
            <w:gridSpan w:val="5"/>
          </w:tcPr>
          <w:p>
            <w:pPr>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Fifth Supplemental Indenture, dated as of November 14, 2013, between the Registrant and The Bank of New York Mellon, as trustee</w:t>
              </w:r>
            </w:hyperlink>
          </w:p>
        </w:tc>
        <w:tc>
          <w:tcPr>
            <w:tcW w:w="520" w:type="dxa"/>
            <w:vAlign w:val="bottom"/>
            <w:gridSpan w:val="5"/>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w w:val="95"/>
              </w:rPr>
            </w:pPr>
            <w:hyperlink r:id="rId179">
              <w:r>
                <w:rPr>
                  <w:rFonts w:ascii="Arial" w:cs="Arial" w:eastAsia="Arial" w:hAnsi="Arial"/>
                  <w:sz w:val="18"/>
                  <w:szCs w:val="18"/>
                  <w:color w:val="0000EE"/>
                  <w:w w:val="95"/>
                </w:rPr>
                <w:t>(incorporated by reference to Exhibit 4.1 to the Registrant’s Current Report on Form 8-K (File No 333-126751) filed on November 14,</w:t>
              </w:r>
            </w:hyperlink>
          </w:p>
        </w:tc>
      </w:tr>
      <w:tr>
        <w:trPr>
          <w:trHeight w:val="196"/>
        </w:trPr>
        <w:tc>
          <w:tcPr>
            <w:tcW w:w="10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79">
              <w:r>
                <w:rPr>
                  <w:rFonts w:ascii="Arial" w:cs="Arial" w:eastAsia="Arial" w:hAnsi="Arial"/>
                  <w:sz w:val="18"/>
                  <w:szCs w:val="18"/>
                  <w:color w:val="0000EE"/>
                  <w:w w:val="86"/>
                </w:rPr>
                <w:t>2013).</w:t>
              </w:r>
            </w:hyperlink>
          </w:p>
        </w:tc>
        <w:tc>
          <w:tcPr>
            <w:tcW w:w="2820" w:type="dxa"/>
            <w:vAlign w:val="bottom"/>
            <w:tcBorders>
              <w:top w:val="single" w:sz="8" w:color="0000EE"/>
            </w:tcBorders>
          </w:tcPr>
          <w:p>
            <w:pPr>
              <w:spacing w:after="0"/>
              <w:rPr>
                <w:sz w:val="17"/>
                <w:szCs w:val="17"/>
                <w:color w:val="auto"/>
              </w:rPr>
            </w:pPr>
          </w:p>
        </w:tc>
        <w:tc>
          <w:tcPr>
            <w:tcW w:w="36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34" w:lineRule="exact"/>
        <w:rPr>
          <w:sz w:val="20"/>
          <w:szCs w:val="20"/>
          <w:color w:val="auto"/>
        </w:rPr>
      </w:pPr>
    </w:p>
    <w:p>
      <w:pPr>
        <w:sectPr>
          <w:pgSz w:w="11900" w:h="16838" w:orient="portrait"/>
          <w:cols w:equalWidth="0" w:num="1">
            <w:col w:w="11440"/>
          </w:cols>
          <w:pgMar w:left="240" w:top="459" w:right="219" w:bottom="1440" w:gutter="0" w:footer="0" w:header="0"/>
        </w:sectPr>
      </w:pPr>
    </w:p>
    <w:p>
      <w:pPr>
        <w:ind w:left="180"/>
        <w:spacing w:after="0"/>
        <w:rPr>
          <w:sz w:val="20"/>
          <w:szCs w:val="20"/>
          <w:color w:val="auto"/>
        </w:rPr>
      </w:pPr>
      <w:r>
        <w:rPr>
          <w:rFonts w:ascii="Arial" w:cs="Arial" w:eastAsia="Arial" w:hAnsi="Arial"/>
          <w:sz w:val="17"/>
          <w:szCs w:val="17"/>
          <w:color w:val="auto"/>
        </w:rPr>
        <w:t>4.3</w:t>
      </w:r>
    </w:p>
    <w:p>
      <w:pPr>
        <w:spacing w:after="0" w:line="200" w:lineRule="exact"/>
        <w:rPr>
          <w:sz w:val="20"/>
          <w:szCs w:val="20"/>
          <w:color w:val="auto"/>
        </w:rPr>
      </w:pPr>
    </w:p>
    <w:p>
      <w:pPr>
        <w:spacing w:after="0" w:line="37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br w:type="column"/>
      </w:r>
    </w:p>
    <w:p>
      <w:pPr>
        <w:ind w:right="520"/>
        <w:spacing w:after="0" w:line="264" w:lineRule="auto"/>
        <w:rPr>
          <w:rFonts w:ascii="Arial" w:cs="Arial" w:eastAsia="Arial" w:hAnsi="Arial"/>
          <w:sz w:val="18"/>
          <w:szCs w:val="18"/>
          <w:u w:val="single" w:color="auto"/>
          <w:color w:val="0000EE"/>
        </w:rPr>
      </w:pPr>
      <w:hyperlink r:id="rId180">
        <w:r>
          <w:rPr>
            <w:rFonts w:ascii="Arial" w:cs="Arial" w:eastAsia="Arial" w:hAnsi="Arial"/>
            <w:sz w:val="18"/>
            <w:szCs w:val="18"/>
            <w:u w:val="single" w:color="auto"/>
            <w:color w:val="0000EE"/>
          </w:rPr>
          <w:t>Sixth Supplemental Indenture, dated as of February 13, 2015, between the Registrant and The Bank of New York Mellon, as trustee</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(incorporated by reference to Exhibit 4.1 of the Registrant’s Current Report on Form 8-K (File No. 333-126751) filed on February 13,</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2015).</w:t>
        </w:r>
      </w:hyperlink>
    </w:p>
    <w:p>
      <w:pPr>
        <w:spacing w:after="0" w:line="127" w:lineRule="exact"/>
        <w:rPr>
          <w:rFonts w:ascii="Arial" w:cs="Arial" w:eastAsia="Arial" w:hAnsi="Arial"/>
          <w:sz w:val="18"/>
          <w:szCs w:val="18"/>
          <w:u w:val="single" w:color="auto"/>
          <w:color w:val="0000EE"/>
        </w:rPr>
      </w:pPr>
    </w:p>
    <w:p>
      <w:pPr>
        <w:ind w:right="140"/>
        <w:spacing w:after="0" w:line="264" w:lineRule="auto"/>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Seventh Supplemental Indenture, dated as of November 4, 2016, between Lazard Group LLC and the Bank of New York Mellon, as trustee</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(incorporated by reference to Exhibit 4.1 of the Registrant’s Current Report on Form 8-K (File No. 333-126751) filed on November 7,</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2016).</w:t>
        </w:r>
      </w:hyperlink>
    </w:p>
    <w:p>
      <w:pPr>
        <w:spacing w:after="0" w:line="87" w:lineRule="exact"/>
        <w:rPr>
          <w:rFonts w:ascii="Arial" w:cs="Arial" w:eastAsia="Arial" w:hAnsi="Arial"/>
          <w:sz w:val="18"/>
          <w:szCs w:val="18"/>
          <w:u w:val="single" w:color="auto"/>
          <w:color w:val="0000EE"/>
        </w:rPr>
      </w:pPr>
    </w:p>
    <w:p>
      <w:pPr>
        <w:ind w:right="140"/>
        <w:spacing w:after="0" w:line="264" w:lineRule="auto"/>
        <w:rPr>
          <w:rFonts w:ascii="Arial" w:cs="Arial" w:eastAsia="Arial" w:hAnsi="Arial"/>
          <w:sz w:val="18"/>
          <w:szCs w:val="18"/>
          <w:color w:val="0000EE"/>
        </w:rPr>
      </w:pPr>
      <w:hyperlink r:id="rId182">
        <w:r>
          <w:rPr>
            <w:rFonts w:ascii="Arial" w:cs="Arial" w:eastAsia="Arial" w:hAnsi="Arial"/>
            <w:sz w:val="18"/>
            <w:szCs w:val="18"/>
            <w:u w:val="single" w:color="auto"/>
            <w:color w:val="0000EE"/>
          </w:rPr>
          <w:t>Eighth Supplemental Indenture, dated as of September 19, 2018, between Lazard Group LLC and the Bank of New York Mellon, as trustee</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(incorporated by reference to Exhibit 4.1 to the Registrant’s Current Report on Form 8-K (File No. 333-126751) filed on September 19,</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2018</w:t>
        </w:r>
        <w:r>
          <w:rPr>
            <w:rFonts w:ascii="Arial" w:cs="Arial" w:eastAsia="Arial" w:hAnsi="Arial"/>
            <w:sz w:val="18"/>
            <w:szCs w:val="18"/>
            <w:color w:val="000000"/>
          </w:rPr>
          <w:t>.</w:t>
        </w:r>
      </w:hyperlink>
    </w:p>
    <w:p>
      <w:pPr>
        <w:spacing w:after="0" w:line="70" w:lineRule="exact"/>
        <w:rPr>
          <w:rFonts w:ascii="Arial" w:cs="Arial" w:eastAsia="Arial" w:hAnsi="Arial"/>
          <w:sz w:val="18"/>
          <w:szCs w:val="18"/>
          <w:u w:val="single" w:color="auto"/>
          <w:color w:val="0000EE"/>
        </w:rPr>
      </w:pPr>
    </w:p>
    <w:p>
      <w:pPr>
        <w:sectPr>
          <w:pgSz w:w="11900" w:h="16838" w:orient="portrait"/>
          <w:cols w:equalWidth="0" w:num="2">
            <w:col w:w="540" w:space="720"/>
            <w:col w:w="10180"/>
          </w:cols>
          <w:pgMar w:left="240" w:top="459"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750"/>
              <w:spacing w:after="0"/>
              <w:rPr>
                <w:sz w:val="20"/>
                <w:szCs w:val="20"/>
                <w:color w:val="auto"/>
              </w:rPr>
            </w:pPr>
            <w:r>
              <w:rPr>
                <w:rFonts w:ascii="Arial" w:cs="Arial" w:eastAsia="Arial" w:hAnsi="Arial"/>
                <w:sz w:val="18"/>
                <w:szCs w:val="18"/>
                <w:color w:val="auto"/>
              </w:rPr>
              <w:t>4.6</w:t>
            </w:r>
          </w:p>
        </w:tc>
        <w:tc>
          <w:tcPr>
            <w:tcW w:w="10180" w:type="dxa"/>
            <w:vAlign w:val="bottom"/>
            <w:gridSpan w:val="11"/>
          </w:tcPr>
          <w:p>
            <w:pPr>
              <w:spacing w:after="0"/>
              <w:rPr>
                <w:rFonts w:ascii="Arial" w:cs="Arial" w:eastAsia="Arial" w:hAnsi="Arial"/>
                <w:sz w:val="18"/>
                <w:szCs w:val="18"/>
                <w:color w:val="auto"/>
              </w:rPr>
            </w:pPr>
            <w:r>
              <w:rPr>
                <w:rFonts w:ascii="Arial" w:cs="Arial" w:eastAsia="Arial" w:hAnsi="Arial"/>
                <w:sz w:val="18"/>
                <w:szCs w:val="18"/>
                <w:color w:val="auto"/>
              </w:rPr>
              <w:t xml:space="preserve">Form of Senior Note (included in Exhibits </w:t>
            </w:r>
            <w:hyperlink r:id="rId179">
              <w:r>
                <w:rPr>
                  <w:rFonts w:ascii="Arial" w:cs="Arial" w:eastAsia="Arial" w:hAnsi="Arial"/>
                  <w:sz w:val="18"/>
                  <w:szCs w:val="18"/>
                  <w:color w:val="0000EE"/>
                </w:rPr>
                <w:t>4.2</w:t>
              </w:r>
            </w:hyperlink>
            <w:r>
              <w:rPr>
                <w:rFonts w:ascii="Arial" w:cs="Arial" w:eastAsia="Arial" w:hAnsi="Arial"/>
                <w:sz w:val="18"/>
                <w:szCs w:val="18"/>
                <w:color w:val="auto"/>
              </w:rPr>
              <w:t xml:space="preserve">, </w:t>
            </w:r>
            <w:hyperlink r:id="rId180">
              <w:r>
                <w:rPr>
                  <w:rFonts w:ascii="Arial" w:cs="Arial" w:eastAsia="Arial" w:hAnsi="Arial"/>
                  <w:sz w:val="18"/>
                  <w:szCs w:val="18"/>
                  <w:color w:val="0000EE"/>
                </w:rPr>
                <w:t>4.3</w:t>
              </w:r>
            </w:hyperlink>
            <w:r>
              <w:rPr>
                <w:rFonts w:ascii="Arial" w:cs="Arial" w:eastAsia="Arial" w:hAnsi="Arial"/>
                <w:sz w:val="18"/>
                <w:szCs w:val="18"/>
                <w:color w:val="auto"/>
              </w:rPr>
              <w:t xml:space="preserve">, </w:t>
            </w:r>
            <w:hyperlink r:id="rId181">
              <w:r>
                <w:rPr>
                  <w:rFonts w:ascii="Arial" w:cs="Arial" w:eastAsia="Arial" w:hAnsi="Arial"/>
                  <w:sz w:val="18"/>
                  <w:szCs w:val="18"/>
                  <w:color w:val="0000EE"/>
                </w:rPr>
                <w:t>4.4</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182">
              <w:r>
                <w:rPr>
                  <w:rFonts w:ascii="Arial" w:cs="Arial" w:eastAsia="Arial" w:hAnsi="Arial"/>
                  <w:sz w:val="18"/>
                  <w:szCs w:val="18"/>
                  <w:color w:val="0000EE"/>
                </w:rPr>
                <w:t>4.5</w:t>
              </w:r>
            </w:hyperlink>
            <w:r>
              <w:rPr>
                <w:rFonts w:ascii="Arial" w:cs="Arial" w:eastAsia="Arial" w:hAnsi="Arial"/>
                <w:sz w:val="18"/>
                <w:szCs w:val="18"/>
                <w:color w:val="auto"/>
              </w:rPr>
              <w:t>).</w:t>
            </w:r>
          </w:p>
        </w:tc>
      </w:tr>
      <w:tr>
        <w:trPr>
          <w:trHeight w:val="20"/>
        </w:trPr>
        <w:tc>
          <w:tcPr>
            <w:tcW w:w="1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60" w:type="dxa"/>
            <w:vAlign w:val="bottom"/>
          </w:tcPr>
          <w:p>
            <w:pPr>
              <w:jc w:val="right"/>
              <w:ind w:right="710"/>
              <w:spacing w:after="0"/>
              <w:rPr>
                <w:sz w:val="20"/>
                <w:szCs w:val="20"/>
                <w:color w:val="auto"/>
              </w:rPr>
            </w:pPr>
            <w:r>
              <w:rPr>
                <w:rFonts w:ascii="Arial" w:cs="Arial" w:eastAsia="Arial" w:hAnsi="Arial"/>
                <w:sz w:val="18"/>
                <w:szCs w:val="18"/>
                <w:color w:val="auto"/>
              </w:rPr>
              <w:t>10.1</w:t>
            </w:r>
          </w:p>
        </w:tc>
        <w:tc>
          <w:tcPr>
            <w:tcW w:w="10180" w:type="dxa"/>
            <w:vAlign w:val="bottom"/>
            <w:gridSpan w:val="11"/>
          </w:tcPr>
          <w:p>
            <w:pPr>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Lease, dated as of January 27, 1994, by and between Rockefeller Center Properties and Lazard Frères &amp; Co. LLC (incorporated by reference</w:t>
              </w:r>
            </w:hyperlink>
          </w:p>
        </w:tc>
      </w:tr>
      <w:tr>
        <w:trPr>
          <w:trHeight w:val="196"/>
        </w:trPr>
        <w:tc>
          <w:tcPr>
            <w:tcW w:w="1260" w:type="dxa"/>
            <w:vAlign w:val="bottom"/>
          </w:tcPr>
          <w:p>
            <w:pPr>
              <w:spacing w:after="0"/>
              <w:rPr>
                <w:sz w:val="17"/>
                <w:szCs w:val="17"/>
                <w:color w:val="auto"/>
              </w:rPr>
            </w:pPr>
          </w:p>
        </w:tc>
        <w:tc>
          <w:tcPr>
            <w:tcW w:w="10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to Exhibit 10.19 to Lazard Ltd’s Registration Statement (File No. 333-121407) on Form S-1/A filed on February 11, 2005).</w:t>
              </w:r>
            </w:hyperlink>
          </w:p>
        </w:tc>
        <w:tc>
          <w:tcPr>
            <w:tcW w:w="40" w:type="dxa"/>
            <w:vAlign w:val="bottom"/>
          </w:tcPr>
          <w:p>
            <w:pPr>
              <w:spacing w:after="0"/>
              <w:rPr>
                <w:sz w:val="17"/>
                <w:szCs w:val="17"/>
                <w:color w:val="auto"/>
              </w:rPr>
            </w:pPr>
          </w:p>
        </w:tc>
      </w:tr>
      <w:tr>
        <w:trPr>
          <w:trHeight w:val="574"/>
        </w:trPr>
        <w:tc>
          <w:tcPr>
            <w:tcW w:w="1260" w:type="dxa"/>
            <w:vAlign w:val="bottom"/>
          </w:tcPr>
          <w:p>
            <w:pPr>
              <w:spacing w:after="0"/>
              <w:rPr>
                <w:sz w:val="24"/>
                <w:szCs w:val="24"/>
                <w:color w:val="auto"/>
              </w:rPr>
            </w:pPr>
          </w:p>
        </w:tc>
        <w:tc>
          <w:tcPr>
            <w:tcW w:w="8880" w:type="dxa"/>
            <w:vAlign w:val="bottom"/>
            <w:tcBorders>
              <w:top w:val="single" w:sz="8" w:color="0000EE"/>
            </w:tcBorders>
            <w:gridSpan w:val="9"/>
          </w:tcPr>
          <w:p>
            <w:pPr>
              <w:jc w:val="right"/>
              <w:ind w:right="4300"/>
              <w:spacing w:after="0"/>
              <w:rPr>
                <w:sz w:val="20"/>
                <w:szCs w:val="20"/>
                <w:color w:val="auto"/>
              </w:rPr>
            </w:pPr>
            <w:r>
              <w:rPr>
                <w:rFonts w:ascii="Arial" w:cs="Arial" w:eastAsia="Arial" w:hAnsi="Arial"/>
                <w:sz w:val="18"/>
                <w:szCs w:val="18"/>
                <w:color w:val="auto"/>
              </w:rPr>
              <w:t>127</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1260" w:type="dxa"/>
            <w:vAlign w:val="bottom"/>
          </w:tcPr>
          <w:p>
            <w:pPr>
              <w:ind w:left="140"/>
              <w:spacing w:after="0"/>
              <w:rPr>
                <w:sz w:val="20"/>
                <w:szCs w:val="20"/>
                <w:color w:val="auto"/>
              </w:rPr>
            </w:pPr>
            <w:r>
              <w:rPr>
                <w:rFonts w:ascii="Arial" w:cs="Arial" w:eastAsia="Arial" w:hAnsi="Arial"/>
                <w:sz w:val="18"/>
                <w:szCs w:val="18"/>
                <w:color w:val="auto"/>
              </w:rPr>
              <w:t>10.2</w:t>
            </w:r>
          </w:p>
        </w:tc>
        <w:tc>
          <w:tcPr>
            <w:tcW w:w="10180" w:type="dxa"/>
            <w:vAlign w:val="bottom"/>
            <w:gridSpan w:val="29"/>
          </w:tcPr>
          <w:p>
            <w:pPr>
              <w:spacing w:after="0"/>
              <w:rPr>
                <w:rFonts w:ascii="Arial" w:cs="Arial" w:eastAsia="Arial" w:hAnsi="Arial"/>
                <w:sz w:val="18"/>
                <w:szCs w:val="18"/>
                <w:color w:val="0000EE"/>
                <w:w w:val="96"/>
              </w:rPr>
            </w:pPr>
            <w:hyperlink r:id="rId186">
              <w:r>
                <w:rPr>
                  <w:rFonts w:ascii="Arial" w:cs="Arial" w:eastAsia="Arial" w:hAnsi="Arial"/>
                  <w:sz w:val="18"/>
                  <w:szCs w:val="18"/>
                  <w:color w:val="0000EE"/>
                  <w:w w:val="96"/>
                </w:rPr>
                <w:t>Fourth Amendment dated as of February 16, 2011, by and among RCPI Landmark Properties, L.L.C. (as the successor in interest to</w:t>
              </w:r>
            </w:hyperlink>
          </w:p>
        </w:tc>
      </w:tr>
      <w:tr>
        <w:trPr>
          <w:trHeight w:val="20"/>
        </w:trPr>
        <w:tc>
          <w:tcPr>
            <w:tcW w:w="126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14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86">
              <w:r>
                <w:rPr>
                  <w:rFonts w:ascii="Arial" w:cs="Arial" w:eastAsia="Arial" w:hAnsi="Arial"/>
                  <w:sz w:val="18"/>
                  <w:szCs w:val="18"/>
                  <w:color w:val="0000EE"/>
                  <w:w w:val="90"/>
                </w:rPr>
                <w:t>Rockefeller Center Properties), RCPI 30 Rock 22234849, L.L.C. and Lazard Group LLC (as the successor in interest to Lazard Frères &amp; Co.</w:t>
              </w:r>
            </w:hyperlink>
          </w:p>
        </w:tc>
        <w:tc>
          <w:tcPr>
            <w:tcW w:w="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0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86">
              <w:r>
                <w:rPr>
                  <w:rFonts w:ascii="Arial" w:cs="Arial" w:eastAsia="Arial" w:hAnsi="Arial"/>
                  <w:sz w:val="18"/>
                  <w:szCs w:val="18"/>
                  <w:color w:val="0000EE"/>
                  <w:w w:val="90"/>
                </w:rPr>
                <w:t>LLC), to the Lease dated as of January 27, 1994, by and among Rockefeller Center Properties and Lazard Frères &amp; Co. LLC (incorporated</w:t>
              </w:r>
            </w:hyperlink>
          </w:p>
        </w:tc>
        <w:tc>
          <w:tcPr>
            <w:tcW w:w="18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2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86">
              <w:r>
                <w:rPr>
                  <w:rFonts w:ascii="Arial" w:cs="Arial" w:eastAsia="Arial" w:hAnsi="Arial"/>
                  <w:sz w:val="18"/>
                  <w:szCs w:val="18"/>
                  <w:color w:val="0000EE"/>
                  <w:w w:val="92"/>
                </w:rPr>
                <w:t>by reference to Exhibit 10.15 to the Registrant’s Quarterly Report (File No. 333-126751) on Form 10-Q filed on April 29, 2011).</w:t>
              </w:r>
            </w:hyperlink>
          </w:p>
        </w:tc>
        <w:tc>
          <w:tcPr>
            <w:tcW w:w="900" w:type="dxa"/>
            <w:vAlign w:val="bottom"/>
            <w:gridSpan w:val="19"/>
          </w:tcPr>
          <w:p>
            <w:pPr>
              <w:spacing w:after="0"/>
              <w:rPr>
                <w:sz w:val="17"/>
                <w:szCs w:val="17"/>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10.3</w:t>
            </w:r>
          </w:p>
        </w:tc>
        <w:tc>
          <w:tcPr>
            <w:tcW w:w="10000" w:type="dxa"/>
            <w:vAlign w:val="bottom"/>
            <w:tcBorders>
              <w:bottom w:val="single" w:sz="8" w:color="0000EE"/>
            </w:tcBorders>
            <w:gridSpan w:val="24"/>
          </w:tcPr>
          <w:p>
            <w:pPr>
              <w:spacing w:after="0"/>
              <w:rPr>
                <w:rFonts w:ascii="Arial" w:cs="Arial" w:eastAsia="Arial" w:hAnsi="Arial"/>
                <w:sz w:val="18"/>
                <w:szCs w:val="18"/>
                <w:color w:val="0000EE"/>
                <w:w w:val="91"/>
              </w:rPr>
            </w:pPr>
            <w:hyperlink r:id="rId187">
              <w:r>
                <w:rPr>
                  <w:rFonts w:ascii="Arial" w:cs="Arial" w:eastAsia="Arial" w:hAnsi="Arial"/>
                  <w:sz w:val="18"/>
                  <w:szCs w:val="18"/>
                  <w:color w:val="0000EE"/>
                  <w:w w:val="91"/>
                </w:rPr>
                <w:t>Lazard Ltd’s 2005 Equity Incentive Plan (incorporated by reference to Exhibit 10.21 to Lazard Ltd’s Registration Statement (File No. 333-</w:t>
              </w:r>
            </w:hyperlink>
          </w:p>
        </w:tc>
        <w:tc>
          <w:tcPr>
            <w:tcW w:w="18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9"/>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121407) on Form S-1/A filed on May 2, 2005).</w:t>
              </w:r>
            </w:hyperlink>
          </w:p>
        </w:tc>
      </w:tr>
      <w:tr>
        <w:trPr>
          <w:trHeight w:val="20"/>
        </w:trPr>
        <w:tc>
          <w:tcPr>
            <w:tcW w:w="126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10.4*</w:t>
            </w:r>
          </w:p>
        </w:tc>
        <w:tc>
          <w:tcPr>
            <w:tcW w:w="9720" w:type="dxa"/>
            <w:vAlign w:val="bottom"/>
            <w:tcBorders>
              <w:bottom w:val="single" w:sz="8" w:color="0000EE"/>
            </w:tcBorders>
            <w:gridSpan w:val="17"/>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Lazard Ltd’s 2008 Incentive Compensation Plan (incorporated by reference to Annex B to Lazard Ltd’s Definitive Proxy Statement on</w:t>
              </w:r>
            </w:hyperlink>
          </w:p>
        </w:tc>
        <w:tc>
          <w:tcPr>
            <w:tcW w:w="460" w:type="dxa"/>
            <w:vAlign w:val="bottom"/>
            <w:gridSpan w:val="1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5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88">
              <w:r>
                <w:rPr>
                  <w:rFonts w:ascii="Arial" w:cs="Arial" w:eastAsia="Arial" w:hAnsi="Arial"/>
                  <w:sz w:val="18"/>
                  <w:szCs w:val="18"/>
                  <w:color w:val="0000EE"/>
                  <w:w w:val="92"/>
                </w:rPr>
                <w:t>Schedule 14A (File No. 001-32492) filed on March 24, 2008).</w:t>
              </w:r>
            </w:hyperlink>
          </w:p>
        </w:tc>
        <w:tc>
          <w:tcPr>
            <w:tcW w:w="5680" w:type="dxa"/>
            <w:vAlign w:val="bottom"/>
            <w:gridSpan w:val="23"/>
          </w:tcPr>
          <w:p>
            <w:pPr>
              <w:spacing w:after="0"/>
              <w:rPr>
                <w:sz w:val="17"/>
                <w:szCs w:val="17"/>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10.5*</w:t>
            </w:r>
          </w:p>
        </w:tc>
        <w:tc>
          <w:tcPr>
            <w:tcW w:w="9840" w:type="dxa"/>
            <w:vAlign w:val="bottom"/>
            <w:tcBorders>
              <w:bottom w:val="single" w:sz="8" w:color="0000EE"/>
            </w:tcBorders>
            <w:gridSpan w:val="18"/>
          </w:tcPr>
          <w:p>
            <w:pPr>
              <w:spacing w:after="0"/>
              <w:rPr>
                <w:rFonts w:ascii="Arial" w:cs="Arial" w:eastAsia="Arial" w:hAnsi="Arial"/>
                <w:sz w:val="18"/>
                <w:szCs w:val="18"/>
                <w:color w:val="0000EE"/>
                <w:w w:val="91"/>
              </w:rPr>
            </w:pPr>
            <w:hyperlink r:id="rId189">
              <w:r>
                <w:rPr>
                  <w:rFonts w:ascii="Arial" w:cs="Arial" w:eastAsia="Arial" w:hAnsi="Arial"/>
                  <w:sz w:val="18"/>
                  <w:szCs w:val="18"/>
                  <w:color w:val="0000EE"/>
                  <w:w w:val="91"/>
                </w:rPr>
                <w:t>Lazard Ltd’s 2016 French Sub-plan (incorporated by reference to Annex B to Lazard Ltd’s Definitive Proxy Statement on Schedule 14A</w:t>
              </w:r>
            </w:hyperlink>
          </w:p>
        </w:tc>
        <w:tc>
          <w:tcPr>
            <w:tcW w:w="34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4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89">
              <w:r>
                <w:rPr>
                  <w:rFonts w:ascii="Arial" w:cs="Arial" w:eastAsia="Arial" w:hAnsi="Arial"/>
                  <w:sz w:val="18"/>
                  <w:szCs w:val="18"/>
                  <w:color w:val="0000EE"/>
                  <w:w w:val="92"/>
                </w:rPr>
                <w:t>(File No. 001-32492) filed on March 10, 2016).</w:t>
              </w:r>
            </w:hyperlink>
          </w:p>
        </w:tc>
        <w:tc>
          <w:tcPr>
            <w:tcW w:w="6740" w:type="dxa"/>
            <w:vAlign w:val="bottom"/>
            <w:gridSpan w:val="26"/>
          </w:tcPr>
          <w:p>
            <w:pPr>
              <w:spacing w:after="0"/>
              <w:rPr>
                <w:sz w:val="17"/>
                <w:szCs w:val="17"/>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10.6*</w:t>
            </w:r>
          </w:p>
        </w:tc>
        <w:tc>
          <w:tcPr>
            <w:tcW w:w="10180" w:type="dxa"/>
            <w:vAlign w:val="bottom"/>
            <w:gridSpan w:val="29"/>
          </w:tcPr>
          <w:p>
            <w:pPr>
              <w:spacing w:after="0"/>
              <w:rPr>
                <w:rFonts w:ascii="Arial" w:cs="Arial" w:eastAsia="Arial" w:hAnsi="Arial"/>
                <w:sz w:val="18"/>
                <w:szCs w:val="18"/>
                <w:color w:val="0000EE"/>
                <w:w w:val="97"/>
              </w:rPr>
            </w:pPr>
            <w:hyperlink r:id="rId190">
              <w:r>
                <w:rPr>
                  <w:rFonts w:ascii="Arial" w:cs="Arial" w:eastAsia="Arial" w:hAnsi="Arial"/>
                  <w:sz w:val="18"/>
                  <w:szCs w:val="18"/>
                  <w:color w:val="0000EE"/>
                  <w:w w:val="97"/>
                </w:rPr>
                <w:t>Lazard Ltd 2018 Incentive Compensation Plan (incorporated by reference to Annex B to Lazard Ltd’s Definitive Proxy Statement on</w:t>
              </w:r>
            </w:hyperlink>
          </w:p>
        </w:tc>
      </w:tr>
      <w:tr>
        <w:trPr>
          <w:trHeight w:val="196"/>
        </w:trPr>
        <w:tc>
          <w:tcPr>
            <w:tcW w:w="126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90">
              <w:r>
                <w:rPr>
                  <w:rFonts w:ascii="Arial" w:cs="Arial" w:eastAsia="Arial" w:hAnsi="Arial"/>
                  <w:sz w:val="18"/>
                  <w:szCs w:val="18"/>
                  <w:color w:val="0000EE"/>
                  <w:w w:val="92"/>
                </w:rPr>
                <w:t>Schedule 14A (File No. 001-32492) filed on March 15, 2018).</w:t>
              </w:r>
            </w:hyperlink>
          </w:p>
        </w:tc>
        <w:tc>
          <w:tcPr>
            <w:tcW w:w="5080" w:type="dxa"/>
            <w:vAlign w:val="bottom"/>
            <w:tcBorders>
              <w:top w:val="single" w:sz="8" w:color="0000EE"/>
            </w:tcBorders>
            <w:gridSpan w:val="7"/>
          </w:tcPr>
          <w:p>
            <w:pPr>
              <w:spacing w:after="0"/>
              <w:rPr>
                <w:sz w:val="17"/>
                <w:szCs w:val="17"/>
                <w:color w:val="auto"/>
              </w:rPr>
            </w:pPr>
          </w:p>
        </w:tc>
        <w:tc>
          <w:tcPr>
            <w:tcW w:w="600" w:type="dxa"/>
            <w:vAlign w:val="bottom"/>
            <w:gridSpan w:val="16"/>
          </w:tcPr>
          <w:p>
            <w:pPr>
              <w:spacing w:after="0"/>
              <w:rPr>
                <w:sz w:val="17"/>
                <w:szCs w:val="17"/>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10.7*</w:t>
            </w:r>
          </w:p>
        </w:tc>
        <w:tc>
          <w:tcPr>
            <w:tcW w:w="9700" w:type="dxa"/>
            <w:vAlign w:val="bottom"/>
            <w:tcBorders>
              <w:bottom w:val="single" w:sz="8" w:color="0000EE"/>
            </w:tcBorders>
            <w:gridSpan w:val="16"/>
          </w:tcPr>
          <w:p>
            <w:pPr>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Amended and Restated Agreement relating to Retention and Noncompetition and Other Covenants, dated as of March 9, 2016, by and</w:t>
              </w:r>
            </w:hyperlink>
          </w:p>
        </w:tc>
        <w:tc>
          <w:tcPr>
            <w:tcW w:w="48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8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among the Registrant, Lazard Ltd and Kenneth M. Jacobs (incorporated by reference to Exhibit 10.7 to the Registrant’s Quarterly Report</w:t>
              </w:r>
            </w:hyperlink>
          </w:p>
        </w:tc>
        <w:tc>
          <w:tcPr>
            <w:tcW w:w="300" w:type="dxa"/>
            <w:vAlign w:val="bottom"/>
            <w:gridSpan w:val="9"/>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9"/>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(File No. 333-126751) on Form 10-Q filed on April 27, 2016).</w:t>
              </w:r>
            </w:hyperlink>
          </w:p>
        </w:tc>
      </w:tr>
      <w:tr>
        <w:trPr>
          <w:trHeight w:val="20"/>
        </w:trPr>
        <w:tc>
          <w:tcPr>
            <w:tcW w:w="126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10.8*</w:t>
            </w:r>
          </w:p>
        </w:tc>
        <w:tc>
          <w:tcPr>
            <w:tcW w:w="9700" w:type="dxa"/>
            <w:vAlign w:val="bottom"/>
            <w:tcBorders>
              <w:bottom w:val="single" w:sz="8" w:color="0000EE"/>
            </w:tcBorders>
            <w:gridSpan w:val="16"/>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Amended and Restated Agreement relating to Retention and Noncompetition and Other Covenants, dated as of March 9, 2016, by and</w:t>
              </w:r>
            </w:hyperlink>
          </w:p>
        </w:tc>
        <w:tc>
          <w:tcPr>
            <w:tcW w:w="48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among the Registrant, Lazard Ltd and Ashish Bhutani (incorporated by reference to Exhibit 10.8 to the Registrant’s Quarterly Report (File</w:t>
              </w:r>
            </w:hyperlink>
          </w:p>
        </w:tc>
        <w:tc>
          <w:tcPr>
            <w:tcW w:w="20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9"/>
          </w:tcPr>
          <w:p>
            <w:pPr>
              <w:spacing w:after="0" w:line="196" w:lineRule="exact"/>
              <w:rPr>
                <w:rFonts w:ascii="Arial" w:cs="Arial" w:eastAsia="Arial" w:hAnsi="Arial"/>
                <w:sz w:val="18"/>
                <w:szCs w:val="18"/>
                <w:color w:val="0000EE"/>
              </w:rPr>
            </w:pPr>
            <w:hyperlink r:id="rId192">
              <w:r>
                <w:rPr>
                  <w:rFonts w:ascii="Arial" w:cs="Arial" w:eastAsia="Arial" w:hAnsi="Arial"/>
                  <w:sz w:val="18"/>
                  <w:szCs w:val="18"/>
                  <w:color w:val="0000EE"/>
                </w:rPr>
                <w:t>No. 333-126751) on Form 10-Q filed on April 27, 2016).</w:t>
              </w:r>
            </w:hyperlink>
          </w:p>
        </w:tc>
      </w:tr>
      <w:tr>
        <w:trPr>
          <w:trHeight w:val="20"/>
        </w:trPr>
        <w:tc>
          <w:tcPr>
            <w:tcW w:w="126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10.9*</w:t>
            </w:r>
          </w:p>
        </w:tc>
        <w:tc>
          <w:tcPr>
            <w:tcW w:w="9700" w:type="dxa"/>
            <w:vAlign w:val="bottom"/>
            <w:tcBorders>
              <w:bottom w:val="single" w:sz="8" w:color="0000EE"/>
            </w:tcBorders>
            <w:gridSpan w:val="16"/>
          </w:tcPr>
          <w:p>
            <w:pPr>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Amended and Restated Agreement relating to Retention and Noncompetition and Other Covenants, dated as of March 9, 2016, by and</w:t>
              </w:r>
            </w:hyperlink>
          </w:p>
        </w:tc>
        <w:tc>
          <w:tcPr>
            <w:tcW w:w="48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9"/>
          </w:tcPr>
          <w:p>
            <w:pPr>
              <w:spacing w:after="0" w:line="196" w:lineRule="exact"/>
              <w:rPr>
                <w:rFonts w:ascii="Arial" w:cs="Arial" w:eastAsia="Arial" w:hAnsi="Arial"/>
                <w:sz w:val="18"/>
                <w:szCs w:val="18"/>
                <w:color w:val="0000EE"/>
                <w:w w:val="93"/>
              </w:rPr>
            </w:pPr>
            <w:hyperlink r:id="rId193">
              <w:r>
                <w:rPr>
                  <w:rFonts w:ascii="Arial" w:cs="Arial" w:eastAsia="Arial" w:hAnsi="Arial"/>
                  <w:sz w:val="18"/>
                  <w:szCs w:val="18"/>
                  <w:color w:val="0000EE"/>
                  <w:w w:val="93"/>
                </w:rPr>
                <w:t>among the Registrant, Lazard Ltd and Scott D. Hoffman (incorporated by reference to Exhibit 10.10 to Registrant’s Quarterly Report (File</w:t>
              </w:r>
            </w:hyperlink>
          </w:p>
        </w:tc>
      </w:tr>
      <w:tr>
        <w:trPr>
          <w:trHeight w:val="196"/>
        </w:trPr>
        <w:tc>
          <w:tcPr>
            <w:tcW w:w="1260" w:type="dxa"/>
            <w:vAlign w:val="bottom"/>
          </w:tcPr>
          <w:p>
            <w:pPr>
              <w:spacing w:after="0"/>
              <w:rPr>
                <w:sz w:val="17"/>
                <w:szCs w:val="17"/>
                <w:color w:val="auto"/>
              </w:rPr>
            </w:pPr>
          </w:p>
        </w:tc>
        <w:tc>
          <w:tcPr>
            <w:tcW w:w="99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No. 333-126751) on Form 10-Q filed on April 27, 2016</w:t>
              </w:r>
              <w:r>
                <w:rPr>
                  <w:rFonts w:ascii="Arial" w:cs="Arial" w:eastAsia="Arial" w:hAnsi="Arial"/>
                  <w:sz w:val="18"/>
                  <w:szCs w:val="18"/>
                  <w:color w:val="000000"/>
                </w:rPr>
                <w:t>).</w:t>
              </w:r>
            </w:hyperlink>
          </w:p>
        </w:tc>
        <w:tc>
          <w:tcPr>
            <w:tcW w:w="220" w:type="dxa"/>
            <w:vAlign w:val="bottom"/>
            <w:gridSpan w:val="7"/>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10.10*</w:t>
            </w:r>
          </w:p>
        </w:tc>
        <w:tc>
          <w:tcPr>
            <w:tcW w:w="9660" w:type="dxa"/>
            <w:vAlign w:val="bottom"/>
            <w:tcBorders>
              <w:bottom w:val="single" w:sz="8" w:color="0000EE"/>
            </w:tcBorders>
            <w:gridSpan w:val="14"/>
          </w:tcPr>
          <w:p>
            <w:pPr>
              <w:spacing w:after="0"/>
              <w:rPr>
                <w:rFonts w:ascii="Arial" w:cs="Arial" w:eastAsia="Arial" w:hAnsi="Arial"/>
                <w:sz w:val="18"/>
                <w:szCs w:val="18"/>
                <w:color w:val="0000EE"/>
                <w:w w:val="90"/>
              </w:rPr>
            </w:pPr>
            <w:hyperlink r:id="rId194">
              <w:r>
                <w:rPr>
                  <w:rFonts w:ascii="Arial" w:cs="Arial" w:eastAsia="Arial" w:hAnsi="Arial"/>
                  <w:sz w:val="18"/>
                  <w:szCs w:val="18"/>
                  <w:color w:val="0000EE"/>
                  <w:w w:val="90"/>
                </w:rPr>
                <w:t>Amendment, dated as of October 30, 2017, to Amended and Restated Agreement relating to Retention and Noncompetition and Other</w:t>
              </w:r>
            </w:hyperlink>
          </w:p>
        </w:tc>
        <w:tc>
          <w:tcPr>
            <w:tcW w:w="520" w:type="dxa"/>
            <w:vAlign w:val="bottom"/>
            <w:gridSpan w:val="1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9"/>
          </w:tcPr>
          <w:p>
            <w:pPr>
              <w:spacing w:after="0" w:line="196"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Covenants, dated as of March 9, 2016, by and among Lazard Ltd, the Registrant and Scott D. Hoffman (incorporated by reference to Exhibit</w:t>
              </w:r>
            </w:hyperlink>
          </w:p>
        </w:tc>
      </w:tr>
      <w:tr>
        <w:trPr>
          <w:trHeight w:val="196"/>
        </w:trPr>
        <w:tc>
          <w:tcPr>
            <w:tcW w:w="1260" w:type="dxa"/>
            <w:vAlign w:val="bottom"/>
          </w:tcPr>
          <w:p>
            <w:pPr>
              <w:spacing w:after="0"/>
              <w:rPr>
                <w:sz w:val="17"/>
                <w:szCs w:val="17"/>
                <w:color w:val="auto"/>
              </w:rPr>
            </w:pPr>
          </w:p>
        </w:tc>
        <w:tc>
          <w:tcPr>
            <w:tcW w:w="7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11</w:t>
              </w:r>
              <w:r>
                <w:rPr>
                  <w:rFonts w:ascii="Arial" w:cs="Arial" w:eastAsia="Arial" w:hAnsi="Arial"/>
                  <w:sz w:val="18"/>
                  <w:szCs w:val="18"/>
                  <w:color w:val="0000EE"/>
                  <w:w w:val="91"/>
                </w:rPr>
                <w:t xml:space="preserve"> to Registrant’s Quarterly Report (File No. 333-126751) on 10-Q filed on October 31, 2017).</w:t>
              </w:r>
            </w:hyperlink>
          </w:p>
        </w:tc>
        <w:tc>
          <w:tcPr>
            <w:tcW w:w="3040" w:type="dxa"/>
            <w:vAlign w:val="bottom"/>
            <w:tcBorders>
              <w:top w:val="single" w:sz="8" w:color="0000EE"/>
            </w:tcBorders>
            <w:gridSpan w:val="18"/>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10.11*</w:t>
            </w:r>
          </w:p>
        </w:tc>
        <w:tc>
          <w:tcPr>
            <w:tcW w:w="9860" w:type="dxa"/>
            <w:vAlign w:val="bottom"/>
            <w:tcBorders>
              <w:bottom w:val="single" w:sz="8" w:color="0000EE"/>
            </w:tcBorders>
            <w:gridSpan w:val="19"/>
          </w:tcPr>
          <w:p>
            <w:pPr>
              <w:spacing w:after="0"/>
              <w:rPr>
                <w:rFonts w:ascii="Arial" w:cs="Arial" w:eastAsia="Arial" w:hAnsi="Arial"/>
                <w:sz w:val="18"/>
                <w:szCs w:val="18"/>
                <w:color w:val="0000EE"/>
                <w:w w:val="90"/>
              </w:rPr>
            </w:pPr>
            <w:hyperlink r:id="rId195">
              <w:r>
                <w:rPr>
                  <w:rFonts w:ascii="Arial" w:cs="Arial" w:eastAsia="Arial" w:hAnsi="Arial"/>
                  <w:sz w:val="18"/>
                  <w:szCs w:val="18"/>
                  <w:color w:val="0000EE"/>
                  <w:w w:val="90"/>
                </w:rPr>
                <w:t>Agreement relating to Retention and Noncompetition and Other Covenants, dated as of October 30, 2017, by and among Lazard Ltd, the</w:t>
              </w:r>
            </w:hyperlink>
          </w:p>
        </w:tc>
        <w:tc>
          <w:tcPr>
            <w:tcW w:w="32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9"/>
          </w:tcPr>
          <w:p>
            <w:pPr>
              <w:spacing w:after="0" w:line="196" w:lineRule="exact"/>
              <w:rPr>
                <w:rFonts w:ascii="Arial" w:cs="Arial" w:eastAsia="Arial" w:hAnsi="Arial"/>
                <w:sz w:val="18"/>
                <w:szCs w:val="18"/>
                <w:color w:val="0000EE"/>
                <w:w w:val="92"/>
              </w:rPr>
            </w:pPr>
            <w:hyperlink r:id="rId195">
              <w:r>
                <w:rPr>
                  <w:rFonts w:ascii="Arial" w:cs="Arial" w:eastAsia="Arial" w:hAnsi="Arial"/>
                  <w:sz w:val="18"/>
                  <w:szCs w:val="18"/>
                  <w:color w:val="0000EE"/>
                  <w:w w:val="92"/>
                </w:rPr>
                <w:t>Registrant and Evan L. Russo (incorporated by reference to Exhibit 10.12 to Registrant’s Quarterly Report (File No. 333-126751) on 10-Q</w:t>
              </w:r>
            </w:hyperlink>
          </w:p>
        </w:tc>
      </w:tr>
      <w:tr>
        <w:trPr>
          <w:trHeight w:val="196"/>
        </w:trPr>
        <w:tc>
          <w:tcPr>
            <w:tcW w:w="1260" w:type="dxa"/>
            <w:vAlign w:val="bottom"/>
          </w:tcPr>
          <w:p>
            <w:pPr>
              <w:spacing w:after="0"/>
              <w:rPr>
                <w:sz w:val="17"/>
                <w:szCs w:val="17"/>
                <w:color w:val="auto"/>
              </w:rPr>
            </w:pPr>
          </w:p>
        </w:tc>
        <w:tc>
          <w:tcPr>
            <w:tcW w:w="99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filed on October 31, 2017).</w:t>
              </w:r>
            </w:hyperlink>
          </w:p>
        </w:tc>
        <w:tc>
          <w:tcPr>
            <w:tcW w:w="200" w:type="dxa"/>
            <w:vAlign w:val="bottom"/>
            <w:gridSpan w:val="6"/>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10.12*</w:t>
            </w:r>
          </w:p>
        </w:tc>
        <w:tc>
          <w:tcPr>
            <w:tcW w:w="9680" w:type="dxa"/>
            <w:vAlign w:val="bottom"/>
            <w:tcBorders>
              <w:bottom w:val="single" w:sz="8" w:color="0000EE"/>
            </w:tcBorders>
            <w:gridSpan w:val="15"/>
          </w:tcPr>
          <w:p>
            <w:pPr>
              <w:spacing w:after="0"/>
              <w:rPr>
                <w:rFonts w:ascii="Arial" w:cs="Arial" w:eastAsia="Arial" w:hAnsi="Arial"/>
                <w:sz w:val="18"/>
                <w:szCs w:val="18"/>
                <w:color w:val="0000EE"/>
                <w:w w:val="90"/>
              </w:rPr>
            </w:pPr>
            <w:hyperlink r:id="rId196">
              <w:r>
                <w:rPr>
                  <w:rFonts w:ascii="Arial" w:cs="Arial" w:eastAsia="Arial" w:hAnsi="Arial"/>
                  <w:sz w:val="18"/>
                  <w:szCs w:val="18"/>
                  <w:color w:val="0000EE"/>
                  <w:w w:val="90"/>
                </w:rPr>
                <w:t>Amended and Restated Agreement relating to Retention and Noncompetition and Other Covenants, dated as of March 9, 2016, by and</w:t>
              </w:r>
            </w:hyperlink>
          </w:p>
        </w:tc>
        <w:tc>
          <w:tcPr>
            <w:tcW w:w="500" w:type="dxa"/>
            <w:vAlign w:val="bottom"/>
            <w:gridSpan w:val="1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9"/>
          </w:tcPr>
          <w:p>
            <w:pPr>
              <w:spacing w:after="0" w:line="196" w:lineRule="exact"/>
              <w:rPr>
                <w:rFonts w:ascii="Arial" w:cs="Arial" w:eastAsia="Arial" w:hAnsi="Arial"/>
                <w:sz w:val="18"/>
                <w:szCs w:val="18"/>
                <w:color w:val="0000EE"/>
                <w:w w:val="92"/>
              </w:rPr>
            </w:pPr>
            <w:hyperlink r:id="rId196">
              <w:r>
                <w:rPr>
                  <w:rFonts w:ascii="Arial" w:cs="Arial" w:eastAsia="Arial" w:hAnsi="Arial"/>
                  <w:sz w:val="18"/>
                  <w:szCs w:val="18"/>
                  <w:color w:val="0000EE"/>
                  <w:w w:val="92"/>
                </w:rPr>
                <w:t>among the Registrant, Lazard Ltd and Alexander F. Stern (incorporated by reference to Exhibit 10.11 to Registrant’s Quarterly Report (File</w:t>
              </w:r>
            </w:hyperlink>
          </w:p>
        </w:tc>
      </w:tr>
      <w:tr>
        <w:trPr>
          <w:trHeight w:val="196"/>
        </w:trPr>
        <w:tc>
          <w:tcPr>
            <w:tcW w:w="126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196">
              <w:r>
                <w:rPr>
                  <w:rFonts w:ascii="Arial" w:cs="Arial" w:eastAsia="Arial" w:hAnsi="Arial"/>
                  <w:sz w:val="18"/>
                  <w:szCs w:val="18"/>
                  <w:color w:val="0000EE"/>
                  <w:w w:val="93"/>
                </w:rPr>
                <w:t>No 333-126751) on Form 10-Q filed on April 27, 2016).</w:t>
              </w:r>
            </w:hyperlink>
          </w:p>
        </w:tc>
        <w:tc>
          <w:tcPr>
            <w:tcW w:w="5900" w:type="dxa"/>
            <w:vAlign w:val="bottom"/>
            <w:tcBorders>
              <w:top w:val="single" w:sz="8" w:color="0000EE"/>
            </w:tcBorders>
            <w:gridSpan w:val="20"/>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345"/>
        </w:trPr>
        <w:tc>
          <w:tcPr>
            <w:tcW w:w="1260" w:type="dxa"/>
            <w:vAlign w:val="bottom"/>
          </w:tcPr>
          <w:p>
            <w:pPr>
              <w:ind w:left="140"/>
              <w:spacing w:after="0"/>
              <w:rPr>
                <w:sz w:val="20"/>
                <w:szCs w:val="20"/>
                <w:color w:val="auto"/>
              </w:rPr>
            </w:pPr>
            <w:r>
              <w:rPr>
                <w:rFonts w:ascii="Arial" w:cs="Arial" w:eastAsia="Arial" w:hAnsi="Arial"/>
                <w:sz w:val="18"/>
                <w:szCs w:val="18"/>
                <w:color w:val="auto"/>
              </w:rPr>
              <w:t>10.13*</w:t>
            </w:r>
          </w:p>
        </w:tc>
        <w:tc>
          <w:tcPr>
            <w:tcW w:w="10180" w:type="dxa"/>
            <w:vAlign w:val="bottom"/>
            <w:gridSpan w:val="29"/>
          </w:tcPr>
          <w:p>
            <w:pPr>
              <w:spacing w:after="0"/>
              <w:rPr>
                <w:rFonts w:ascii="Arial" w:cs="Arial" w:eastAsia="Arial" w:hAnsi="Arial"/>
                <w:sz w:val="18"/>
                <w:szCs w:val="18"/>
                <w:color w:val="0000EE"/>
                <w:w w:val="94"/>
              </w:rPr>
            </w:pPr>
            <w:hyperlink r:id="rId197">
              <w:r>
                <w:rPr>
                  <w:rFonts w:ascii="Arial" w:cs="Arial" w:eastAsia="Arial" w:hAnsi="Arial"/>
                  <w:sz w:val="18"/>
                  <w:szCs w:val="18"/>
                  <w:color w:val="0000EE"/>
                  <w:w w:val="94"/>
                </w:rPr>
                <w:t>Form of Award Letter for Annual Grant of Deferred Stock Units to Non-Executive Directors (incorporated by reference to Exhibit 99.1 to</w:t>
              </w:r>
            </w:hyperlink>
          </w:p>
        </w:tc>
      </w:tr>
      <w:tr>
        <w:trPr>
          <w:trHeight w:val="196"/>
        </w:trPr>
        <w:tc>
          <w:tcPr>
            <w:tcW w:w="1260" w:type="dxa"/>
            <w:vAlign w:val="bottom"/>
          </w:tcPr>
          <w:p>
            <w:pPr>
              <w:spacing w:after="0"/>
              <w:rPr>
                <w:sz w:val="17"/>
                <w:szCs w:val="17"/>
                <w:color w:val="auto"/>
              </w:rPr>
            </w:pPr>
          </w:p>
        </w:tc>
        <w:tc>
          <w:tcPr>
            <w:tcW w:w="67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Lazard Ltd’s Current Report on Form 8-K (File No. 001-32492) filed on September 8, 2005).</w:t>
              </w:r>
            </w:hyperlink>
          </w:p>
        </w:tc>
        <w:tc>
          <w:tcPr>
            <w:tcW w:w="3200" w:type="dxa"/>
            <w:vAlign w:val="bottom"/>
            <w:tcBorders>
              <w:top w:val="single" w:sz="8" w:color="0000EE"/>
            </w:tcBorders>
            <w:gridSpan w:val="13"/>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412"/>
        </w:trPr>
        <w:tc>
          <w:tcPr>
            <w:tcW w:w="1260" w:type="dxa"/>
            <w:vAlign w:val="bottom"/>
          </w:tcPr>
          <w:p>
            <w:pPr>
              <w:ind w:left="140"/>
              <w:spacing w:after="0"/>
              <w:rPr>
                <w:sz w:val="20"/>
                <w:szCs w:val="20"/>
                <w:color w:val="auto"/>
              </w:rPr>
            </w:pPr>
            <w:r>
              <w:rPr>
                <w:rFonts w:ascii="Arial" w:cs="Arial" w:eastAsia="Arial" w:hAnsi="Arial"/>
                <w:sz w:val="18"/>
                <w:szCs w:val="18"/>
                <w:color w:val="auto"/>
              </w:rPr>
              <w:t>10.14*</w:t>
            </w:r>
          </w:p>
        </w:tc>
        <w:tc>
          <w:tcPr>
            <w:tcW w:w="9540" w:type="dxa"/>
            <w:vAlign w:val="bottom"/>
            <w:tcBorders>
              <w:bottom w:val="single" w:sz="8" w:color="0000EE"/>
            </w:tcBorders>
            <w:gridSpan w:val="12"/>
          </w:tcPr>
          <w:p>
            <w:pPr>
              <w:spacing w:after="0"/>
              <w:rPr>
                <w:rFonts w:ascii="Arial" w:cs="Arial" w:eastAsia="Arial" w:hAnsi="Arial"/>
                <w:sz w:val="18"/>
                <w:szCs w:val="18"/>
                <w:color w:val="0000EE"/>
                <w:w w:val="91"/>
              </w:rPr>
            </w:pPr>
            <w:hyperlink r:id="rId198">
              <w:r>
                <w:rPr>
                  <w:rFonts w:ascii="Arial" w:cs="Arial" w:eastAsia="Arial" w:hAnsi="Arial"/>
                  <w:sz w:val="18"/>
                  <w:szCs w:val="18"/>
                  <w:color w:val="0000EE"/>
                  <w:w w:val="91"/>
                </w:rPr>
                <w:t>Form of Agreement evidencing a grant of Restricted Stock Units to Executive Officers under the 2008 Incentive Compensation Plan</w:t>
              </w:r>
            </w:hyperlink>
          </w:p>
        </w:tc>
        <w:tc>
          <w:tcPr>
            <w:tcW w:w="640" w:type="dxa"/>
            <w:vAlign w:val="bottom"/>
            <w:gridSpan w:val="1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84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98">
              <w:r>
                <w:rPr>
                  <w:rFonts w:ascii="Arial" w:cs="Arial" w:eastAsia="Arial" w:hAnsi="Arial"/>
                  <w:sz w:val="18"/>
                  <w:szCs w:val="18"/>
                  <w:color w:val="0000EE"/>
                  <w:w w:val="92"/>
                </w:rPr>
                <w:t>(incorporated by reference to Exhibit 10.41 to Lazard Ltd’s Annual Report (File No. 001-32492) on Form 10-K filed on March 2, 2009).</w:t>
              </w:r>
            </w:hyperlink>
          </w:p>
        </w:tc>
        <w:tc>
          <w:tcPr>
            <w:tcW w:w="340" w:type="dxa"/>
            <w:vAlign w:val="bottom"/>
            <w:gridSpan w:val="11"/>
          </w:tcPr>
          <w:p>
            <w:pPr>
              <w:spacing w:after="0"/>
              <w:rPr>
                <w:sz w:val="17"/>
                <w:szCs w:val="17"/>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10.15*</w:t>
            </w:r>
          </w:p>
        </w:tc>
        <w:tc>
          <w:tcPr>
            <w:tcW w:w="10180" w:type="dxa"/>
            <w:vAlign w:val="bottom"/>
            <w:gridSpan w:val="29"/>
          </w:tcPr>
          <w:p>
            <w:pPr>
              <w:spacing w:after="0"/>
              <w:rPr>
                <w:rFonts w:ascii="Arial" w:cs="Arial" w:eastAsia="Arial" w:hAnsi="Arial"/>
                <w:sz w:val="18"/>
                <w:szCs w:val="18"/>
                <w:color w:val="0000EE"/>
                <w:w w:val="92"/>
              </w:rPr>
            </w:pPr>
            <w:hyperlink r:id="rId199">
              <w:r>
                <w:rPr>
                  <w:rFonts w:ascii="Arial" w:cs="Arial" w:eastAsia="Arial" w:hAnsi="Arial"/>
                  <w:sz w:val="18"/>
                  <w:szCs w:val="18"/>
                  <w:color w:val="0000EE"/>
                  <w:w w:val="92"/>
                </w:rPr>
                <w:t>Form of Agreement evidencing a grant of Deferred Cash Award to Executive Officers (incorporated by reference to Exhibit 10.42 to Lazard</w:t>
              </w:r>
            </w:hyperlink>
          </w:p>
        </w:tc>
      </w:tr>
      <w:tr>
        <w:trPr>
          <w:trHeight w:val="196"/>
        </w:trPr>
        <w:tc>
          <w:tcPr>
            <w:tcW w:w="1260" w:type="dxa"/>
            <w:vAlign w:val="bottom"/>
          </w:tcPr>
          <w:p>
            <w:pPr>
              <w:spacing w:after="0"/>
              <w:rPr>
                <w:sz w:val="17"/>
                <w:szCs w:val="17"/>
                <w:color w:val="auto"/>
              </w:rPr>
            </w:pPr>
          </w:p>
        </w:tc>
        <w:tc>
          <w:tcPr>
            <w:tcW w:w="100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Ltd’s Annual Report (File No. 001-32492) on Form 10-K filed on March 2, 2009).</w:t>
              </w:r>
            </w:hyperlink>
          </w:p>
        </w:tc>
        <w:tc>
          <w:tcPr>
            <w:tcW w:w="100" w:type="dxa"/>
            <w:vAlign w:val="bottom"/>
            <w:gridSpan w:val="3"/>
          </w:tcPr>
          <w:p>
            <w:pPr>
              <w:spacing w:after="0"/>
              <w:rPr>
                <w:sz w:val="17"/>
                <w:szCs w:val="17"/>
                <w:color w:val="auto"/>
              </w:rPr>
            </w:pPr>
          </w:p>
        </w:tc>
      </w:tr>
      <w:tr>
        <w:trPr>
          <w:trHeight w:val="574"/>
        </w:trPr>
        <w:tc>
          <w:tcPr>
            <w:tcW w:w="1260" w:type="dxa"/>
            <w:vAlign w:val="bottom"/>
          </w:tcPr>
          <w:p>
            <w:pPr>
              <w:spacing w:after="0"/>
              <w:rPr>
                <w:sz w:val="24"/>
                <w:szCs w:val="24"/>
                <w:color w:val="auto"/>
              </w:rPr>
            </w:pPr>
          </w:p>
        </w:tc>
        <w:tc>
          <w:tcPr>
            <w:tcW w:w="5940" w:type="dxa"/>
            <w:vAlign w:val="bottom"/>
            <w:tcBorders>
              <w:top w:val="single" w:sz="8" w:color="0000EE"/>
            </w:tcBorders>
            <w:gridSpan w:val="7"/>
          </w:tcPr>
          <w:p>
            <w:pPr>
              <w:ind w:left="4320"/>
              <w:spacing w:after="0"/>
              <w:rPr>
                <w:sz w:val="20"/>
                <w:szCs w:val="20"/>
                <w:color w:val="auto"/>
              </w:rPr>
            </w:pPr>
            <w:r>
              <w:rPr>
                <w:rFonts w:ascii="Arial" w:cs="Arial" w:eastAsia="Arial" w:hAnsi="Arial"/>
                <w:sz w:val="18"/>
                <w:szCs w:val="18"/>
                <w:color w:val="auto"/>
              </w:rPr>
              <w:t>128</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6" w:right="21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1260" w:type="dxa"/>
            <w:vAlign w:val="bottom"/>
          </w:tcPr>
          <w:p>
            <w:pPr>
              <w:ind w:left="140"/>
              <w:spacing w:after="0"/>
              <w:rPr>
                <w:sz w:val="20"/>
                <w:szCs w:val="20"/>
                <w:color w:val="auto"/>
              </w:rPr>
            </w:pPr>
            <w:r>
              <w:rPr>
                <w:rFonts w:ascii="Arial" w:cs="Arial" w:eastAsia="Arial" w:hAnsi="Arial"/>
                <w:sz w:val="18"/>
                <w:szCs w:val="18"/>
                <w:color w:val="auto"/>
              </w:rPr>
              <w:t>10.16*</w:t>
            </w:r>
          </w:p>
        </w:tc>
        <w:tc>
          <w:tcPr>
            <w:tcW w:w="9760" w:type="dxa"/>
            <w:vAlign w:val="bottom"/>
            <w:tcBorders>
              <w:bottom w:val="single" w:sz="8" w:color="0000EE"/>
            </w:tcBorders>
            <w:gridSpan w:val="15"/>
          </w:tcPr>
          <w:p>
            <w:pPr>
              <w:spacing w:after="0"/>
              <w:rPr>
                <w:rFonts w:ascii="Arial" w:cs="Arial" w:eastAsia="Arial" w:hAnsi="Arial"/>
                <w:sz w:val="18"/>
                <w:szCs w:val="18"/>
                <w:color w:val="0000EE"/>
                <w:w w:val="92"/>
              </w:rPr>
            </w:pPr>
            <w:hyperlink r:id="rId202">
              <w:r>
                <w:rPr>
                  <w:rFonts w:ascii="Arial" w:cs="Arial" w:eastAsia="Arial" w:hAnsi="Arial"/>
                  <w:sz w:val="18"/>
                  <w:szCs w:val="18"/>
                  <w:color w:val="0000EE"/>
                  <w:w w:val="92"/>
                </w:rPr>
                <w:t>Directors’ Fee Deferral Unit Plan (incorporated by reference to Exhibit 10.39 to Lazard Ltd’s Quarterly Report (File No.001-32492) on</w:t>
              </w:r>
            </w:hyperlink>
          </w:p>
        </w:tc>
        <w:tc>
          <w:tcPr>
            <w:tcW w:w="40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5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202">
              <w:r>
                <w:rPr>
                  <w:rFonts w:ascii="Arial" w:cs="Arial" w:eastAsia="Arial" w:hAnsi="Arial"/>
                  <w:sz w:val="18"/>
                  <w:szCs w:val="18"/>
                  <w:color w:val="0000EE"/>
                  <w:w w:val="92"/>
                </w:rPr>
                <w:t>Form 10-Q filed on May 11, 2006).</w:t>
              </w:r>
            </w:hyperlink>
          </w:p>
        </w:tc>
        <w:tc>
          <w:tcPr>
            <w:tcW w:w="7600" w:type="dxa"/>
            <w:vAlign w:val="bottom"/>
            <w:gridSpan w:val="20"/>
          </w:tcPr>
          <w:p>
            <w:pPr>
              <w:spacing w:after="0"/>
              <w:rPr>
                <w:sz w:val="17"/>
                <w:szCs w:val="17"/>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10.17*</w:t>
            </w:r>
          </w:p>
        </w:tc>
        <w:tc>
          <w:tcPr>
            <w:tcW w:w="10160" w:type="dxa"/>
            <w:vAlign w:val="bottom"/>
            <w:gridSpan w:val="22"/>
          </w:tcPr>
          <w:p>
            <w:pPr>
              <w:spacing w:after="0"/>
              <w:rPr>
                <w:rFonts w:ascii="Arial" w:cs="Arial" w:eastAsia="Arial" w:hAnsi="Arial"/>
                <w:sz w:val="18"/>
                <w:szCs w:val="18"/>
                <w:color w:val="0000EE"/>
                <w:w w:val="94"/>
              </w:rPr>
            </w:pPr>
            <w:hyperlink r:id="rId203">
              <w:r>
                <w:rPr>
                  <w:rFonts w:ascii="Arial" w:cs="Arial" w:eastAsia="Arial" w:hAnsi="Arial"/>
                  <w:sz w:val="18"/>
                  <w:szCs w:val="18"/>
                  <w:color w:val="0000EE"/>
                  <w:w w:val="94"/>
                </w:rPr>
                <w:t>Amended and Restated Credit Agreement, dated as of September 25, 2015, among the Registrant, the Banks from time to time parties</w:t>
              </w:r>
            </w:hyperlink>
          </w:p>
        </w:tc>
      </w:tr>
      <w:tr>
        <w:trPr>
          <w:trHeight w:val="20"/>
        </w:trPr>
        <w:tc>
          <w:tcPr>
            <w:tcW w:w="126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22"/>
          </w:tcPr>
          <w:p>
            <w:pPr>
              <w:spacing w:after="0" w:line="196" w:lineRule="exact"/>
              <w:rPr>
                <w:rFonts w:ascii="Arial" w:cs="Arial" w:eastAsia="Arial" w:hAnsi="Arial"/>
                <w:sz w:val="18"/>
                <w:szCs w:val="18"/>
                <w:color w:val="0000EE"/>
                <w:w w:val="93"/>
              </w:rPr>
            </w:pPr>
            <w:hyperlink r:id="rId203">
              <w:r>
                <w:rPr>
                  <w:rFonts w:ascii="Arial" w:cs="Arial" w:eastAsia="Arial" w:hAnsi="Arial"/>
                  <w:sz w:val="18"/>
                  <w:szCs w:val="18"/>
                  <w:color w:val="0000EE"/>
                  <w:w w:val="93"/>
                </w:rPr>
                <w:t>thereto, and Citibank, N.A., as Administrative Agent (incorporated by reference to Exhibit 10.25 to the Registrant’s Quarterly Report (File</w:t>
              </w:r>
            </w:hyperlink>
          </w:p>
        </w:tc>
      </w:tr>
      <w:tr>
        <w:trPr>
          <w:trHeight w:val="196"/>
        </w:trPr>
        <w:tc>
          <w:tcPr>
            <w:tcW w:w="1260" w:type="dxa"/>
            <w:vAlign w:val="bottom"/>
          </w:tcPr>
          <w:p>
            <w:pPr>
              <w:spacing w:after="0"/>
              <w:rPr>
                <w:sz w:val="17"/>
                <w:szCs w:val="17"/>
                <w:color w:val="auto"/>
              </w:rPr>
            </w:pPr>
          </w:p>
        </w:tc>
        <w:tc>
          <w:tcPr>
            <w:tcW w:w="99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No. 333-126751) on Form 10-Q filed on October 28, 2015).</w:t>
              </w:r>
            </w:hyperlink>
          </w:p>
        </w:tc>
        <w:tc>
          <w:tcPr>
            <w:tcW w:w="18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10.18</w:t>
            </w:r>
          </w:p>
        </w:tc>
        <w:tc>
          <w:tcPr>
            <w:tcW w:w="10120" w:type="dxa"/>
            <w:vAlign w:val="bottom"/>
            <w:tcBorders>
              <w:bottom w:val="single" w:sz="8" w:color="0000EE"/>
            </w:tcBorders>
            <w:gridSpan w:val="21"/>
          </w:tcPr>
          <w:p>
            <w:pPr>
              <w:spacing w:after="0"/>
              <w:rPr>
                <w:rFonts w:ascii="Arial" w:cs="Arial" w:eastAsia="Arial" w:hAnsi="Arial"/>
                <w:sz w:val="18"/>
                <w:szCs w:val="18"/>
                <w:color w:val="0000EE"/>
                <w:w w:val="91"/>
              </w:rPr>
            </w:pPr>
            <w:hyperlink r:id="rId204">
              <w:r>
                <w:rPr>
                  <w:rFonts w:ascii="Arial" w:cs="Arial" w:eastAsia="Arial" w:hAnsi="Arial"/>
                  <w:sz w:val="18"/>
                  <w:szCs w:val="18"/>
                  <w:color w:val="0000EE"/>
                  <w:w w:val="91"/>
                </w:rPr>
                <w:t>Form of Agreement evidencing a grant of Lazard Fund Interests to Named Executive Officers (incorporated by reference to Exhibit 10.54 to</w:t>
              </w:r>
            </w:hyperlink>
          </w:p>
        </w:tc>
        <w:tc>
          <w:tcPr>
            <w:tcW w:w="4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22"/>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the Registrant’s Quarterly Report (File No. 333-126751) on Form 10-Q filed on May 1, 2013).</w:t>
              </w:r>
            </w:hyperlink>
          </w:p>
        </w:tc>
      </w:tr>
      <w:tr>
        <w:trPr>
          <w:trHeight w:val="20"/>
        </w:trPr>
        <w:tc>
          <w:tcPr>
            <w:tcW w:w="126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10.19*</w:t>
            </w:r>
          </w:p>
        </w:tc>
        <w:tc>
          <w:tcPr>
            <w:tcW w:w="10020" w:type="dxa"/>
            <w:vAlign w:val="bottom"/>
            <w:tcBorders>
              <w:bottom w:val="single" w:sz="8" w:color="0000EE"/>
            </w:tcBorders>
            <w:gridSpan w:val="20"/>
          </w:tcPr>
          <w:p>
            <w:pPr>
              <w:spacing w:after="0"/>
              <w:rPr>
                <w:rFonts w:ascii="Arial" w:cs="Arial" w:eastAsia="Arial" w:hAnsi="Arial"/>
                <w:sz w:val="18"/>
                <w:szCs w:val="18"/>
                <w:color w:val="0000EE"/>
                <w:w w:val="90"/>
              </w:rPr>
            </w:pPr>
            <w:hyperlink r:id="rId205">
              <w:r>
                <w:rPr>
                  <w:rFonts w:ascii="Arial" w:cs="Arial" w:eastAsia="Arial" w:hAnsi="Arial"/>
                  <w:sz w:val="18"/>
                  <w:szCs w:val="18"/>
                  <w:color w:val="0000EE"/>
                  <w:w w:val="90"/>
                </w:rPr>
                <w:t>Form of Agreement evidencing a February 20, 2014 grant of Performance-Based Stock Units under the 2008 Incentive Compensation Plan</w:t>
              </w:r>
            </w:hyperlink>
          </w:p>
        </w:tc>
        <w:tc>
          <w:tcPr>
            <w:tcW w:w="14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(incorporated by reference to Exhibit 10.54 to the Registrant’s Quarterly Report (File No. 333-126751) on Form 10-Q filed on May 6, 2014).</w:t>
              </w:r>
            </w:hyperlink>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10.20*</w:t>
            </w:r>
          </w:p>
        </w:tc>
        <w:tc>
          <w:tcPr>
            <w:tcW w:w="9800" w:type="dxa"/>
            <w:vAlign w:val="bottom"/>
            <w:tcBorders>
              <w:bottom w:val="single" w:sz="8" w:color="0000EE"/>
            </w:tcBorders>
            <w:gridSpan w:val="16"/>
          </w:tcPr>
          <w:p>
            <w:pPr>
              <w:spacing w:after="0"/>
              <w:rPr>
                <w:rFonts w:ascii="Arial" w:cs="Arial" w:eastAsia="Arial" w:hAnsi="Arial"/>
                <w:sz w:val="18"/>
                <w:szCs w:val="18"/>
                <w:color w:val="0000EE"/>
                <w:w w:val="89"/>
              </w:rPr>
            </w:pPr>
            <w:hyperlink r:id="rId206">
              <w:r>
                <w:rPr>
                  <w:rFonts w:ascii="Arial" w:cs="Arial" w:eastAsia="Arial" w:hAnsi="Arial"/>
                  <w:sz w:val="18"/>
                  <w:szCs w:val="18"/>
                  <w:color w:val="0000EE"/>
                  <w:w w:val="89"/>
                </w:rPr>
                <w:t>Agreement between Lazard Ltd and Kenneth M. Jacobs, dated as of February 20, 2014, evidencing a grant of Performance-Based Stock</w:t>
              </w:r>
            </w:hyperlink>
          </w:p>
        </w:tc>
        <w:tc>
          <w:tcPr>
            <w:tcW w:w="36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8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Units under the 2008 Incentive Compensation Plan (incorporated by reference to Exhibit 10.55 to the Registrant’s Quarterly Report (File</w:t>
              </w:r>
            </w:hyperlink>
          </w:p>
        </w:tc>
        <w:tc>
          <w:tcPr>
            <w:tcW w:w="30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22"/>
          </w:tcPr>
          <w:p>
            <w:pPr>
              <w:spacing w:after="0" w:line="196" w:lineRule="exact"/>
              <w:rPr>
                <w:rFonts w:ascii="Arial" w:cs="Arial" w:eastAsia="Arial" w:hAnsi="Arial"/>
                <w:sz w:val="18"/>
                <w:szCs w:val="18"/>
                <w:color w:val="0000EE"/>
              </w:rPr>
            </w:pPr>
            <w:hyperlink r:id="rId206">
              <w:r>
                <w:rPr>
                  <w:rFonts w:ascii="Arial" w:cs="Arial" w:eastAsia="Arial" w:hAnsi="Arial"/>
                  <w:sz w:val="18"/>
                  <w:szCs w:val="18"/>
                  <w:color w:val="0000EE"/>
                </w:rPr>
                <w:t>No. 333-126751) on Form 10-Q filed on May 6, 2014).</w:t>
              </w:r>
            </w:hyperlink>
          </w:p>
        </w:tc>
      </w:tr>
      <w:tr>
        <w:trPr>
          <w:trHeight w:val="20"/>
        </w:trPr>
        <w:tc>
          <w:tcPr>
            <w:tcW w:w="126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10.21*</w:t>
            </w:r>
          </w:p>
        </w:tc>
        <w:tc>
          <w:tcPr>
            <w:tcW w:w="10160" w:type="dxa"/>
            <w:vAlign w:val="bottom"/>
            <w:gridSpan w:val="22"/>
          </w:tcPr>
          <w:p>
            <w:pPr>
              <w:spacing w:after="0"/>
              <w:rPr>
                <w:rFonts w:ascii="Arial" w:cs="Arial" w:eastAsia="Arial" w:hAnsi="Arial"/>
                <w:sz w:val="18"/>
                <w:szCs w:val="18"/>
                <w:color w:val="0000EE"/>
                <w:w w:val="95"/>
              </w:rPr>
            </w:pPr>
            <w:hyperlink r:id="rId207">
              <w:r>
                <w:rPr>
                  <w:rFonts w:ascii="Arial" w:cs="Arial" w:eastAsia="Arial" w:hAnsi="Arial"/>
                  <w:sz w:val="18"/>
                  <w:szCs w:val="18"/>
                  <w:color w:val="0000EE"/>
                  <w:w w:val="95"/>
                </w:rPr>
                <w:t>Form of Agreement evidencing a grant of Restricted Stock under the 2008 Incentive Compensation Plan (incorporated by reference to</w:t>
              </w:r>
            </w:hyperlink>
          </w:p>
        </w:tc>
      </w:tr>
      <w:tr>
        <w:trPr>
          <w:trHeight w:val="196"/>
        </w:trPr>
        <w:tc>
          <w:tcPr>
            <w:tcW w:w="1260" w:type="dxa"/>
            <w:vAlign w:val="bottom"/>
          </w:tcPr>
          <w:p>
            <w:pPr>
              <w:spacing w:after="0"/>
              <w:rPr>
                <w:sz w:val="17"/>
                <w:szCs w:val="17"/>
                <w:color w:val="auto"/>
              </w:rPr>
            </w:pPr>
          </w:p>
        </w:tc>
        <w:tc>
          <w:tcPr>
            <w:tcW w:w="81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207">
              <w:r>
                <w:rPr>
                  <w:rFonts w:ascii="Arial" w:cs="Arial" w:eastAsia="Arial" w:hAnsi="Arial"/>
                  <w:sz w:val="18"/>
                  <w:szCs w:val="18"/>
                  <w:color w:val="0000EE"/>
                  <w:w w:val="92"/>
                </w:rPr>
                <w:t>Exhibit 10.54 to the Registrant’s Quarterly Report (File No. 333-126751) on Form 10-Q filed on April 30, 2010).</w:t>
              </w:r>
            </w:hyperlink>
          </w:p>
        </w:tc>
        <w:tc>
          <w:tcPr>
            <w:tcW w:w="1500" w:type="dxa"/>
            <w:vAlign w:val="bottom"/>
            <w:tcBorders>
              <w:top w:val="single" w:sz="8" w:color="0000EE"/>
            </w:tcBorders>
            <w:gridSpan w:val="2"/>
          </w:tcPr>
          <w:p>
            <w:pPr>
              <w:spacing w:after="0"/>
              <w:rPr>
                <w:sz w:val="17"/>
                <w:szCs w:val="17"/>
                <w:color w:val="auto"/>
              </w:rPr>
            </w:pPr>
          </w:p>
        </w:tc>
        <w:tc>
          <w:tcPr>
            <w:tcW w:w="500" w:type="dxa"/>
            <w:vAlign w:val="bottom"/>
            <w:gridSpan w:val="8"/>
          </w:tcPr>
          <w:p>
            <w:pPr>
              <w:spacing w:after="0"/>
              <w:rPr>
                <w:sz w:val="17"/>
                <w:szCs w:val="17"/>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10.22*</w:t>
            </w:r>
          </w:p>
        </w:tc>
        <w:tc>
          <w:tcPr>
            <w:tcW w:w="9880" w:type="dxa"/>
            <w:vAlign w:val="bottom"/>
            <w:tcBorders>
              <w:bottom w:val="single" w:sz="8" w:color="0000EE"/>
            </w:tcBorders>
            <w:gridSpan w:val="18"/>
          </w:tcPr>
          <w:p>
            <w:pPr>
              <w:spacing w:after="0"/>
              <w:rPr>
                <w:rFonts w:ascii="Arial" w:cs="Arial" w:eastAsia="Arial" w:hAnsi="Arial"/>
                <w:sz w:val="18"/>
                <w:szCs w:val="18"/>
                <w:color w:val="0000EE"/>
                <w:w w:val="91"/>
              </w:rPr>
            </w:pPr>
            <w:hyperlink r:id="rId208">
              <w:r>
                <w:rPr>
                  <w:rFonts w:ascii="Arial" w:cs="Arial" w:eastAsia="Arial" w:hAnsi="Arial"/>
                  <w:sz w:val="18"/>
                  <w:szCs w:val="18"/>
                  <w:color w:val="0000EE"/>
                  <w:w w:val="91"/>
                </w:rPr>
                <w:t>Form of Agreement evidencing a grant of Lazard Fund Interests (incorporated by reference to Exhibit 10.54 to the Registrant’s Quarterly</w:t>
              </w:r>
            </w:hyperlink>
          </w:p>
        </w:tc>
        <w:tc>
          <w:tcPr>
            <w:tcW w:w="28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0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208">
              <w:r>
                <w:rPr>
                  <w:rFonts w:ascii="Arial" w:cs="Arial" w:eastAsia="Arial" w:hAnsi="Arial"/>
                  <w:sz w:val="18"/>
                  <w:szCs w:val="18"/>
                  <w:color w:val="0000EE"/>
                  <w:w w:val="92"/>
                </w:rPr>
                <w:t>Report (File No. 333-126751) on Form 10-Q filed on April 29, 2011).</w:t>
              </w:r>
            </w:hyperlink>
          </w:p>
        </w:tc>
        <w:tc>
          <w:tcPr>
            <w:tcW w:w="5120" w:type="dxa"/>
            <w:vAlign w:val="bottom"/>
            <w:gridSpan w:val="12"/>
          </w:tcPr>
          <w:p>
            <w:pPr>
              <w:spacing w:after="0"/>
              <w:rPr>
                <w:sz w:val="17"/>
                <w:szCs w:val="17"/>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21.1</w:t>
            </w:r>
          </w:p>
        </w:tc>
        <w:tc>
          <w:tcPr>
            <w:tcW w:w="2180" w:type="dxa"/>
            <w:vAlign w:val="bottom"/>
            <w:tcBorders>
              <w:bottom w:val="single" w:sz="8" w:color="0000EE"/>
            </w:tcBorders>
          </w:tcPr>
          <w:p>
            <w:pPr>
              <w:spacing w:after="0"/>
              <w:rPr>
                <w:rFonts w:ascii="Arial" w:cs="Arial" w:eastAsia="Arial" w:hAnsi="Arial"/>
                <w:sz w:val="18"/>
                <w:szCs w:val="18"/>
                <w:color w:val="0000EE"/>
                <w:w w:val="89"/>
              </w:rPr>
            </w:pPr>
            <w:hyperlink w:anchor="page139">
              <w:r>
                <w:rPr>
                  <w:rFonts w:ascii="Arial" w:cs="Arial" w:eastAsia="Arial" w:hAnsi="Arial"/>
                  <w:sz w:val="18"/>
                  <w:szCs w:val="18"/>
                  <w:color w:val="0000EE"/>
                  <w:w w:val="89"/>
                </w:rPr>
                <w:t>Subsidiaries of the Registrant.</w:t>
              </w:r>
            </w:hyperlink>
          </w:p>
        </w:tc>
        <w:tc>
          <w:tcPr>
            <w:tcW w:w="7980" w:type="dxa"/>
            <w:vAlign w:val="bottom"/>
            <w:gridSpan w:val="21"/>
          </w:tcPr>
          <w:p>
            <w:pPr>
              <w:spacing w:after="0"/>
              <w:rPr>
                <w:sz w:val="24"/>
                <w:szCs w:val="24"/>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23.1</w:t>
            </w:r>
          </w:p>
        </w:tc>
        <w:tc>
          <w:tcPr>
            <w:tcW w:w="10160" w:type="dxa"/>
            <w:vAlign w:val="bottom"/>
            <w:gridSpan w:val="22"/>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Consent of Independent Registered Public Accounting Firm.</w:t>
              </w:r>
            </w:hyperlink>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31.1</w:t>
            </w:r>
          </w:p>
        </w:tc>
        <w:tc>
          <w:tcPr>
            <w:tcW w:w="3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141">
              <w:r>
                <w:rPr>
                  <w:rFonts w:ascii="Arial" w:cs="Arial" w:eastAsia="Arial" w:hAnsi="Arial"/>
                  <w:sz w:val="18"/>
                  <w:szCs w:val="18"/>
                  <w:color w:val="0000EE"/>
                  <w:w w:val="91"/>
                </w:rPr>
                <w:t>Rule 13a-14(a) Certification of Kenneth M. Jacobs.</w:t>
              </w:r>
            </w:hyperlink>
          </w:p>
        </w:tc>
        <w:tc>
          <w:tcPr>
            <w:tcW w:w="640" w:type="dxa"/>
            <w:vAlign w:val="bottom"/>
            <w:tcBorders>
              <w:top w:val="single" w:sz="8" w:color="0000EE"/>
            </w:tcBorders>
            <w:gridSpan w:val="3"/>
          </w:tcPr>
          <w:p>
            <w:pPr>
              <w:spacing w:after="0"/>
              <w:rPr>
                <w:sz w:val="24"/>
                <w:szCs w:val="24"/>
                <w:color w:val="auto"/>
              </w:rPr>
            </w:pPr>
          </w:p>
        </w:tc>
        <w:tc>
          <w:tcPr>
            <w:tcW w:w="5800" w:type="dxa"/>
            <w:vAlign w:val="bottom"/>
            <w:gridSpan w:val="13"/>
          </w:tcPr>
          <w:p>
            <w:pPr>
              <w:spacing w:after="0"/>
              <w:rPr>
                <w:sz w:val="24"/>
                <w:szCs w:val="24"/>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31.2</w:t>
            </w:r>
          </w:p>
        </w:tc>
        <w:tc>
          <w:tcPr>
            <w:tcW w:w="10160" w:type="dxa"/>
            <w:vAlign w:val="bottom"/>
            <w:gridSpan w:val="22"/>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Rule 13a-14(a) Certification of Evan L. Russo.</w:t>
              </w:r>
            </w:hyperlink>
          </w:p>
        </w:tc>
      </w:tr>
      <w:tr>
        <w:trPr>
          <w:trHeight w:val="20"/>
        </w:trPr>
        <w:tc>
          <w:tcPr>
            <w:tcW w:w="126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520" w:type="dxa"/>
            <w:vAlign w:val="bottom"/>
            <w:gridSpan w:val="17"/>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32.1</w:t>
            </w:r>
          </w:p>
        </w:tc>
        <w:tc>
          <w:tcPr>
            <w:tcW w:w="36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43">
              <w:r>
                <w:rPr>
                  <w:rFonts w:ascii="Arial" w:cs="Arial" w:eastAsia="Arial" w:hAnsi="Arial"/>
                  <w:sz w:val="18"/>
                  <w:szCs w:val="18"/>
                  <w:color w:val="0000EE"/>
                  <w:w w:val="91"/>
                </w:rPr>
                <w:t>Section 1350 Certification for Kenneth M. Jacobs.</w:t>
              </w:r>
            </w:hyperlink>
          </w:p>
        </w:tc>
        <w:tc>
          <w:tcPr>
            <w:tcW w:w="6520" w:type="dxa"/>
            <w:vAlign w:val="bottom"/>
            <w:gridSpan w:val="17"/>
          </w:tcPr>
          <w:p>
            <w:pPr>
              <w:spacing w:after="0"/>
              <w:rPr>
                <w:sz w:val="24"/>
                <w:szCs w:val="24"/>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32.2</w:t>
            </w:r>
          </w:p>
        </w:tc>
        <w:tc>
          <w:tcPr>
            <w:tcW w:w="10160" w:type="dxa"/>
            <w:vAlign w:val="bottom"/>
            <w:gridSpan w:val="22"/>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Section 1350 Certification for Evan L. Russo.</w:t>
              </w:r>
            </w:hyperlink>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33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6860" w:type="dxa"/>
            <w:vAlign w:val="bottom"/>
            <w:gridSpan w:val="19"/>
          </w:tcPr>
          <w:p>
            <w:pPr>
              <w:spacing w:after="0"/>
              <w:rPr>
                <w:sz w:val="24"/>
                <w:szCs w:val="24"/>
                <w:color w:val="auto"/>
              </w:rPr>
            </w:pP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22"/>
          </w:tcPr>
          <w:p>
            <w:pPr>
              <w:spacing w:after="0"/>
              <w:rPr>
                <w:sz w:val="20"/>
                <w:szCs w:val="20"/>
                <w:color w:val="auto"/>
              </w:rPr>
            </w:pPr>
            <w:r>
              <w:rPr>
                <w:rFonts w:ascii="Arial" w:cs="Arial" w:eastAsia="Arial" w:hAnsi="Arial"/>
                <w:sz w:val="18"/>
                <w:szCs w:val="18"/>
                <w:color w:val="auto"/>
              </w:rPr>
              <w:t>XBRL Taxonomy Extension Schema</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22"/>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22"/>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22"/>
          </w:tcPr>
          <w:p>
            <w:pPr>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22"/>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1150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74" w:lineRule="exact"/>
        <w:rPr>
          <w:sz w:val="20"/>
          <w:szCs w:val="20"/>
          <w:color w:val="auto"/>
        </w:rPr>
      </w:pPr>
    </w:p>
    <w:p>
      <w:pPr>
        <w:ind w:left="600" w:hanging="592"/>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ITEMS 15(a)(1) AND 15(a)(2)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4920" w:type="dxa"/>
            <w:vAlign w:val="bottom"/>
            <w:gridSpan w:val="11"/>
            <w:vMerge w:val="restart"/>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Management’s Report on Internal Control Over Financial Reporting</w:t>
              </w:r>
            </w:hyperlink>
          </w:p>
        </w:tc>
        <w:tc>
          <w:tcPr>
            <w:tcW w:w="5600" w:type="dxa"/>
            <w:vAlign w:val="bottom"/>
            <w:gridSpan w:val="10"/>
            <w:vMerge w:val="restart"/>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4920" w:type="dxa"/>
            <w:vAlign w:val="bottom"/>
            <w:tcBorders>
              <w:bottom w:val="single" w:sz="8" w:color="0000EE"/>
            </w:tcBorders>
            <w:gridSpan w:val="11"/>
            <w:vMerge w:val="continue"/>
          </w:tcPr>
          <w:p>
            <w:pPr>
              <w:spacing w:after="0"/>
              <w:rPr>
                <w:sz w:val="13"/>
                <w:szCs w:val="13"/>
                <w:color w:val="auto"/>
              </w:rPr>
            </w:pPr>
          </w:p>
        </w:tc>
        <w:tc>
          <w:tcPr>
            <w:tcW w:w="5600" w:type="dxa"/>
            <w:vAlign w:val="bottom"/>
            <w:gridSpan w:val="10"/>
            <w:vMerge w:val="continue"/>
          </w:tcPr>
          <w:p>
            <w:pPr>
              <w:spacing w:after="0"/>
              <w:rPr>
                <w:sz w:val="13"/>
                <w:szCs w:val="13"/>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3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Reports of Independent Registered Public Accounting Firm</w:t>
              </w:r>
            </w:hyperlink>
          </w:p>
        </w:tc>
        <w:tc>
          <w:tcPr>
            <w:tcW w:w="6220" w:type="dxa"/>
            <w:vAlign w:val="bottom"/>
            <w:gridSpan w:val="11"/>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58"/>
        </w:trPr>
        <w:tc>
          <w:tcPr>
            <w:tcW w:w="10520" w:type="dxa"/>
            <w:vAlign w:val="bottom"/>
            <w:gridSpan w:val="21"/>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52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Statements of Financial Condition as of December 31, 2018 and 2017</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20" w:type="dxa"/>
            <w:vAlign w:val="bottom"/>
            <w:gridSpan w:val="2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Operations for the years ended December 31, 2018, 2017 and 2016</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18"/>
        </w:trPr>
        <w:tc>
          <w:tcPr>
            <w:tcW w:w="67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Consolidated Statements of Comprehensive Income for the years ended December 31, 2018,</w:t>
              </w:r>
            </w:hyperlink>
          </w:p>
        </w:tc>
        <w:tc>
          <w:tcPr>
            <w:tcW w:w="140" w:type="dxa"/>
            <w:vAlign w:val="bottom"/>
            <w:tcBorders>
              <w:top w:val="single" w:sz="8" w:color="0000EE"/>
            </w:tcBorders>
          </w:tcPr>
          <w:p>
            <w:pPr>
              <w:spacing w:after="0"/>
              <w:rPr>
                <w:sz w:val="24"/>
                <w:szCs w:val="24"/>
                <w:color w:val="auto"/>
              </w:rPr>
            </w:pPr>
          </w:p>
        </w:tc>
        <w:tc>
          <w:tcPr>
            <w:tcW w:w="366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2017 and 2016</w:t>
              </w:r>
            </w:hyperlink>
          </w:p>
        </w:tc>
        <w:tc>
          <w:tcPr>
            <w:tcW w:w="9220" w:type="dxa"/>
            <w:vAlign w:val="bottom"/>
            <w:gridSpan w:val="16"/>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18"/>
        </w:trPr>
        <w:tc>
          <w:tcPr>
            <w:tcW w:w="69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Cash Flows for the years ended December 31, 2018, 2017 and 2016</w:t>
              </w:r>
            </w:hyperlink>
          </w:p>
        </w:tc>
        <w:tc>
          <w:tcPr>
            <w:tcW w:w="3600" w:type="dxa"/>
            <w:vAlign w:val="bottom"/>
            <w:gridSpan w:val="5"/>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8"/>
        </w:trPr>
        <w:tc>
          <w:tcPr>
            <w:tcW w:w="71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Consolidated Statements of Changes in Members’ Equity for the years ended December 31, 2018,</w:t>
              </w:r>
            </w:hyperlink>
          </w:p>
        </w:tc>
        <w:tc>
          <w:tcPr>
            <w:tcW w:w="340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2017 and 2016</w:t>
              </w:r>
            </w:hyperlink>
          </w:p>
        </w:tc>
        <w:tc>
          <w:tcPr>
            <w:tcW w:w="9220" w:type="dxa"/>
            <w:vAlign w:val="bottom"/>
            <w:gridSpan w:val="16"/>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18"/>
        </w:trPr>
        <w:tc>
          <w:tcPr>
            <w:tcW w:w="31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Notes to Consolidated Financial Statements</w:t>
              </w:r>
            </w:hyperlink>
          </w:p>
        </w:tc>
        <w:tc>
          <w:tcPr>
            <w:tcW w:w="7360" w:type="dxa"/>
            <w:vAlign w:val="bottom"/>
            <w:gridSpan w:val="13"/>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8"/>
        </w:trPr>
        <w:tc>
          <w:tcPr>
            <w:tcW w:w="2820" w:type="dxa"/>
            <w:vAlign w:val="bottom"/>
            <w:tcBorders>
              <w:bottom w:val="single" w:sz="8" w:color="0000EE"/>
            </w:tcBorders>
            <w:gridSpan w:val="7"/>
          </w:tcPr>
          <w:p>
            <w:pPr>
              <w:spacing w:after="0"/>
              <w:rPr>
                <w:rFonts w:ascii="Arial" w:cs="Arial" w:eastAsia="Arial" w:hAnsi="Arial"/>
                <w:sz w:val="18"/>
                <w:szCs w:val="18"/>
                <w:b w:val="1"/>
                <w:bCs w:val="1"/>
                <w:color w:val="0000EE"/>
                <w:w w:val="91"/>
              </w:rPr>
            </w:pPr>
            <w:hyperlink w:anchor="page125">
              <w:r>
                <w:rPr>
                  <w:rFonts w:ascii="Arial" w:cs="Arial" w:eastAsia="Arial" w:hAnsi="Arial"/>
                  <w:sz w:val="18"/>
                  <w:szCs w:val="18"/>
                  <w:b w:val="1"/>
                  <w:bCs w:val="1"/>
                  <w:color w:val="0000EE"/>
                  <w:w w:val="91"/>
                </w:rPr>
                <w:t>Supplemental Financial Information</w:t>
              </w:r>
            </w:hyperlink>
          </w:p>
        </w:tc>
        <w:tc>
          <w:tcPr>
            <w:tcW w:w="770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25">
              <w:r>
                <w:rPr>
                  <w:rFonts w:ascii="Arial" w:cs="Arial" w:eastAsia="Arial" w:hAnsi="Arial"/>
                  <w:sz w:val="18"/>
                  <w:szCs w:val="18"/>
                  <w:color w:val="0000EE"/>
                  <w:w w:val="90"/>
                </w:rPr>
                <w:t>Quarterly Results</w:t>
              </w:r>
            </w:hyperlink>
          </w:p>
        </w:tc>
        <w:tc>
          <w:tcPr>
            <w:tcW w:w="9240" w:type="dxa"/>
            <w:vAlign w:val="bottom"/>
            <w:gridSpan w:val="17"/>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58"/>
        </w:trPr>
        <w:tc>
          <w:tcPr>
            <w:tcW w:w="10520" w:type="dxa"/>
            <w:vAlign w:val="bottom"/>
            <w:gridSpan w:val="21"/>
          </w:tcPr>
          <w:p>
            <w:pPr>
              <w:spacing w:after="0"/>
              <w:rPr>
                <w:sz w:val="20"/>
                <w:szCs w:val="20"/>
                <w:color w:val="auto"/>
              </w:rPr>
            </w:pPr>
            <w:r>
              <w:rPr>
                <w:rFonts w:ascii="Arial" w:cs="Arial" w:eastAsia="Arial" w:hAnsi="Arial"/>
                <w:sz w:val="18"/>
                <w:szCs w:val="18"/>
                <w:b w:val="1"/>
                <w:bCs w:val="1"/>
                <w:color w:val="auto"/>
              </w:rPr>
              <w:t>Financial Statement Schedules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520" w:type="dxa"/>
            <w:vAlign w:val="bottom"/>
            <w:gridSpan w:val="21"/>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33">
              <w:r>
                <w:rPr>
                  <w:rFonts w:ascii="Arial" w:cs="Arial" w:eastAsia="Arial" w:hAnsi="Arial"/>
                  <w:sz w:val="18"/>
                  <w:szCs w:val="18"/>
                  <w:color w:val="0000EE"/>
                  <w:w w:val="89"/>
                </w:rPr>
                <w:t>Condensed Statements of Financial Condition as of December 31, 2018 and 2017</w:t>
              </w:r>
            </w:hyperlink>
          </w:p>
        </w:tc>
        <w:tc>
          <w:tcPr>
            <w:tcW w:w="4200" w:type="dxa"/>
            <w:vAlign w:val="bottom"/>
            <w:gridSpan w:val="8"/>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134">
              <w:r>
                <w:rPr>
                  <w:rFonts w:ascii="Arial" w:cs="Arial" w:eastAsia="Arial" w:hAnsi="Arial"/>
                  <w:sz w:val="18"/>
                  <w:szCs w:val="18"/>
                  <w:color w:val="0000EE"/>
                  <w:w w:val="88"/>
                </w:rPr>
                <w:t>Condensed Statements of Operations for the years ended December 31, 2018, 2017 and 2016</w:t>
              </w:r>
            </w:hyperlink>
          </w:p>
        </w:tc>
        <w:tc>
          <w:tcPr>
            <w:tcW w:w="3360" w:type="dxa"/>
            <w:vAlign w:val="bottom"/>
            <w:gridSpan w:val="2"/>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35">
              <w:r>
                <w:rPr>
                  <w:rFonts w:ascii="Arial" w:cs="Arial" w:eastAsia="Arial" w:hAnsi="Arial"/>
                  <w:sz w:val="18"/>
                  <w:szCs w:val="18"/>
                  <w:color w:val="0000EE"/>
                  <w:w w:val="89"/>
                </w:rPr>
                <w:t>Condensed Statements of Comprehensive Income for the years ended December 31, 2018,</w:t>
              </w:r>
            </w:hyperlink>
          </w:p>
        </w:tc>
        <w:tc>
          <w:tcPr>
            <w:tcW w:w="352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2017 and 2016</w:t>
              </w:r>
            </w:hyperlink>
          </w:p>
        </w:tc>
        <w:tc>
          <w:tcPr>
            <w:tcW w:w="8780" w:type="dxa"/>
            <w:vAlign w:val="bottom"/>
            <w:gridSpan w:val="15"/>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9"/>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Condensed Statements of Cash Flows for the years ended December 31, 2018, 2017 and 2016</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60" w:type="dxa"/>
            <w:vAlign w:val="bottom"/>
            <w:tcBorders>
              <w:top w:val="single" w:sz="8" w:color="0000EE"/>
            </w:tcBorders>
            <w:gridSpan w:val="18"/>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Notes to Condensed Financial Statements</w:t>
              </w:r>
            </w:hyperlink>
          </w:p>
        </w:tc>
        <w:tc>
          <w:tcPr>
            <w:tcW w:w="33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2" w:name="page133"/>
    <w:bookmarkEnd w:id="13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3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157,398</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373,036</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from subsidiaries of Lazard Ltd</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429,996</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Other receivables, net</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4,585</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in subsidiaries, equity method</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1,384,874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1,412,118</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Other investments</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346,807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141,606</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net</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92,712</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Goodwill and other intangibles assets-net</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37,138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37,089</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20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53,183</w:t>
            </w:r>
          </w:p>
        </w:tc>
        <w:tc>
          <w:tcPr>
            <w:tcW w:w="120" w:type="dxa"/>
            <w:vAlign w:val="bottom"/>
            <w:shd w:val="clear" w:color="auto" w:fill="CFF0FC"/>
          </w:tcPr>
          <w:p>
            <w:pPr>
              <w:spacing w:after="0"/>
              <w:rPr>
                <w:sz w:val="19"/>
                <w:szCs w:val="19"/>
                <w:color w:val="auto"/>
              </w:rPr>
            </w:pPr>
          </w:p>
        </w:tc>
      </w:tr>
      <w:tr>
        <w:trPr>
          <w:trHeight w:val="263"/>
        </w:trPr>
        <w:tc>
          <w:tcPr>
            <w:tcW w:w="5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0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2,472,015</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2,544,325</w:t>
            </w:r>
          </w:p>
        </w:tc>
        <w:tc>
          <w:tcPr>
            <w:tcW w:w="120" w:type="dxa"/>
            <w:vAlign w:val="bottom"/>
            <w:tcBorders>
              <w:bottom w:val="single" w:sz="8" w:color="CFF0FC"/>
            </w:tcBorders>
          </w:tcPr>
          <w:p>
            <w:pPr>
              <w:spacing w:after="0"/>
              <w:rPr>
                <w:sz w:val="22"/>
                <w:szCs w:val="22"/>
                <w:color w:val="auto"/>
              </w:rPr>
            </w:pP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w:t>
            </w:r>
          </w:p>
        </w:tc>
        <w:tc>
          <w:tcPr>
            <w:tcW w:w="2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 and benefits</w:t>
            </w:r>
          </w:p>
        </w:tc>
        <w:tc>
          <w:tcPr>
            <w:tcW w:w="23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165,121</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169,935</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Due to subsidiaries of Lazard Ltd</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214,322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228,247</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1,434,260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1,190,383</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20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128,267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107,442</w:t>
            </w:r>
          </w:p>
        </w:tc>
        <w:tc>
          <w:tcPr>
            <w:tcW w:w="120" w:type="dxa"/>
            <w:vAlign w:val="bottom"/>
            <w:tcBorders>
              <w:bottom w:val="single" w:sz="8" w:color="CFF0FC"/>
            </w:tcBorders>
          </w:tcPr>
          <w:p>
            <w:pPr>
              <w:spacing w:after="0"/>
              <w:rPr>
                <w:sz w:val="19"/>
                <w:szCs w:val="19"/>
                <w:color w:val="auto"/>
              </w:rPr>
            </w:pPr>
          </w:p>
        </w:tc>
      </w:tr>
      <w:tr>
        <w:trPr>
          <w:trHeight w:val="223"/>
        </w:trPr>
        <w:tc>
          <w:tcPr>
            <w:tcW w:w="5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1,941,970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1,696,007</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MEMBERS’ EQUITY</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Members' equity</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758,705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1,043,574</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(228,660)</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(195,256)</w:t>
            </w:r>
          </w:p>
        </w:tc>
      </w:tr>
      <w:tr>
        <w:trPr>
          <w:trHeight w:val="223"/>
        </w:trPr>
        <w:tc>
          <w:tcPr>
            <w:tcW w:w="5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members’ equity</w:t>
            </w:r>
          </w:p>
        </w:tc>
        <w:tc>
          <w:tcPr>
            <w:tcW w:w="20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530,045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848,318</w:t>
            </w:r>
          </w:p>
        </w:tc>
        <w:tc>
          <w:tcPr>
            <w:tcW w:w="120" w:type="dxa"/>
            <w:vAlign w:val="bottom"/>
            <w:tcBorders>
              <w:bottom w:val="single" w:sz="8" w:color="CFF0FC"/>
            </w:tcBorders>
          </w:tcPr>
          <w:p>
            <w:pPr>
              <w:spacing w:after="0"/>
              <w:rPr>
                <w:sz w:val="19"/>
                <w:szCs w:val="19"/>
                <w:color w:val="auto"/>
              </w:rPr>
            </w:pPr>
          </w:p>
        </w:tc>
      </w:tr>
      <w:tr>
        <w:trPr>
          <w:trHeight w:val="223"/>
        </w:trPr>
        <w:tc>
          <w:tcPr>
            <w:tcW w:w="5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members’ equity</w:t>
            </w:r>
          </w:p>
        </w:tc>
        <w:tc>
          <w:tcPr>
            <w:tcW w:w="20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2,472,015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2,544,325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3" w:name="page134"/>
    <w:bookmarkEnd w:id="13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62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Equity in earnings of subsidiaries</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746,962</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710,143</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642,653</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(2,697)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r>
      <w:tr>
        <w:trPr>
          <w:trHeight w:val="223"/>
        </w:trPr>
        <w:tc>
          <w:tcPr>
            <w:tcW w:w="56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w:t>
            </w:r>
          </w:p>
        </w:tc>
        <w:tc>
          <w:tcPr>
            <w:tcW w:w="1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749,491</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719,885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644,349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1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47,898</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revenue</w:t>
            </w:r>
          </w:p>
        </w:tc>
        <w:tc>
          <w:tcPr>
            <w:tcW w:w="1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691,945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667,763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596,451</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94,471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103,311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86,418</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4,971</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(2,568)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30,819</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124,616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128,111</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567,329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546,613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468,340</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1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565,597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545,627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466,327</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4" w:name="page135"/>
    <w:bookmarkEnd w:id="13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580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9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565,597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545,627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466,327</w:t>
            </w:r>
          </w:p>
        </w:tc>
        <w:tc>
          <w:tcPr>
            <w:tcW w:w="100" w:type="dxa"/>
            <w:vAlign w:val="bottom"/>
            <w:shd w:val="clear" w:color="auto" w:fill="CFF0FC"/>
          </w:tcPr>
          <w:p>
            <w:pPr>
              <w:spacing w:after="0"/>
              <w:rPr>
                <w:sz w:val="19"/>
                <w:szCs w:val="19"/>
                <w:color w:val="auto"/>
              </w:rPr>
            </w:pPr>
          </w:p>
        </w:tc>
      </w:tr>
      <w:tr>
        <w:trPr>
          <w:trHeight w:val="205"/>
        </w:trPr>
        <w:tc>
          <w:tcPr>
            <w:tcW w:w="580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w:t>
            </w: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800" w:type="dxa"/>
            <w:vAlign w:val="bottom"/>
          </w:tcPr>
          <w:p>
            <w:pPr>
              <w:ind w:left="140"/>
              <w:spacing w:after="0"/>
              <w:rPr>
                <w:sz w:val="20"/>
                <w:szCs w:val="20"/>
                <w:color w:val="auto"/>
              </w:rPr>
            </w:pPr>
            <w:r>
              <w:rPr>
                <w:rFonts w:ascii="Arial" w:cs="Arial" w:eastAsia="Arial" w:hAnsi="Arial"/>
                <w:sz w:val="18"/>
                <w:szCs w:val="18"/>
                <w:b w:val="1"/>
                <w:bCs w:val="1"/>
                <w:color w:val="auto"/>
              </w:rPr>
              <w:t>OF TAX:</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(39,039)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65,514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(56,619)</w:t>
            </w: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Prior service costs (net of tax benefit of $543</w:t>
            </w: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for the year ended December 31, 2018)</w:t>
            </w:r>
          </w:p>
        </w:tc>
        <w:tc>
          <w:tcPr>
            <w:tcW w:w="9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(2,653)</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15"/>
        </w:trPr>
        <w:tc>
          <w:tcPr>
            <w:tcW w:w="5800" w:type="dxa"/>
            <w:vAlign w:val="bottom"/>
          </w:tcPr>
          <w:p>
            <w:pPr>
              <w:ind w:left="500"/>
              <w:spacing w:after="0"/>
              <w:rPr>
                <w:sz w:val="20"/>
                <w:szCs w:val="20"/>
                <w:color w:val="auto"/>
              </w:rPr>
            </w:pPr>
            <w:r>
              <w:rPr>
                <w:rFonts w:ascii="Arial" w:cs="Arial" w:eastAsia="Arial" w:hAnsi="Arial"/>
                <w:sz w:val="18"/>
                <w:szCs w:val="18"/>
                <w:color w:val="auto"/>
              </w:rPr>
              <w:t>Actuarial gain (loss) (net of tax benefit of $203, $3,475</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ind w:left="640"/>
              <w:spacing w:after="0"/>
              <w:rPr>
                <w:sz w:val="20"/>
                <w:szCs w:val="20"/>
                <w:color w:val="auto"/>
              </w:rPr>
            </w:pPr>
            <w:r>
              <w:rPr>
                <w:rFonts w:ascii="Arial" w:cs="Arial" w:eastAsia="Arial" w:hAnsi="Arial"/>
                <w:sz w:val="18"/>
                <w:szCs w:val="18"/>
                <w:color w:val="auto"/>
              </w:rPr>
              <w:t>and $2,754 for the years ended December 31, 2018, 2017</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0" w:type="dxa"/>
            <w:vAlign w:val="bottom"/>
          </w:tcPr>
          <w:p>
            <w:pPr>
              <w:ind w:left="640"/>
              <w:spacing w:after="0"/>
              <w:rPr>
                <w:sz w:val="20"/>
                <w:szCs w:val="20"/>
                <w:color w:val="auto"/>
              </w:rPr>
            </w:pPr>
            <w:r>
              <w:rPr>
                <w:rFonts w:ascii="Arial" w:cs="Arial" w:eastAsia="Arial" w:hAnsi="Arial"/>
                <w:sz w:val="18"/>
                <w:szCs w:val="18"/>
                <w:color w:val="auto"/>
              </w:rPr>
              <w:t>and 2016, respectively)</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(2,447)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(26,924)</w:t>
            </w:r>
          </w:p>
        </w:tc>
      </w:tr>
      <w:tr>
        <w:trPr>
          <w:trHeight w:val="215"/>
        </w:trPr>
        <w:tc>
          <w:tcPr>
            <w:tcW w:w="5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Adjustments for items reclassified to earnings (net of tax</w:t>
            </w: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expense of $2,335, $2,220 and $1,757 for the years ended</w:t>
            </w: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December 31, 2018, 2017 and 2016, respectively)</w:t>
            </w:r>
          </w:p>
        </w:tc>
        <w:tc>
          <w:tcPr>
            <w:tcW w:w="98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7,951</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w:t>
            </w:r>
          </w:p>
        </w:tc>
        <w:tc>
          <w:tcPr>
            <w:tcW w:w="100" w:type="dxa"/>
            <w:vAlign w:val="bottom"/>
            <w:shd w:val="clear" w:color="auto" w:fill="CFF0FC"/>
          </w:tcPr>
          <w:p>
            <w:pPr>
              <w:spacing w:after="0"/>
              <w:rPr>
                <w:sz w:val="20"/>
                <w:szCs w:val="20"/>
                <w:color w:val="auto"/>
              </w:rPr>
            </w:pPr>
          </w:p>
        </w:tc>
      </w:tr>
      <w:tr>
        <w:trPr>
          <w:trHeight w:val="205"/>
        </w:trPr>
        <w:tc>
          <w:tcPr>
            <w:tcW w:w="580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80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(33,404)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75,519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(81,017)</w:t>
            </w:r>
          </w:p>
        </w:tc>
      </w:tr>
      <w:tr>
        <w:trPr>
          <w:trHeight w:val="223"/>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532,193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621,146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385,310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5" w:name="page136"/>
    <w:bookmarkEnd w:id="13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0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565,597</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545,627</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466,327</w:t>
            </w:r>
          </w:p>
        </w:tc>
        <w:tc>
          <w:tcPr>
            <w:tcW w:w="100" w:type="dxa"/>
            <w:vAlign w:val="bottom"/>
          </w:tcPr>
          <w:p>
            <w:pPr>
              <w:spacing w:after="0"/>
              <w:rPr>
                <w:sz w:val="19"/>
                <w:szCs w:val="19"/>
                <w:color w:val="auto"/>
              </w:rPr>
            </w:pPr>
          </w:p>
        </w:tc>
      </w:tr>
      <w:tr>
        <w:trPr>
          <w:trHeight w:val="215"/>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activities:</w:t>
            </w:r>
          </w:p>
        </w:tc>
        <w:tc>
          <w:tcPr>
            <w:tcW w:w="9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800" w:type="dxa"/>
            <w:vAlign w:val="bottom"/>
          </w:tcPr>
          <w:p>
            <w:pPr>
              <w:ind w:left="560"/>
              <w:spacing w:after="0"/>
              <w:rPr>
                <w:sz w:val="20"/>
                <w:szCs w:val="20"/>
                <w:color w:val="auto"/>
              </w:rPr>
            </w:pPr>
            <w:r>
              <w:rPr>
                <w:rFonts w:ascii="Arial" w:cs="Arial" w:eastAsia="Arial" w:hAnsi="Arial"/>
                <w:sz w:val="18"/>
                <w:szCs w:val="18"/>
                <w:color w:val="auto"/>
              </w:rPr>
              <w:t>Equity in earnings of subsidiaries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(746,962)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(710,143)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(642,653)</w:t>
            </w:r>
          </w:p>
        </w:tc>
      </w:tr>
      <w:tr>
        <w:trPr>
          <w:trHeight w:val="230"/>
        </w:trPr>
        <w:tc>
          <w:tcPr>
            <w:tcW w:w="58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Deferred tax provision (benefit)</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ind w:left="560"/>
              <w:spacing w:after="0"/>
              <w:rPr>
                <w:sz w:val="20"/>
                <w:szCs w:val="20"/>
                <w:color w:val="auto"/>
              </w:rPr>
            </w:pPr>
            <w:r>
              <w:rPr>
                <w:rFonts w:ascii="Arial" w:cs="Arial" w:eastAsia="Arial" w:hAnsi="Arial"/>
                <w:sz w:val="18"/>
                <w:szCs w:val="18"/>
                <w:color w:val="auto"/>
              </w:rPr>
              <w:t>Loss on extinguishment of debt</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19"/>
                <w:szCs w:val="19"/>
                <w:color w:val="auto"/>
              </w:rPr>
            </w:pPr>
          </w:p>
        </w:tc>
      </w:tr>
      <w:tr>
        <w:trPr>
          <w:trHeight w:val="215"/>
        </w:trPr>
        <w:tc>
          <w:tcPr>
            <w:tcW w:w="58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Amortization of deferred expenses and share-based</w:t>
            </w: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880"/>
              <w:spacing w:after="0"/>
              <w:rPr>
                <w:sz w:val="20"/>
                <w:szCs w:val="20"/>
                <w:color w:val="auto"/>
              </w:rPr>
            </w:pPr>
            <w:r>
              <w:rPr>
                <w:rFonts w:ascii="Arial" w:cs="Arial" w:eastAsia="Arial" w:hAnsi="Arial"/>
                <w:sz w:val="18"/>
                <w:szCs w:val="18"/>
                <w:color w:val="auto"/>
              </w:rPr>
              <w:t>incentive compensation</w:t>
            </w:r>
          </w:p>
        </w:tc>
        <w:tc>
          <w:tcPr>
            <w:tcW w:w="9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337,872</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335,909</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326,629</w:t>
            </w:r>
          </w:p>
        </w:tc>
        <w:tc>
          <w:tcPr>
            <w:tcW w:w="100" w:type="dxa"/>
            <w:vAlign w:val="bottom"/>
            <w:shd w:val="clear" w:color="auto" w:fill="CFF0FC"/>
          </w:tcPr>
          <w:p>
            <w:pPr>
              <w:spacing w:after="0"/>
              <w:rPr>
                <w:sz w:val="20"/>
                <w:szCs w:val="20"/>
                <w:color w:val="auto"/>
              </w:rPr>
            </w:pPr>
          </w:p>
        </w:tc>
      </w:tr>
      <w:tr>
        <w:trPr>
          <w:trHeight w:val="230"/>
        </w:trPr>
        <w:tc>
          <w:tcPr>
            <w:tcW w:w="5800" w:type="dxa"/>
            <w:vAlign w:val="bottom"/>
          </w:tcPr>
          <w:p>
            <w:pPr>
              <w:ind w:left="620"/>
              <w:spacing w:after="0"/>
              <w:rPr>
                <w:sz w:val="20"/>
                <w:szCs w:val="20"/>
                <w:color w:val="auto"/>
              </w:rPr>
            </w:pPr>
            <w:r>
              <w:rPr>
                <w:rFonts w:ascii="Arial" w:cs="Arial" w:eastAsia="Arial" w:hAnsi="Arial"/>
                <w:sz w:val="18"/>
                <w:szCs w:val="18"/>
                <w:color w:val="auto"/>
              </w:rPr>
              <w:t>Depreciation and amortization of property</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10,451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9,509</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Loss on acquisition of portion of business already owned</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ind w:left="600"/>
              <w:spacing w:after="0"/>
              <w:rPr>
                <w:sz w:val="20"/>
                <w:szCs w:val="20"/>
                <w:color w:val="auto"/>
              </w:rPr>
            </w:pPr>
            <w:r>
              <w:rPr>
                <w:rFonts w:ascii="Arial" w:cs="Arial" w:eastAsia="Arial" w:hAnsi="Arial"/>
                <w:sz w:val="18"/>
                <w:szCs w:val="18"/>
                <w:color w:val="auto"/>
              </w:rPr>
              <w:t>Amortization and other acquisition-related (benefits) costs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(2,568)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30,819</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Distributions received from subsidiaries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676,061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724,839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393,287</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Due to/from subsidiaries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117,393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(19,729)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31,785</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ind w:left="560"/>
              <w:spacing w:after="0"/>
              <w:rPr>
                <w:sz w:val="20"/>
                <w:szCs w:val="20"/>
                <w:color w:val="auto"/>
              </w:rPr>
            </w:pPr>
            <w:r>
              <w:rPr>
                <w:rFonts w:ascii="Arial" w:cs="Arial" w:eastAsia="Arial" w:hAnsi="Arial"/>
                <w:sz w:val="18"/>
                <w:szCs w:val="18"/>
                <w:color w:val="auto"/>
              </w:rPr>
              <w:t>Other investments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(205,201)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(1,913)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31,694</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Other operating assets and liabilities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(64,787)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(53,541)</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(81,093)</w:t>
            </w:r>
          </w:p>
        </w:tc>
      </w:tr>
      <w:tr>
        <w:trPr>
          <w:trHeight w:val="223"/>
        </w:trPr>
        <w:tc>
          <w:tcPr>
            <w:tcW w:w="5800" w:type="dxa"/>
            <w:vAlign w:val="bottom"/>
            <w:tcBorders>
              <w:bottom w:val="single" w:sz="8" w:color="CFF0FC"/>
            </w:tcBorders>
          </w:tcPr>
          <w:p>
            <w:pPr>
              <w:ind w:left="96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696,212</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834,288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573,139</w:t>
            </w:r>
          </w:p>
        </w:tc>
        <w:tc>
          <w:tcPr>
            <w:tcW w:w="100" w:type="dxa"/>
            <w:vAlign w:val="bottom"/>
            <w:tcBorders>
              <w:bottom w:val="single" w:sz="8" w:color="CFF0FC"/>
            </w:tcBorders>
          </w:tcPr>
          <w:p>
            <w:pPr>
              <w:spacing w:after="0"/>
              <w:rPr>
                <w:sz w:val="19"/>
                <w:szCs w:val="19"/>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Additions to property</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(23,904)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(8,928)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(15,274)</w:t>
            </w:r>
          </w:p>
        </w:tc>
      </w:tr>
      <w:tr>
        <w:trPr>
          <w:trHeight w:val="230"/>
        </w:trPr>
        <w:tc>
          <w:tcPr>
            <w:tcW w:w="5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Capital contribution to subsidiaries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(4,914)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(1,996)</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(2,773)</w:t>
            </w:r>
          </w:p>
        </w:tc>
      </w:tr>
      <w:tr>
        <w:trPr>
          <w:trHeight w:val="223"/>
        </w:trPr>
        <w:tc>
          <w:tcPr>
            <w:tcW w:w="5800" w:type="dxa"/>
            <w:vAlign w:val="bottom"/>
            <w:tcBorders>
              <w:bottom w:val="single" w:sz="8" w:color="CFF0FC"/>
            </w:tcBorders>
          </w:tcPr>
          <w:p>
            <w:pPr>
              <w:ind w:left="90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(28,818)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(18,047)</w:t>
            </w:r>
          </w:p>
        </w:tc>
        <w:tc>
          <w:tcPr>
            <w:tcW w:w="100" w:type="dxa"/>
            <w:vAlign w:val="bottom"/>
            <w:tcBorders>
              <w:bottom w:val="single" w:sz="8" w:color="CFF0FC"/>
            </w:tcBorders>
          </w:tcPr>
          <w:p>
            <w:pPr>
              <w:spacing w:after="0"/>
              <w:rPr>
                <w:sz w:val="19"/>
                <w:szCs w:val="19"/>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Proceeds from:</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8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Excess tax benefit from share-based incentive</w:t>
            </w: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compensation</w:t>
            </w:r>
          </w:p>
        </w:tc>
        <w:tc>
          <w:tcPr>
            <w:tcW w:w="9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20"/>
                <w:szCs w:val="20"/>
                <w:color w:val="auto"/>
              </w:rPr>
            </w:pPr>
          </w:p>
        </w:tc>
      </w:tr>
      <w:tr>
        <w:trPr>
          <w:trHeight w:val="230"/>
        </w:trPr>
        <w:tc>
          <w:tcPr>
            <w:tcW w:w="5800" w:type="dxa"/>
            <w:vAlign w:val="bottom"/>
          </w:tcPr>
          <w:p>
            <w:pPr>
              <w:ind w:left="620"/>
              <w:spacing w:after="0"/>
              <w:rPr>
                <w:sz w:val="20"/>
                <w:szCs w:val="20"/>
                <w:color w:val="auto"/>
              </w:rPr>
            </w:pPr>
            <w:r>
              <w:rPr>
                <w:rFonts w:ascii="Arial" w:cs="Arial" w:eastAsia="Arial" w:hAnsi="Arial"/>
                <w:sz w:val="18"/>
                <w:szCs w:val="18"/>
                <w:color w:val="auto"/>
              </w:rPr>
              <w:t>Issuance of senior debt, net of expenses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490,970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296,757</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Other financing activities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8,004</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Payments for:</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Senior debt</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(255,543)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(101,441)</w:t>
            </w:r>
          </w:p>
        </w:tc>
      </w:tr>
      <w:tr>
        <w:trPr>
          <w:trHeight w:val="230"/>
        </w:trPr>
        <w:tc>
          <w:tcPr>
            <w:tcW w:w="5800" w:type="dxa"/>
            <w:vAlign w:val="bottom"/>
          </w:tcPr>
          <w:p>
            <w:pPr>
              <w:ind w:left="560"/>
              <w:spacing w:after="0"/>
              <w:rPr>
                <w:sz w:val="20"/>
                <w:szCs w:val="20"/>
                <w:color w:val="auto"/>
              </w:rPr>
            </w:pPr>
            <w:r>
              <w:rPr>
                <w:rFonts w:ascii="Arial" w:cs="Arial" w:eastAsia="Arial" w:hAnsi="Arial"/>
                <w:sz w:val="18"/>
                <w:szCs w:val="18"/>
                <w:color w:val="auto"/>
              </w:rPr>
              <w:t>Capital lease obligations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30"/>
        </w:trPr>
        <w:tc>
          <w:tcPr>
            <w:tcW w:w="58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Distributions of members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(448,912)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(346,072)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(301,262)</w:t>
            </w:r>
          </w:p>
        </w:tc>
      </w:tr>
      <w:tr>
        <w:trPr>
          <w:trHeight w:val="230"/>
        </w:trPr>
        <w:tc>
          <w:tcPr>
            <w:tcW w:w="5800" w:type="dxa"/>
            <w:vAlign w:val="bottom"/>
          </w:tcPr>
          <w:p>
            <w:pPr>
              <w:ind w:left="560"/>
              <w:spacing w:after="0"/>
              <w:rPr>
                <w:sz w:val="20"/>
                <w:szCs w:val="20"/>
                <w:color w:val="auto"/>
              </w:rPr>
            </w:pPr>
            <w:r>
              <w:rPr>
                <w:rFonts w:ascii="Arial" w:cs="Arial" w:eastAsia="Arial" w:hAnsi="Arial"/>
                <w:sz w:val="18"/>
                <w:szCs w:val="18"/>
                <w:color w:val="auto"/>
              </w:rPr>
              <w:t>Settlement of vested share-based incentive compensation</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(110,361)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(67,899)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(56,078)</w:t>
            </w:r>
          </w:p>
        </w:tc>
      </w:tr>
      <w:tr>
        <w:trPr>
          <w:trHeight w:val="230"/>
        </w:trPr>
        <w:tc>
          <w:tcPr>
            <w:tcW w:w="58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Purchase of Lazard Ltd Class A common stock</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(552,872)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(310,872)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(300,217)</w:t>
            </w:r>
          </w:p>
        </w:tc>
      </w:tr>
      <w:tr>
        <w:trPr>
          <w:trHeight w:val="230"/>
        </w:trPr>
        <w:tc>
          <w:tcPr>
            <w:tcW w:w="5800" w:type="dxa"/>
            <w:vAlign w:val="bottom"/>
          </w:tcPr>
          <w:p>
            <w:pPr>
              <w:ind w:left="560"/>
              <w:spacing w:after="0"/>
              <w:rPr>
                <w:sz w:val="20"/>
                <w:szCs w:val="20"/>
                <w:color w:val="auto"/>
              </w:rPr>
            </w:pPr>
            <w:r>
              <w:rPr>
                <w:rFonts w:ascii="Arial" w:cs="Arial" w:eastAsia="Arial" w:hAnsi="Arial"/>
                <w:sz w:val="18"/>
                <w:szCs w:val="18"/>
                <w:color w:val="auto"/>
              </w:rPr>
              <w:t>Other financing activities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(6,339)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(6,151)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(4,660)</w:t>
            </w:r>
          </w:p>
        </w:tc>
      </w:tr>
      <w:tr>
        <w:trPr>
          <w:trHeight w:val="223"/>
        </w:trPr>
        <w:tc>
          <w:tcPr>
            <w:tcW w:w="5800" w:type="dxa"/>
            <w:vAlign w:val="bottom"/>
            <w:tcBorders>
              <w:top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Net cash used in financing activities</w:t>
            </w:r>
          </w:p>
        </w:tc>
        <w:tc>
          <w:tcPr>
            <w:tcW w:w="9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(883,032)</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(730,994)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(458,908)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(215,638)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92,370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96,184</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January 1</w:t>
            </w:r>
          </w:p>
        </w:tc>
        <w:tc>
          <w:tcPr>
            <w:tcW w:w="9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373,036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280,666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184,482</w:t>
            </w:r>
          </w:p>
        </w:tc>
        <w:tc>
          <w:tcPr>
            <w:tcW w:w="100" w:type="dxa"/>
            <w:vAlign w:val="bottom"/>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Cash and cash equivalents, December 31</w:t>
            </w:r>
          </w:p>
        </w:tc>
        <w:tc>
          <w:tcPr>
            <w:tcW w:w="9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373,036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280,666</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6" w:name="page137"/>
    <w:bookmarkEnd w:id="13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(parent company only)</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56" w:lineRule="exact"/>
        <w:rPr>
          <w:sz w:val="20"/>
          <w:szCs w:val="20"/>
          <w:color w:val="auto"/>
        </w:rPr>
      </w:pPr>
    </w:p>
    <w:p>
      <w:pPr>
        <w:ind w:left="600" w:hanging="592"/>
        <w:spacing w:after="0"/>
        <w:tabs>
          <w:tab w:leader="none" w:pos="600"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220" w:firstLine="598"/>
        <w:spacing w:after="0" w:line="342" w:lineRule="auto"/>
        <w:rPr>
          <w:sz w:val="20"/>
          <w:szCs w:val="20"/>
          <w:color w:val="auto"/>
        </w:rPr>
      </w:pPr>
      <w:r>
        <w:rPr>
          <w:rFonts w:ascii="Arial" w:cs="Arial" w:eastAsia="Arial" w:hAnsi="Arial"/>
          <w:sz w:val="16"/>
          <w:szCs w:val="16"/>
          <w:color w:val="auto"/>
        </w:rPr>
        <w:t>The accompanying Lazard Group LLC condensed financial statements (the “Parent Company Financial Statements”), including the notes thereto, should be read in conjunction with the consolidated financial statements of Lazard Group LLC and its subsidiaries (the “Company”) and the notes thereto.</w:t>
      </w:r>
    </w:p>
    <w:p>
      <w:pPr>
        <w:spacing w:after="0" w:line="124"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The Parent Company Financial Statements as of December 31, 2018 and 2017, and for each of the three years in the period ended December 31, 2018,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188"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Parent Company Financial Statements include investments in subsidiaries, accounted for under the equity method. For the period ended December 31, 2016, equity in earnings of subsidiaries also includes a gain of $16,259 on the acquisition of MBA Lazard (which resulted from the increase in the fair value of the Company’s investment in MBA Lazard prior to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52"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-130810</wp:posOffset>
            </wp:positionV>
            <wp:extent cx="26498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40" w:type="dxa"/>
            <w:vAlign w:val="bottom"/>
          </w:tcPr>
          <w:p>
            <w:pPr>
              <w:spacing w:after="0"/>
              <w:rPr>
                <w:sz w:val="14"/>
                <w:szCs w:val="14"/>
                <w:color w:val="auto"/>
              </w:rPr>
            </w:pPr>
          </w:p>
        </w:tc>
        <w:tc>
          <w:tcPr>
            <w:tcW w:w="512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auto"/>
              </w:rPr>
              <w:t>Capacity</w:t>
            </w:r>
          </w:p>
        </w:tc>
        <w:tc>
          <w:tcPr>
            <w:tcW w:w="140" w:type="dxa"/>
            <w:vAlign w:val="bottom"/>
          </w:tcPr>
          <w:p>
            <w:pPr>
              <w:spacing w:after="0"/>
              <w:rPr>
                <w:sz w:val="14"/>
                <w:szCs w:val="14"/>
                <w:color w:val="auto"/>
              </w:rPr>
            </w:pPr>
          </w:p>
        </w:tc>
        <w:tc>
          <w:tcPr>
            <w:tcW w:w="22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r>
      <w:tr>
        <w:trPr>
          <w:trHeight w:val="412"/>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Kenneth M. Jacobs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Chairman, Chief Executive Officer and 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25, 2019</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0"/>
              </w:rPr>
              <w:t>Kenneth M. Jacobs</w:t>
            </w:r>
          </w:p>
        </w:tc>
        <w:tc>
          <w:tcPr>
            <w:tcW w:w="140" w:type="dxa"/>
            <w:vAlign w:val="bottom"/>
          </w:tcPr>
          <w:p>
            <w:pPr>
              <w:spacing w:after="0"/>
              <w:rPr>
                <w:sz w:val="19"/>
                <w:szCs w:val="19"/>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Evan L. Russo</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25, 2019</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8"/>
              </w:rPr>
              <w:t>Evan L. Russo</w:t>
            </w:r>
          </w:p>
        </w:tc>
        <w:tc>
          <w:tcPr>
            <w:tcW w:w="140" w:type="dxa"/>
            <w:vAlign w:val="bottom"/>
          </w:tcPr>
          <w:p>
            <w:pPr>
              <w:spacing w:after="0"/>
              <w:rPr>
                <w:sz w:val="19"/>
                <w:szCs w:val="19"/>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Dominick Ragone</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Chief Accounting Officer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25, 2019</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2"/>
              </w:rPr>
              <w:t>Dominick Ragone</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Andrew M. Alper</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25, 2019</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6"/>
              </w:rPr>
              <w:t>Andrew M. Alper</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Ashish Bhutani</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25, 2019</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Ashish Bhutani</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Richard N. Haass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25, 2019</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0"/>
              </w:rPr>
              <w:t>Richard N. Haass</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Steven J. Heyer</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25, 2019</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7"/>
              </w:rPr>
              <w:t>Steven J. Heyer</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 Michelle Jarrard</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25, 2019</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Michelle Jarrard</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Sylvia Jay</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25, 2019</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Sylvia Jay</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30"/>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Iris Knobloch</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25, 2019</w:t>
            </w: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96"/>
              </w:rPr>
              <w:t>Iris Knobloch</w:t>
            </w:r>
          </w:p>
        </w:tc>
        <w:tc>
          <w:tcPr>
            <w:tcW w:w="1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Philip A. Laskawy</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25, 2019</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6"/>
              </w:rPr>
              <w:t>Philip A. Laskawy</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Jane L. Mendillo</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25, 2019</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4"/>
              </w:rPr>
              <w:t>Jane L. Mendillo</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Richard D. Parsons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25, 2019</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Richard D. Parsons</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3"/>
          </w:tcPr>
          <w:p>
            <w:pPr>
              <w:ind w:left="640"/>
              <w:spacing w:after="0"/>
              <w:rPr>
                <w:sz w:val="20"/>
                <w:szCs w:val="20"/>
                <w:color w:val="auto"/>
              </w:rPr>
            </w:pPr>
            <w:r>
              <w:rPr>
                <w:rFonts w:ascii="Arial" w:cs="Arial" w:eastAsia="Arial" w:hAnsi="Arial"/>
                <w:sz w:val="18"/>
                <w:szCs w:val="18"/>
                <w:b w:val="1"/>
                <w:bCs w:val="1"/>
                <w:color w:val="auto"/>
              </w:rPr>
              <w:t>SUBSIDIARIES OF REGISTRANT</w:t>
            </w:r>
          </w:p>
        </w:tc>
      </w:tr>
      <w:tr>
        <w:trPr>
          <w:trHeight w:val="365"/>
        </w:trPr>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SUBSIDIARY</w:t>
            </w:r>
          </w:p>
        </w:tc>
        <w:tc>
          <w:tcPr>
            <w:tcW w:w="1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COUNTRY OF ORGANIZATION</w:t>
            </w:r>
          </w:p>
        </w:tc>
      </w:tr>
      <w:tr>
        <w:trPr>
          <w:trHeight w:val="317"/>
        </w:trPr>
        <w:tc>
          <w:tcPr>
            <w:tcW w:w="3680" w:type="dxa"/>
            <w:vAlign w:val="bottom"/>
          </w:tcPr>
          <w:p>
            <w:pPr>
              <w:spacing w:after="0"/>
              <w:rPr>
                <w:sz w:val="20"/>
                <w:szCs w:val="20"/>
                <w:color w:val="auto"/>
              </w:rPr>
            </w:pPr>
            <w:r>
              <w:rPr>
                <w:rFonts w:ascii="Arial" w:cs="Arial" w:eastAsia="Arial" w:hAnsi="Arial"/>
                <w:sz w:val="18"/>
                <w:szCs w:val="18"/>
                <w:color w:val="auto"/>
              </w:rPr>
              <w:t>Lazard International Holdings, Inc.</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Frères &amp; Co.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Asset Management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&amp; Co., Holdings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&amp; Co.,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&amp; Co., Services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Compagnie Financière Lazard Frères SAS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Frères Gestion SAS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Frères Banque SA</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Maison Lazard SAS</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bl>
    <w:p>
      <w:pPr>
        <w:sectPr>
          <w:pgSz w:w="11900" w:h="16838" w:orient="portrait"/>
          <w:cols w:equalWidth="0" w:num="1">
            <w:col w:w="11420"/>
          </w:cols>
          <w:pgMar w:left="240" w:top="12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consent to the incorporation by reference in Registration Statement No. 333-217599 on Form S-3, of our reports dated February 25, 2019, relating to the consolidated financial statements and financial statement schedule of Lazard Group LLC and subsidiaries (the “Company”), and the effectiveness of the Company’s internal control over financial reporting appearing in this Annual Report on Form 10-K of the Company for the year ended December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ectPr>
          <w:pgSz w:w="11900" w:h="16838" w:orient="portrait"/>
          <w:cols w:equalWidth="0" w:num="1">
            <w:col w:w="11420"/>
          </w:cols>
          <w:pgMar w:left="240" w:top="12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31.1</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Kenneth M. Jacobs, certify that:</w:t>
      </w:r>
    </w:p>
    <w:p>
      <w:pPr>
        <w:spacing w:after="0" w:line="225" w:lineRule="exact"/>
        <w:rPr>
          <w:sz w:val="20"/>
          <w:szCs w:val="20"/>
          <w:color w:val="auto"/>
        </w:rPr>
      </w:pPr>
    </w:p>
    <w:p>
      <w:pPr>
        <w:ind w:left="780" w:hanging="174"/>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2018 of Lazard Group LLC (the “Registrant”);</w:t>
      </w:r>
    </w:p>
    <w:p>
      <w:pPr>
        <w:spacing w:after="0" w:line="225"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606"/>
        <w:spacing w:after="0" w:line="264" w:lineRule="auto"/>
        <w:tabs>
          <w:tab w:leader="none" w:pos="77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0" w:right="460" w:firstLine="572"/>
        <w:spacing w:after="0" w:line="264" w:lineRule="auto"/>
        <w:tabs>
          <w:tab w:leader="none" w:pos="1411"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00" w:right="180" w:firstLine="572"/>
        <w:spacing w:after="0" w:line="264" w:lineRule="auto"/>
        <w:tabs>
          <w:tab w:leader="none" w:pos="1422"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00" w:right="240" w:firstLine="572"/>
        <w:spacing w:after="0" w:line="342" w:lineRule="auto"/>
        <w:tabs>
          <w:tab w:leader="none" w:pos="1411"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00" w:right="140" w:firstLine="572"/>
        <w:spacing w:after="0" w:line="264" w:lineRule="auto"/>
        <w:tabs>
          <w:tab w:leader="none" w:pos="1422"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60" w:firstLine="606"/>
        <w:spacing w:after="0" w:line="308" w:lineRule="auto"/>
        <w:tabs>
          <w:tab w:leader="none" w:pos="778"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00" w:right="520" w:firstLine="572"/>
        <w:spacing w:after="0" w:line="308" w:lineRule="auto"/>
        <w:tabs>
          <w:tab w:leader="none" w:pos="1411" w:val="left"/>
        </w:tabs>
        <w:numPr>
          <w:ilvl w:val="1"/>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00" w:right="140" w:firstLine="572"/>
        <w:spacing w:after="0" w:line="277" w:lineRule="auto"/>
        <w:tabs>
          <w:tab w:leader="none" w:pos="1422"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2019</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Evan L. Russo, certify that:</w:t>
      </w:r>
    </w:p>
    <w:p>
      <w:pPr>
        <w:spacing w:after="0" w:line="225" w:lineRule="exact"/>
        <w:rPr>
          <w:sz w:val="20"/>
          <w:szCs w:val="20"/>
          <w:color w:val="auto"/>
        </w:rPr>
      </w:pPr>
    </w:p>
    <w:p>
      <w:pPr>
        <w:ind w:left="780" w:hanging="174"/>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2018 of Lazard Group LLC (the “Registrant”);</w:t>
      </w:r>
    </w:p>
    <w:p>
      <w:pPr>
        <w:spacing w:after="0" w:line="225"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606"/>
        <w:spacing w:after="0" w:line="264" w:lineRule="auto"/>
        <w:tabs>
          <w:tab w:leader="none" w:pos="77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0" w:right="460" w:firstLine="572"/>
        <w:spacing w:after="0" w:line="264" w:lineRule="auto"/>
        <w:tabs>
          <w:tab w:leader="none" w:pos="1411"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00" w:right="180" w:firstLine="572"/>
        <w:spacing w:after="0" w:line="264" w:lineRule="auto"/>
        <w:tabs>
          <w:tab w:leader="none" w:pos="1422"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00" w:right="240" w:firstLine="572"/>
        <w:spacing w:after="0" w:line="342" w:lineRule="auto"/>
        <w:tabs>
          <w:tab w:leader="none" w:pos="1411"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00" w:right="140" w:firstLine="572"/>
        <w:spacing w:after="0" w:line="264" w:lineRule="auto"/>
        <w:tabs>
          <w:tab w:leader="none" w:pos="1422"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60" w:firstLine="606"/>
        <w:spacing w:after="0" w:line="308" w:lineRule="auto"/>
        <w:tabs>
          <w:tab w:leader="none" w:pos="778"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00" w:right="520" w:firstLine="572"/>
        <w:spacing w:after="0" w:line="308" w:lineRule="auto"/>
        <w:tabs>
          <w:tab w:leader="none" w:pos="1411" w:val="left"/>
        </w:tabs>
        <w:numPr>
          <w:ilvl w:val="1"/>
          <w:numId w:val="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00" w:right="140" w:firstLine="572"/>
        <w:spacing w:after="0" w:line="277" w:lineRule="auto"/>
        <w:tabs>
          <w:tab w:leader="none" w:pos="1422"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2019</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Annual Report on Form 10-K for the year ended December 31, 2018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18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51"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Annual Report on Form 10-K for the year ended December 31, 2018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1)"/>
      <w:numFmt w:val="lowerRoman"/>
      <w:start w:val="2"/>
    </w:lvl>
  </w:abstractNum>
  <w:abstractNum w:abstractNumId="19">
    <w:nsid w:val="4F4EF005"/>
    <w:multiLevelType w:val="hybridMultilevel"/>
    <w:lvl w:ilvl="0">
      <w:lvlJc w:val="left"/>
      <w:lvlText w:val="(%1)"/>
      <w:numFmt w:val="lowerLetter"/>
      <w:start w:val="1"/>
    </w:lvl>
  </w:abstractNum>
  <w:abstractNum w:abstractNumId="20">
    <w:nsid w:val="23F9C13C"/>
    <w:multiLevelType w:val="hybridMultilevel"/>
    <w:lvl w:ilvl="0">
      <w:lvlJc w:val="left"/>
      <w:lvlText w:val="(%1)"/>
      <w:numFmt w:val="lowerLetter"/>
      <w:start w:val="3"/>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lvl w:ilvl="1">
      <w:lvlJc w:val="left"/>
      <w:lvlText w:val="(%2)"/>
      <w:numFmt w:val="lowerRoman"/>
      <w:start w:val="1"/>
    </w:lvl>
  </w:abstractNum>
  <w:abstractNum w:abstractNumId="24">
    <w:nsid w:val="1CF10FD8"/>
    <w:multiLevelType w:val="hybridMultilevel"/>
    <w:lvl w:ilvl="0">
      <w:lvlJc w:val="left"/>
      <w:lvlText w:val="(%1)"/>
      <w:numFmt w:val="lowerLetter"/>
      <w:start w:val="1"/>
    </w:lvl>
  </w:abstractNum>
  <w:abstractNum w:abstractNumId="25">
    <w:nsid w:val="180115BE"/>
    <w:multiLevelType w:val="hybridMultilevel"/>
    <w:lvl w:ilvl="0">
      <w:lvlJc w:val="left"/>
      <w:lvlText w:val="(%1)"/>
      <w:numFmt w:val="lowerLetter"/>
      <w:start w:val="1"/>
    </w:lvl>
  </w:abstractNum>
  <w:abstractNum w:abstractNumId="26">
    <w:nsid w:val="235BA861"/>
    <w:multiLevelType w:val="hybridMultilevel"/>
    <w:lvl w:ilvl="0">
      <w:lvlJc w:val="left"/>
      <w:lvlText w:val="(%1)"/>
      <w:numFmt w:val="lowerLetter"/>
      <w:start w:val="1"/>
    </w:lvl>
  </w:abstractNum>
  <w:abstractNum w:abstractNumId="27">
    <w:nsid w:val="47398C89"/>
    <w:multiLevelType w:val="hybridMultilevel"/>
    <w:lvl w:ilvl="0">
      <w:lvlJc w:val="left"/>
      <w:lvlText w:val="(%1)"/>
      <w:numFmt w:val="lowerLetter"/>
      <w:start w:val="1"/>
    </w:lvl>
  </w:abstractNum>
  <w:abstractNum w:abstractNumId="28">
    <w:nsid w:val="354FE9F9"/>
    <w:multiLevelType w:val="hybridMultilevel"/>
    <w:lvl w:ilvl="0">
      <w:lvlJc w:val="left"/>
      <w:lvlText w:val="(%1)"/>
      <w:numFmt w:val="lowerRoman"/>
      <w:start w:val="2"/>
    </w:lvl>
  </w:abstractNum>
  <w:abstractNum w:abstractNumId="29">
    <w:nsid w:val="15B5AF5C"/>
    <w:multiLevelType w:val="hybridMultilevel"/>
    <w:lvl w:ilvl="0">
      <w:lvlJc w:val="left"/>
      <w:lvlText w:val="(%1)"/>
      <w:numFmt w:val="lowerLetter"/>
      <w:start w:val="1"/>
    </w:lvl>
  </w:abstractNum>
  <w:abstractNum w:abstractNumId="30">
    <w:nsid w:val="741226BB"/>
    <w:multiLevelType w:val="hybridMultilevel"/>
    <w:lvl w:ilvl="0">
      <w:lvlJc w:val="left"/>
      <w:lvlText w:val="(%1)"/>
      <w:numFmt w:val="lowerLetter"/>
      <w:start w:val="1"/>
    </w:lvl>
  </w:abstractNum>
  <w:abstractNum w:abstractNumId="31">
    <w:nsid w:val="D34B6A8"/>
    <w:multiLevelType w:val="hybridMultilevel"/>
    <w:lvl w:ilvl="0">
      <w:lvlJc w:val="left"/>
      <w:lvlText w:val="(%1)"/>
      <w:numFmt w:val="lowerLetter"/>
      <w:start w:val="2"/>
    </w:lvl>
  </w:abstractNum>
  <w:abstractNum w:abstractNumId="32">
    <w:nsid w:val="10233C99"/>
    <w:multiLevelType w:val="hybridMultilevel"/>
    <w:lvl w:ilvl="0">
      <w:lvlJc w:val="left"/>
      <w:lvlText w:val="(%1)"/>
      <w:numFmt w:val="lowerLetter"/>
      <w:start w:val="1"/>
    </w:lvl>
  </w:abstractNum>
  <w:abstractNum w:abstractNumId="33">
    <w:nsid w:val="3F6AB60F"/>
    <w:multiLevelType w:val="hybridMultilevel"/>
    <w:lvl w:ilvl="0">
      <w:lvlJc w:val="left"/>
      <w:lvlText w:val="(%1)"/>
      <w:numFmt w:val="lowerLetter"/>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1)"/>
      <w:numFmt w:val="lowerLetter"/>
      <w:start w:val="1"/>
    </w:lvl>
  </w:abstractNum>
  <w:abstractNum w:abstractNumId="38">
    <w:nsid w:val="310C50B3"/>
    <w:multiLevelType w:val="hybridMultilevel"/>
    <w:lvl w:ilvl="0">
      <w:lvlJc w:val="left"/>
      <w:lvlText w:val="(%1)"/>
      <w:numFmt w:val="lowerLetter"/>
      <w:start w:val="2"/>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1."/>
      <w:numFmt w:val="decimal"/>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1."/>
      <w:numFmt w:val="decimal"/>
      <w:start w:val="2"/>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1."/>
      <w:numFmt w:val="decimal"/>
      <w:start w:val="3"/>
    </w:lvl>
  </w:abstractNum>
  <w:abstractNum w:abstractNumId="49">
    <w:nsid w:val="15014ACB"/>
    <w:multiLevelType w:val="hybridMultilevel"/>
    <w:lvl w:ilvl="0">
      <w:lvlJc w:val="left"/>
      <w:lvlText w:val="%1."/>
      <w:numFmt w:val="decimal"/>
      <w:start w:val="4"/>
    </w:lvl>
  </w:abstractNum>
  <w:abstractNum w:abstractNumId="50">
    <w:nsid w:val="5F5E7FD0"/>
    <w:multiLevelType w:val="hybridMultilevel"/>
    <w:lvl w:ilvl="0">
      <w:lvlJc w:val="left"/>
      <w:lvlText w:val="(%1)"/>
      <w:numFmt w:val="lowerLetter"/>
      <w:start w:val="1"/>
    </w:lvl>
  </w:abstractNum>
  <w:abstractNum w:abstractNumId="51">
    <w:nsid w:val="98A3148"/>
    <w:multiLevelType w:val="hybridMultilevel"/>
    <w:lvl w:ilvl="0">
      <w:lvlJc w:val="left"/>
      <w:lvlText w:val="%1."/>
      <w:numFmt w:val="decimal"/>
      <w:start w:val="5"/>
    </w:lvl>
  </w:abstractNum>
  <w:abstractNum w:abstractNumId="52">
    <w:nsid w:val="799D0247"/>
    <w:multiLevelType w:val="hybridMultilevel"/>
    <w:lvl w:ilvl="0">
      <w:lvlJc w:val="left"/>
      <w:lvlText w:val="%1."/>
      <w:numFmt w:val="decimal"/>
      <w:start w:val="6"/>
    </w:lvl>
  </w:abstractNum>
  <w:abstractNum w:abstractNumId="53">
    <w:nsid w:val="6B94764"/>
    <w:multiLevelType w:val="hybridMultilevel"/>
    <w:lvl w:ilvl="0">
      <w:lvlJc w:val="left"/>
      <w:lvlText w:val="(%1)"/>
      <w:numFmt w:val="lowerLetter"/>
      <w:start w:val="1"/>
    </w:lvl>
  </w:abstractNum>
  <w:abstractNum w:abstractNumId="54">
    <w:nsid w:val="42C296BD"/>
    <w:multiLevelType w:val="hybridMultilevel"/>
    <w:lvl w:ilvl="0">
      <w:lvlJc w:val="left"/>
      <w:lvlText w:val="%1."/>
      <w:numFmt w:val="decimal"/>
      <w:start w:val="7"/>
    </w:lvl>
  </w:abstractNum>
  <w:abstractNum w:abstractNumId="55">
    <w:nsid w:val="168E121F"/>
    <w:multiLevelType w:val="hybridMultilevel"/>
    <w:lvl w:ilvl="0">
      <w:lvlJc w:val="left"/>
      <w:lvlText w:val="(%1)"/>
      <w:numFmt w:val="lowerLetter"/>
      <w:start w:val="1"/>
    </w:lvl>
  </w:abstractNum>
  <w:abstractNum w:abstractNumId="56">
    <w:nsid w:val="1EBA5D23"/>
    <w:multiLevelType w:val="hybridMultilevel"/>
    <w:lvl w:ilvl="0">
      <w:lvlJc w:val="left"/>
      <w:lvlText w:val="(%1)"/>
      <w:numFmt w:val="lowerLetter"/>
      <w:start w:val="1"/>
    </w:lvl>
  </w:abstractNum>
  <w:abstractNum w:abstractNumId="57">
    <w:nsid w:val="661E3F1E"/>
    <w:multiLevelType w:val="hybridMultilevel"/>
    <w:lvl w:ilvl="0">
      <w:lvlJc w:val="left"/>
      <w:lvlText w:val="(%1)"/>
      <w:numFmt w:val="lowerLetter"/>
      <w:start w:val="1"/>
    </w:lvl>
  </w:abstractNum>
  <w:abstractNum w:abstractNumId="58">
    <w:nsid w:val="5DC79EA8"/>
    <w:multiLevelType w:val="hybridMultilevel"/>
    <w:lvl w:ilvl="0">
      <w:lvlJc w:val="left"/>
      <w:lvlText w:val="%1."/>
      <w:numFmt w:val="decimal"/>
      <w:start w:val="8"/>
    </w:lvl>
  </w:abstractNum>
  <w:abstractNum w:abstractNumId="59">
    <w:nsid w:val="540A471C"/>
    <w:multiLevelType w:val="hybridMultilevel"/>
    <w:lvl w:ilvl="0">
      <w:lvlJc w:val="left"/>
      <w:lvlText w:val="(%1)"/>
      <w:numFmt w:val="lowerLetter"/>
      <w:start w:val="1"/>
    </w:lvl>
  </w:abstractNum>
  <w:abstractNum w:abstractNumId="60">
    <w:nsid w:val="7BD3EE7B"/>
    <w:multiLevelType w:val="hybridMultilevel"/>
    <w:lvl w:ilvl="0">
      <w:lvlJc w:val="left"/>
      <w:lvlText w:val="%1."/>
      <w:numFmt w:val="decimal"/>
      <w:start w:val="9"/>
    </w:lvl>
  </w:abstractNum>
  <w:abstractNum w:abstractNumId="61">
    <w:nsid w:val="51D9C564"/>
    <w:multiLevelType w:val="hybridMultilevel"/>
    <w:lvl w:ilvl="0">
      <w:lvlJc w:val="left"/>
      <w:lvlText w:val="%1."/>
      <w:numFmt w:val="decimal"/>
      <w:start w:val="10"/>
    </w:lvl>
  </w:abstractNum>
  <w:abstractNum w:abstractNumId="62">
    <w:nsid w:val="613EFDC5"/>
    <w:multiLevelType w:val="hybridMultilevel"/>
    <w:lvl w:ilvl="0">
      <w:lvlJc w:val="left"/>
      <w:lvlText w:val="%1."/>
      <w:numFmt w:val="decimal"/>
      <w:start w:val="11"/>
    </w:lvl>
  </w:abstractNum>
  <w:abstractNum w:abstractNumId="63">
    <w:nsid w:val="BF72B14"/>
    <w:multiLevelType w:val="hybridMultilevel"/>
    <w:lvl w:ilvl="0">
      <w:lvlJc w:val="left"/>
      <w:lvlText w:val="(%1)"/>
      <w:numFmt w:val="lowerLetter"/>
      <w:start w:val="1"/>
    </w:lvl>
  </w:abstractNum>
  <w:abstractNum w:abstractNumId="64">
    <w:nsid w:val="11447B73"/>
    <w:multiLevelType w:val="hybridMultilevel"/>
    <w:lvl w:ilvl="0">
      <w:lvlJc w:val="left"/>
      <w:lvlText w:val="%1."/>
      <w:numFmt w:val="decimal"/>
      <w:start w:val="12"/>
    </w:lvl>
  </w:abstractNum>
  <w:abstractNum w:abstractNumId="65">
    <w:nsid w:val="42963E5A"/>
    <w:multiLevelType w:val="hybridMultilevel"/>
    <w:lvl w:ilvl="0">
      <w:lvlJc w:val="left"/>
      <w:lvlText w:val="(%1)"/>
      <w:numFmt w:val="lowerLetter"/>
      <w:start w:val="1"/>
    </w:lvl>
  </w:abstractNum>
  <w:abstractNum w:abstractNumId="66">
    <w:nsid w:val="A0382C5"/>
    <w:multiLevelType w:val="hybridMultilevel"/>
    <w:lvl w:ilvl="0">
      <w:lvlJc w:val="left"/>
      <w:lvlText w:val="(%1)"/>
      <w:numFmt w:val="lowerLetter"/>
      <w:start w:val="2"/>
    </w:lvl>
  </w:abstractNum>
  <w:abstractNum w:abstractNumId="67">
    <w:nsid w:val="8F2B15E"/>
    <w:multiLevelType w:val="hybridMultilevel"/>
    <w:lvl w:ilvl="0">
      <w:lvlJc w:val="left"/>
      <w:lvlText w:val="%1."/>
      <w:numFmt w:val="decimal"/>
      <w:start w:val="13"/>
    </w:lvl>
  </w:abstractNum>
  <w:abstractNum w:abstractNumId="68">
    <w:nsid w:val="1A32234B"/>
    <w:multiLevelType w:val="hybridMultilevel"/>
    <w:lvl w:ilvl="0">
      <w:lvlJc w:val="left"/>
      <w:lvlText w:val="%1."/>
      <w:numFmt w:val="decimal"/>
      <w:start w:val="14"/>
    </w:lvl>
  </w:abstractNum>
  <w:abstractNum w:abstractNumId="69">
    <w:nsid w:val="3B0FD379"/>
    <w:multiLevelType w:val="hybridMultilevel"/>
    <w:lvl w:ilvl="0">
      <w:lvlJc w:val="left"/>
      <w:lvlText w:val="(%1)"/>
      <w:numFmt w:val="lowerLetter"/>
      <w:start w:val="1"/>
    </w:lvl>
  </w:abstractNum>
  <w:abstractNum w:abstractNumId="70">
    <w:nsid w:val="68EB2F63"/>
    <w:multiLevelType w:val="hybridMultilevel"/>
    <w:lvl w:ilvl="0">
      <w:lvlJc w:val="left"/>
      <w:lvlText w:val="%1."/>
      <w:numFmt w:val="decimal"/>
      <w:start w:val="15"/>
    </w:lvl>
  </w:abstractNum>
  <w:abstractNum w:abstractNumId="71">
    <w:nsid w:val="4962813B"/>
    <w:multiLevelType w:val="hybridMultilevel"/>
    <w:lvl w:ilvl="0">
      <w:lvlJc w:val="left"/>
      <w:lvlText w:val="(%1)"/>
      <w:numFmt w:val="lowerLetter"/>
      <w:start w:val="1"/>
    </w:lvl>
  </w:abstractNum>
  <w:abstractNum w:abstractNumId="72">
    <w:nsid w:val="60B6DF70"/>
    <w:multiLevelType w:val="hybridMultilevel"/>
    <w:lvl w:ilvl="0">
      <w:lvlJc w:val="left"/>
      <w:lvlText w:val="%1."/>
      <w:numFmt w:val="decimal"/>
      <w:start w:val="16"/>
    </w:lvl>
  </w:abstractNum>
  <w:abstractNum w:abstractNumId="73">
    <w:nsid w:val="6A5EE64"/>
    <w:multiLevelType w:val="hybridMultilevel"/>
    <w:lvl w:ilvl="0">
      <w:lvlJc w:val="left"/>
      <w:lvlText w:val="(%1)"/>
      <w:numFmt w:val="lowerLetter"/>
      <w:start w:val="1"/>
    </w:lvl>
  </w:abstractNum>
  <w:abstractNum w:abstractNumId="74">
    <w:nsid w:val="14330624"/>
    <w:multiLevelType w:val="hybridMultilevel"/>
    <w:lvl w:ilvl="0">
      <w:lvlJc w:val="left"/>
      <w:lvlText w:val="%1."/>
      <w:numFmt w:val="decimal"/>
      <w:start w:val="17"/>
    </w:lvl>
  </w:abstractNum>
  <w:abstractNum w:abstractNumId="75">
    <w:nsid w:val="7FFFCA11"/>
    <w:multiLevelType w:val="hybridMultilevel"/>
    <w:lvl w:ilvl="0">
      <w:lvlJc w:val="left"/>
      <w:lvlText w:val="(%1)"/>
      <w:numFmt w:val="lowerLetter"/>
      <w:start w:val="1"/>
    </w:lvl>
  </w:abstractNum>
  <w:abstractNum w:abstractNumId="76">
    <w:nsid w:val="1A27709E"/>
    <w:multiLevelType w:val="hybridMultilevel"/>
    <w:lvl w:ilvl="0">
      <w:lvlJc w:val="left"/>
      <w:lvlText w:val="(%1)"/>
      <w:numFmt w:val="lowerLetter"/>
      <w:start w:val="1"/>
    </w:lvl>
  </w:abstractNum>
  <w:abstractNum w:abstractNumId="77">
    <w:nsid w:val="71EA1109"/>
    <w:multiLevelType w:val="hybridMultilevel"/>
    <w:lvl w:ilvl="0">
      <w:lvlJc w:val="left"/>
      <w:lvlText w:val="(%1)"/>
      <w:numFmt w:val="lowerRoman"/>
      <w:start w:val="1"/>
    </w:lvl>
  </w:abstractNum>
  <w:abstractNum w:abstractNumId="78">
    <w:nsid w:val="100F59DC"/>
    <w:multiLevelType w:val="hybridMultilevel"/>
    <w:lvl w:ilvl="0">
      <w:lvlJc w:val="left"/>
      <w:lvlText w:val="%1."/>
      <w:numFmt w:val="decimal"/>
      <w:start w:val="18"/>
    </w:lvl>
  </w:abstractNum>
  <w:abstractNum w:abstractNumId="79">
    <w:nsid w:val="7FB7E0AA"/>
    <w:multiLevelType w:val="hybridMultilevel"/>
    <w:lvl w:ilvl="0">
      <w:lvlJc w:val="left"/>
      <w:lvlText w:val="%1."/>
      <w:numFmt w:val="decimal"/>
      <w:start w:val="19"/>
    </w:lvl>
  </w:abstractNum>
  <w:abstractNum w:abstractNumId="80">
    <w:nsid w:val="6EB5BD4"/>
    <w:multiLevelType w:val="hybridMultilevel"/>
    <w:lvl w:ilvl="0">
      <w:lvlJc w:val="left"/>
      <w:lvlText w:val="%1."/>
      <w:numFmt w:val="decimal"/>
      <w:start w:val="20"/>
    </w:lvl>
  </w:abstractNum>
  <w:abstractNum w:abstractNumId="81">
    <w:nsid w:val="6F6DD9AC"/>
    <w:multiLevelType w:val="hybridMultilevel"/>
    <w:lvl w:ilvl="0">
      <w:lvlJc w:val="left"/>
      <w:lvlText w:val="•"/>
      <w:numFmt w:val="bullet"/>
      <w:start w:val="1"/>
    </w:lvl>
  </w:abstractNum>
  <w:abstractNum w:abstractNumId="82">
    <w:nsid w:val="94211F2"/>
    <w:multiLevelType w:val="hybridMultilevel"/>
    <w:lvl w:ilvl="0">
      <w:lvlJc w:val="left"/>
      <w:lvlText w:val="(%1)"/>
      <w:numFmt w:val="lowerLetter"/>
      <w:start w:val="1"/>
    </w:lvl>
  </w:abstractNum>
  <w:abstractNum w:abstractNumId="83">
    <w:nsid w:val="885E1B"/>
    <w:multiLevelType w:val="hybridMultilevel"/>
    <w:lvl w:ilvl="0">
      <w:lvlJc w:val="left"/>
      <w:lvlText w:val="(%1)"/>
      <w:numFmt w:val="decimal"/>
      <w:start w:val="1"/>
    </w:lvl>
  </w:abstractNum>
  <w:abstractNum w:abstractNumId="84">
    <w:nsid w:val="76272110"/>
    <w:multiLevelType w:val="hybridMultilevel"/>
    <w:lvl w:ilvl="0">
      <w:lvlJc w:val="left"/>
      <w:lvlText w:val="(%1)"/>
      <w:numFmt w:val="lowerLetter"/>
      <w:start w:val="1"/>
    </w:lvl>
    <w:lvl w:ilvl="1">
      <w:lvlJc w:val="left"/>
      <w:lvlText w:val="%2."/>
      <w:numFmt w:val="decimal"/>
      <w:start w:val="1"/>
    </w:lvl>
  </w:abstractNum>
  <w:abstractNum w:abstractNumId="85">
    <w:nsid w:val="4C04A8AF"/>
    <w:multiLevelType w:val="hybridMultilevel"/>
    <w:lvl w:ilvl="0">
      <w:lvlJc w:val="left"/>
      <w:lvlText w:val="*"/>
      <w:numFmt w:val="bullet"/>
      <w:start w:val="1"/>
    </w:lvl>
  </w:abstractNum>
  <w:abstractNum w:abstractNumId="86">
    <w:nsid w:val="1716703B"/>
    <w:multiLevelType w:val="hybridMultilevel"/>
    <w:lvl w:ilvl="0">
      <w:lvlJc w:val="left"/>
      <w:lvlText w:val="%1."/>
      <w:numFmt w:val="decimal"/>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9" Type="http://schemas.openxmlformats.org/officeDocument/2006/relationships/image" Target="media/image172.png"/><Relationship Id="rId210" Type="http://schemas.openxmlformats.org/officeDocument/2006/relationships/image" Target="media/image173.png"/><Relationship Id="rId211" Type="http://schemas.openxmlformats.org/officeDocument/2006/relationships/image" Target="media/image174.png"/><Relationship Id="rId212" Type="http://schemas.openxmlformats.org/officeDocument/2006/relationships/image" Target="media/image175.png"/><Relationship Id="rId213" Type="http://schemas.openxmlformats.org/officeDocument/2006/relationships/image" Target="media/image176.png"/><Relationship Id="rId214" Type="http://schemas.openxmlformats.org/officeDocument/2006/relationships/image" Target="media/image177.png"/><Relationship Id="rId215" Type="http://schemas.openxmlformats.org/officeDocument/2006/relationships/image" Target="media/image178.pn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175" Type="http://schemas.openxmlformats.org/officeDocument/2006/relationships/hyperlink" Target="http://www.sec.gov/Archives/edgar/data/1326141/000119312505145683/dex31.htm" TargetMode="External"/><Relationship Id="rId176" Type="http://schemas.openxmlformats.org/officeDocument/2006/relationships/hyperlink" Target="http://www.sec.gov/Archives/edgar/data/1326141/000119312505145683/dex32.htm" TargetMode="External"/><Relationship Id="rId177" Type="http://schemas.openxmlformats.org/officeDocument/2006/relationships/hyperlink" Target="http://www.sec.gov/Archives/edgar/data/1326141/000119312519027573/d655030dex991.htm" TargetMode="External"/><Relationship Id="rId178" Type="http://schemas.openxmlformats.org/officeDocument/2006/relationships/hyperlink" Target="http://www.sec.gov/Archives/edgar/data/1326141/000119312505145683/dex41.htm" TargetMode="External"/><Relationship Id="rId179" Type="http://schemas.openxmlformats.org/officeDocument/2006/relationships/hyperlink" Target="http://www.sec.gov/Archives/edgar/data/1326141/000119312513442331/d627938dex41.htm" TargetMode="External"/><Relationship Id="rId180" Type="http://schemas.openxmlformats.org/officeDocument/2006/relationships/hyperlink" Target="http://www.sec.gov/Archives/edgar/data/1326141/000119312515050372/d871109dex41.htm" TargetMode="External"/><Relationship Id="rId181" Type="http://schemas.openxmlformats.org/officeDocument/2006/relationships/hyperlink" Target="http://www.sec.gov/Archives/edgar/data/1326141/000119312516760474/d275674dex41.htm" TargetMode="External"/><Relationship Id="rId182" Type="http://schemas.openxmlformats.org/officeDocument/2006/relationships/hyperlink" Target="http://www.sec.gov/Archives/edgar/data/1311370/000119312518277695/d614135dex41.htm" TargetMode="External"/><Relationship Id="rId183" Type="http://schemas.openxmlformats.org/officeDocument/2006/relationships/hyperlink" Target="http://www.sec.gov/Archives/edgar/data/1311370/000119312505025486/dex1019.htm" TargetMode="External"/><Relationship Id="rId186" Type="http://schemas.openxmlformats.org/officeDocument/2006/relationships/hyperlink" Target="http://www.sec.gov/Archives/edgar/data/1326141/000119312511117049/dex1015.htm" TargetMode="External"/><Relationship Id="rId187" Type="http://schemas.openxmlformats.org/officeDocument/2006/relationships/hyperlink" Target="http://www.sec.gov/Archives/edgar/data/1311370/000119312505091140/dex1021.htm" TargetMode="External"/><Relationship Id="rId188" Type="http://schemas.openxmlformats.org/officeDocument/2006/relationships/hyperlink" Target="http://www.sec.gov/Archives/edgar/data/1311370/000119312508063107/ddef14a.htm" TargetMode="External"/><Relationship Id="rId189" Type="http://schemas.openxmlformats.org/officeDocument/2006/relationships/hyperlink" Target="http://www.sec.gov/Archives/edgar/data/1311370/000119312516500308/d128121ddef14a.htm" TargetMode="External"/><Relationship Id="rId190" Type="http://schemas.openxmlformats.org/officeDocument/2006/relationships/hyperlink" Target="http://www.sec.gov/Archives/edgar/data/1311370/000119312518082725/d525181ddef14a.htm" TargetMode="External"/><Relationship Id="rId191" Type="http://schemas.openxmlformats.org/officeDocument/2006/relationships/hyperlink" Target="http://www.sec.gov/Archives/edgar/data/1326141/000119312516556968/d177065dex107.htm" TargetMode="External"/><Relationship Id="rId192" Type="http://schemas.openxmlformats.org/officeDocument/2006/relationships/hyperlink" Target="http://www.sec.gov/Archives/edgar/data/1326141/000119312516556968/d177065dex108.htm" TargetMode="External"/><Relationship Id="rId193" Type="http://schemas.openxmlformats.org/officeDocument/2006/relationships/hyperlink" Target="http://www.sec.gov/Archives/edgar/data/1326141/000119312516556968/d177065dex1010.htm" TargetMode="External"/><Relationship Id="rId194" Type="http://schemas.openxmlformats.org/officeDocument/2006/relationships/hyperlink" Target="http://www.sec.gov/Archives/edgar/data/1326141/000156459017020406/lzd-ex1011_801.htm" TargetMode="External"/><Relationship Id="rId195" Type="http://schemas.openxmlformats.org/officeDocument/2006/relationships/hyperlink" Target="http://www.sec.gov/Archives/edgar/data/1326141/000156459017020406/lzd-ex1012_802.htm" TargetMode="External"/><Relationship Id="rId196" Type="http://schemas.openxmlformats.org/officeDocument/2006/relationships/hyperlink" Target="http://www.sec.gov/Archives/edgar/data/1326141/000119312516556968/d177065dex1011.htm" TargetMode="External"/><Relationship Id="rId197" Type="http://schemas.openxmlformats.org/officeDocument/2006/relationships/hyperlink" Target="http://www.sec.gov/Archives/edgar/data/1311370/000089882205001180/sept9_exhibit.txt" TargetMode="External"/><Relationship Id="rId198" Type="http://schemas.openxmlformats.org/officeDocument/2006/relationships/hyperlink" Target="http://www.sec.gov/Archives/edgar/data/1311370/000119312509041325/dex1041.htm" TargetMode="External"/><Relationship Id="rId199" Type="http://schemas.openxmlformats.org/officeDocument/2006/relationships/hyperlink" Target="http://www.sec.gov/Archives/edgar/data/1311370/000119312509041325/dex1042.htm" TargetMode="External"/><Relationship Id="rId202" Type="http://schemas.openxmlformats.org/officeDocument/2006/relationships/hyperlink" Target="http://www.sec.gov/Archives/edgar/data/1311370/000119312506109044/dex1039.htm" TargetMode="External"/><Relationship Id="rId203" Type="http://schemas.openxmlformats.org/officeDocument/2006/relationships/hyperlink" Target="http://www.sec.gov/Archives/edgar/data/1326141/000119312515355050/d40575dex1025.htm" TargetMode="External"/><Relationship Id="rId204" Type="http://schemas.openxmlformats.org/officeDocument/2006/relationships/hyperlink" Target="http://www.sec.gov/Archives/edgar/data/1326141/000119312513188145/d507153dex1054.htm" TargetMode="External"/><Relationship Id="rId205" Type="http://schemas.openxmlformats.org/officeDocument/2006/relationships/hyperlink" Target="http://www.sec.gov/Archives/edgar/data/1326141/000119312514185018/d700862dex1054.htm" TargetMode="External"/><Relationship Id="rId206" Type="http://schemas.openxmlformats.org/officeDocument/2006/relationships/hyperlink" Target="http://www.sec.gov/Archives/edgar/data/1326141/000119312514185018/d700862dex1055.htm" TargetMode="External"/><Relationship Id="rId207" Type="http://schemas.openxmlformats.org/officeDocument/2006/relationships/hyperlink" Target="http://www.sec.gov/Archives/edgar/data/1326141/000119312510102282/dex1054.htm" TargetMode="External"/><Relationship Id="rId208" Type="http://schemas.openxmlformats.org/officeDocument/2006/relationships/hyperlink" Target="http://www.sec.gov/Archives/edgar/data/1326141/000119312511117049/dex105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2019-12-28T16:03:46Z</dcterms:created>
  <dcterms:modified xsi:type="dcterms:W3CDTF">2019-12-28T16:03:46Z</dcterms:modified>
</cp:coreProperties>
</file>