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1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1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1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56"/>
              <w:spacing w:after="0"/>
              <w:rPr>
                <w:sz w:val="20"/>
                <w:szCs w:val="20"/>
                <w:color w:val="auto"/>
              </w:rPr>
            </w:pPr>
            <w:r>
              <w:rPr>
                <w:rFonts w:ascii="Arial" w:cs="Arial" w:eastAsia="Arial" w:hAnsi="Arial"/>
                <w:sz w:val="18"/>
                <w:szCs w:val="18"/>
                <w:b w:val="1"/>
                <w:bCs w:val="1"/>
                <w:color w:val="auto"/>
              </w:rPr>
              <w:t>001-32492</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LAZARD LTD</w:t>
      </w:r>
    </w:p>
    <w:p>
      <w:pPr>
        <w:spacing w:after="0" w:line="42"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140"/>
          </w:cols>
          <w:pgMar w:left="240" w:top="571" w:right="519" w:bottom="1440" w:gutter="0" w:footer="0" w:header="0"/>
        </w:sectPr>
      </w:pPr>
    </w:p>
    <w:p>
      <w:pPr>
        <w:spacing w:after="0" w:line="2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98-0437848</w:t>
      </w:r>
    </w:p>
    <w:p>
      <w:pPr>
        <w:spacing w:after="0" w:line="50" w:lineRule="exact"/>
        <w:rPr>
          <w:sz w:val="24"/>
          <w:szCs w:val="24"/>
          <w:color w:val="auto"/>
        </w:rPr>
      </w:pPr>
    </w:p>
    <w:p>
      <w:pPr>
        <w:sectPr>
          <w:pgSz w:w="11900" w:h="16838" w:orient="portrait"/>
          <w:cols w:equalWidth="0" w:num="2">
            <w:col w:w="7480" w:space="720"/>
            <w:col w:w="2940"/>
          </w:cols>
          <w:pgMar w:left="240" w:top="571" w:right="519" w:bottom="1440" w:gutter="0" w:footer="0" w:header="0"/>
          <w:type w:val="continuous"/>
        </w:sectPr>
      </w:pPr>
    </w:p>
    <w:p>
      <w:pPr>
        <w:jc w:val="center"/>
        <w:ind w:right="110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49" w:lineRule="exact"/>
        <w:rPr>
          <w:sz w:val="24"/>
          <w:szCs w:val="24"/>
          <w:color w:val="auto"/>
        </w:rPr>
      </w:pPr>
    </w:p>
    <w:p>
      <w:pPr>
        <w:sectPr>
          <w:pgSz w:w="11900" w:h="16838" w:orient="portrait"/>
          <w:cols w:equalWidth="0" w:num="2">
            <w:col w:w="6820" w:space="720"/>
            <w:col w:w="3600"/>
          </w:cols>
          <w:pgMar w:left="240" w:top="571" w:right="519" w:bottom="1440" w:gutter="0" w:footer="0" w:header="0"/>
          <w:type w:val="continuous"/>
        </w:sectPr>
      </w:pPr>
    </w:p>
    <w:p>
      <w:pPr>
        <w:jc w:val="center"/>
        <w:ind w:right="-27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2 Church Street</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Hamilton HM11, Bermuda</w:t>
      </w:r>
    </w:p>
    <w:p>
      <w:pPr>
        <w:spacing w:after="0" w:line="2" w:lineRule="exact"/>
        <w:rPr>
          <w:sz w:val="24"/>
          <w:szCs w:val="24"/>
          <w:color w:val="auto"/>
        </w:rPr>
      </w:pPr>
    </w:p>
    <w:p>
      <w:pPr>
        <w:jc w:val="center"/>
        <w:ind w:right="-27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140"/>
          </w:cols>
          <w:pgMar w:left="240" w:top="571" w:right="519" w:bottom="1440" w:gutter="0" w:footer="0" w:header="0"/>
          <w:type w:val="continuous"/>
        </w:sectPr>
      </w:pPr>
    </w:p>
    <w:p>
      <w:pPr>
        <w:spacing w:after="0" w:line="10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Registrant’s telephone number: (441) 295-1422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2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400" w:firstLine="518"/>
        <w:spacing w:after="0" w:line="32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140"/>
          </w:cols>
          <w:pgMar w:left="240" w:top="571" w:right="519" w:bottom="1440" w:gutter="0" w:footer="0" w:header="0"/>
          <w:type w:val="continuous"/>
        </w:sectPr>
      </w:pPr>
    </w:p>
    <w:p>
      <w:pPr>
        <w:spacing w:after="0" w:line="105" w:lineRule="exact"/>
        <w:rPr>
          <w:sz w:val="24"/>
          <w:szCs w:val="24"/>
          <w:color w:val="auto"/>
        </w:rPr>
      </w:pPr>
    </w:p>
    <w:p>
      <w:pPr>
        <w:ind w:left="5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74" w:lineRule="exact"/>
        <w:rPr>
          <w:sz w:val="24"/>
          <w:szCs w:val="24"/>
          <w:color w:val="auto"/>
        </w:rPr>
      </w:pPr>
    </w:p>
    <w:p>
      <w:pPr>
        <w:ind w:left="58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3">
            <w:col w:w="4540" w:space="720"/>
            <w:col w:w="1760" w:space="80"/>
            <w:col w:w="4040"/>
          </w:cols>
          <w:pgMar w:left="240" w:top="571" w:right="519" w:bottom="1440" w:gutter="0" w:footer="0" w:header="0"/>
          <w:type w:val="continuous"/>
        </w:sectPr>
      </w:pPr>
    </w:p>
    <w:p>
      <w:pPr>
        <w:ind w:left="520"/>
        <w:spacing w:after="0" w:line="184" w:lineRule="exact"/>
        <w:tabs>
          <w:tab w:leader="none" w:pos="7860" w:val="left"/>
          <w:tab w:leader="none" w:pos="84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57"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October 21, 2016, there were 129,766,091 shares of the Registrant’s Class A common stock outstanding (including 6,518,845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826135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240" w:top="571" w:right="5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September 30, 2016 of all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860" w:type="dxa"/>
            <w:vAlign w:val="bottom"/>
            <w:gridSpan w:val="6"/>
          </w:tcPr>
          <w:p>
            <w:pPr>
              <w:ind w:left="18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980" w:type="dxa"/>
            <w:vAlign w:val="bottom"/>
            <w:gridSpan w:val="7"/>
          </w:tcPr>
          <w:p>
            <w:pPr>
              <w:ind w:left="28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91"/>
        </w:trPr>
        <w:tc>
          <w:tcPr>
            <w:tcW w:w="79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September 30, 2016 and December 31, 2015</w:t>
              </w:r>
            </w:hyperlink>
          </w:p>
        </w:tc>
        <w:tc>
          <w:tcPr>
            <w:tcW w:w="290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18"/>
        </w:trPr>
        <w:tc>
          <w:tcPr>
            <w:tcW w:w="9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 and nine month periods ended September 30, 2016 and 2015</w:t>
              </w:r>
            </w:hyperlink>
          </w:p>
        </w:tc>
        <w:tc>
          <w:tcPr>
            <w:tcW w:w="1340" w:type="dxa"/>
            <w:vAlign w:val="bottom"/>
            <w:gridSpan w:val="3"/>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318"/>
        </w:trPr>
        <w:tc>
          <w:tcPr>
            <w:tcW w:w="10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nine month periods ended September 30, 2016 and 2015</w:t>
              </w:r>
            </w:hyperlink>
          </w:p>
        </w:tc>
        <w:tc>
          <w:tcPr>
            <w:tcW w:w="42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318"/>
        </w:trPr>
        <w:tc>
          <w:tcPr>
            <w:tcW w:w="83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 periods ended September 30, 2016 and 2015</w:t>
              </w:r>
            </w:hyperlink>
          </w:p>
        </w:tc>
        <w:tc>
          <w:tcPr>
            <w:tcW w:w="2500" w:type="dxa"/>
            <w:vAlign w:val="bottom"/>
            <w:gridSpan w:val="4"/>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318"/>
        </w:trPr>
        <w:tc>
          <w:tcPr>
            <w:tcW w:w="10860" w:type="dxa"/>
            <w:vAlign w:val="bottom"/>
            <w:gridSpan w:val="8"/>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Condensed Consolidated Statements of Changes in Stockholders’ Equity for the nine month periods ended September 30, 2016 and 2015</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318"/>
        </w:trPr>
        <w:tc>
          <w:tcPr>
            <w:tcW w:w="988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98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88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AND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853,887</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1,132,083</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534,865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34,948</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$12,967 and $12,882 at</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September 30, 2016 and December 31, 2015,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440,823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423,817</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73,396</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537,695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497,213</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462,758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541,911</w:t>
            </w:r>
          </w:p>
        </w:tc>
        <w:tc>
          <w:tcPr>
            <w:tcW w:w="120" w:type="dxa"/>
            <w:vAlign w:val="bottom"/>
            <w:shd w:val="clear" w:color="auto" w:fill="CFF0FC"/>
          </w:tcPr>
          <w:p>
            <w:pPr>
              <w:spacing w:after="0"/>
              <w:rPr>
                <w:sz w:val="19"/>
                <w:szCs w:val="19"/>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$289,417 and $265,506</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at September 30, 2016 and December 31, 2015, respectively)</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204,300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207,165</w:t>
            </w:r>
          </w:p>
        </w:tc>
        <w:tc>
          <w:tcPr>
            <w:tcW w:w="120" w:type="dxa"/>
            <w:vAlign w:val="bottom"/>
          </w:tcPr>
          <w:p>
            <w:pPr>
              <w:spacing w:after="0"/>
              <w:rPr>
                <w:sz w:val="20"/>
                <w:szCs w:val="20"/>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 (net of accumulated amortization of $59,370 and</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$57,561 at September 30, 2016 and December 31, 2015,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353,850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326,976</w:t>
            </w: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1,107,046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1,130,595</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217,022</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4,302,303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4,477,774</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AND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8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Liabilities: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587,059</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506,665</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375,512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570,409</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990,488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989,358</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Tax receivable agreement obligation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513,623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523,962</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11,104</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Capital lease obligations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9,028</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517,065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499,942</w:t>
            </w:r>
          </w:p>
        </w:tc>
        <w:tc>
          <w:tcPr>
            <w:tcW w:w="120" w:type="dxa"/>
            <w:vAlign w:val="bottom"/>
            <w:shd w:val="clear" w:color="auto" w:fill="CFF0FC"/>
          </w:tcPr>
          <w:p>
            <w:pPr>
              <w:spacing w:after="0"/>
              <w:rPr>
                <w:sz w:val="19"/>
                <w:szCs w:val="19"/>
                <w:color w:val="auto"/>
              </w:rPr>
            </w:pPr>
          </w:p>
        </w:tc>
      </w:tr>
      <w:tr>
        <w:trPr>
          <w:trHeight w:val="223"/>
        </w:trPr>
        <w:tc>
          <w:tcPr>
            <w:tcW w:w="70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3,001,161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3,110,468</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8"/>
                <w:szCs w:val="18"/>
                <w:color w:val="auto"/>
              </w:rPr>
              <w:t>Series A - 7,921 shares issued and outstanding at September 30, 2016 and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80" w:type="dxa"/>
            <w:vAlign w:val="bottom"/>
          </w:tcPr>
          <w:p>
            <w:pPr>
              <w:ind w:left="640"/>
              <w:spacing w:after="0"/>
              <w:rPr>
                <w:sz w:val="20"/>
                <w:szCs w:val="20"/>
                <w:color w:val="auto"/>
              </w:rPr>
            </w:pPr>
            <w:r>
              <w:rPr>
                <w:rFonts w:ascii="Arial" w:cs="Arial" w:eastAsia="Arial" w:hAnsi="Arial"/>
                <w:sz w:val="18"/>
                <w:szCs w:val="18"/>
                <w:color w:val="auto"/>
              </w:rPr>
              <w:t>December 31, 2015</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B - no shares issued and outstanding</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Class A, par value $.01 per share (500,000,000 shares authorized; 129,766,091</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shares issued at September 30, 2016 and December 31, 2015, including shares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held by subsidiaries as indicated below)</w:t>
            </w: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FF0FC"/>
          </w:tcPr>
          <w:p>
            <w:pPr>
              <w:spacing w:after="0"/>
              <w:rPr>
                <w:sz w:val="20"/>
                <w:szCs w:val="20"/>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623,512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600,034</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1,058,189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1,123,728</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(236,088)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(234,356)</w:t>
            </w:r>
          </w:p>
        </w:tc>
      </w:tr>
      <w:tr>
        <w:trPr>
          <w:trHeight w:val="223"/>
        </w:trPr>
        <w:tc>
          <w:tcPr>
            <w:tcW w:w="70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1,446,911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1,490,704</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7080" w:type="dxa"/>
            <w:vAlign w:val="bottom"/>
          </w:tcPr>
          <w:p>
            <w:pPr>
              <w:ind w:left="260"/>
              <w:spacing w:after="0"/>
              <w:rPr>
                <w:sz w:val="20"/>
                <w:szCs w:val="20"/>
                <w:color w:val="auto"/>
              </w:rPr>
            </w:pPr>
            <w:r>
              <w:rPr>
                <w:rFonts w:ascii="Arial" w:cs="Arial" w:eastAsia="Arial" w:hAnsi="Arial"/>
                <w:sz w:val="18"/>
                <w:szCs w:val="18"/>
                <w:color w:val="auto"/>
              </w:rPr>
              <w:t>Class A common stock held by subsidiaries, at cost (5,778,090 and 4,253,381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80" w:type="dxa"/>
            <w:vAlign w:val="bottom"/>
          </w:tcPr>
          <w:p>
            <w:pPr>
              <w:ind w:left="380"/>
              <w:spacing w:after="0"/>
              <w:rPr>
                <w:sz w:val="20"/>
                <w:szCs w:val="20"/>
                <w:color w:val="auto"/>
              </w:rPr>
            </w:pPr>
            <w:r>
              <w:rPr>
                <w:rFonts w:ascii="Arial" w:cs="Arial" w:eastAsia="Arial" w:hAnsi="Arial"/>
                <w:sz w:val="18"/>
                <w:szCs w:val="18"/>
                <w:color w:val="auto"/>
              </w:rPr>
              <w:t>shares at September 30, 2016 and December 31, 2015, respectively)</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(203,736)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(177,249)</w:t>
            </w:r>
          </w:p>
        </w:tc>
      </w:tr>
      <w:tr>
        <w:trPr>
          <w:trHeight w:val="223"/>
        </w:trPr>
        <w:tc>
          <w:tcPr>
            <w:tcW w:w="70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Lazard Ltd Stockholders’ Equity</w:t>
            </w: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1,243,175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1,313,455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53,851</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1,301,142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1,367,306</w:t>
            </w:r>
          </w:p>
        </w:tc>
        <w:tc>
          <w:tcPr>
            <w:tcW w:w="120" w:type="dxa"/>
            <w:vAlign w:val="bottom"/>
            <w:shd w:val="clear" w:color="auto" w:fill="CFF0FC"/>
          </w:tcPr>
          <w:p>
            <w:pPr>
              <w:spacing w:after="0"/>
              <w:rPr>
                <w:sz w:val="19"/>
                <w:szCs w:val="19"/>
                <w:color w:val="auto"/>
              </w:rPr>
            </w:pPr>
          </w:p>
        </w:tc>
      </w:tr>
      <w:tr>
        <w:trPr>
          <w:trHeight w:val="223"/>
        </w:trPr>
        <w:tc>
          <w:tcPr>
            <w:tcW w:w="70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7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4,302,303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4,477,774</w:t>
            </w:r>
          </w:p>
        </w:tc>
        <w:tc>
          <w:tcPr>
            <w:tcW w:w="12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5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343,154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330,408</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894,906</w:t>
            </w:r>
          </w:p>
        </w:tc>
        <w:tc>
          <w:tcPr>
            <w:tcW w:w="26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946,057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729,679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784,461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49,607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621,102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585,316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1,677,860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1,799,790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36,054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608,908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573,518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1,641,806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1,760,359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353,756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319,565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959,276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984,786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60,492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71,406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31,877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(benefit) pursuant to tax receivable agreement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(420,792)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459,916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1,281,201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148,992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570,744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360,605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(993,560)</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112,618</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399,790</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264,705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112,536</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398,521</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259,716</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828,587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96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ATTRIBUTABLE TO LAZARD LTD CLASS A</w:t>
            </w: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COMMON STOCKHOLDERS:</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960" w:type="dxa"/>
            <w:vAlign w:val="bottom"/>
          </w:tcPr>
          <w:p>
            <w:pPr>
              <w:ind w:left="260"/>
              <w:spacing w:after="0"/>
              <w:rPr>
                <w:sz w:val="20"/>
                <w:szCs w:val="20"/>
                <w:color w:val="auto"/>
              </w:rPr>
            </w:pPr>
            <w:r>
              <w:rPr>
                <w:rFonts w:ascii="Arial" w:cs="Arial" w:eastAsia="Arial" w:hAnsi="Arial"/>
                <w:sz w:val="18"/>
                <w:szCs w:val="18"/>
                <w:b w:val="1"/>
                <w:bCs w:val="1"/>
                <w:color w:val="auto"/>
              </w:rPr>
              <w:t>WEIGHTED AVERAGE SHARES OF COMMON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480"/>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124,408,884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125,925,006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125,303,758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125,264,447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132,320,855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133,115,419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132,517,887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133,219,137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INCOME PER SHARE OF COMMON STOCK:</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50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0.90</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23"/>
                <w:szCs w:val="23"/>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DIVIDENDS DECLARED PER SHARE OF</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48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112,618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399,790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264,705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837,591</w:t>
            </w:r>
          </w:p>
        </w:tc>
        <w:tc>
          <w:tcPr>
            <w:tcW w:w="100" w:type="dxa"/>
            <w:vAlign w:val="bottom"/>
            <w:shd w:val="clear" w:color="auto" w:fill="CFF0FC"/>
          </w:tcPr>
          <w:p>
            <w:pPr>
              <w:spacing w:after="0"/>
              <w:rPr>
                <w:sz w:val="19"/>
                <w:szCs w:val="19"/>
                <w:color w:val="auto"/>
              </w:rPr>
            </w:pPr>
          </w:p>
        </w:tc>
      </w:tr>
      <w:tr>
        <w:trPr>
          <w:trHeight w:val="205"/>
        </w:trPr>
        <w:tc>
          <w:tcPr>
            <w:tcW w:w="596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6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 (including a tax benefit of</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$221 for the three months ended September 30, 2016,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$3,090 for the nine months ended September 30, 2016)</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(19,034)</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(4,524)</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(41,376)</w:t>
            </w: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(loss) (net of tax expense (benefit) of $(17)</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$253 for the three months ended September 30,</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2016 and 2015, respectively, and $(315) and $(7,753) for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the nine months ended September 30, 2016 and 2015,</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(649)</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(14,140)</w:t>
            </w:r>
          </w:p>
        </w:tc>
      </w:tr>
      <w:tr>
        <w:trPr>
          <w:trHeight w:val="215"/>
        </w:trPr>
        <w:tc>
          <w:tcPr>
            <w:tcW w:w="596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 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ind w:left="640"/>
              <w:spacing w:after="0"/>
              <w:rPr>
                <w:sz w:val="20"/>
                <w:szCs w:val="20"/>
                <w:color w:val="auto"/>
              </w:rPr>
            </w:pPr>
            <w:r>
              <w:rPr>
                <w:rFonts w:ascii="Arial" w:cs="Arial" w:eastAsia="Arial" w:hAnsi="Arial"/>
                <w:sz w:val="18"/>
                <w:szCs w:val="18"/>
                <w:color w:val="auto"/>
              </w:rPr>
              <w:t>expense of $375 and $368 for the three months ended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ind w:left="640"/>
              <w:spacing w:after="0"/>
              <w:rPr>
                <w:sz w:val="20"/>
                <w:szCs w:val="20"/>
                <w:color w:val="auto"/>
              </w:rPr>
            </w:pPr>
            <w:r>
              <w:rPr>
                <w:rFonts w:ascii="Arial" w:cs="Arial" w:eastAsia="Arial" w:hAnsi="Arial"/>
                <w:sz w:val="18"/>
                <w:szCs w:val="18"/>
                <w:color w:val="auto"/>
              </w:rPr>
              <w:t>September 30, 2016 and 2015, respectively, and $1,171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Pr>
          <w:p>
            <w:pPr>
              <w:ind w:left="640"/>
              <w:spacing w:after="0"/>
              <w:rPr>
                <w:sz w:val="20"/>
                <w:szCs w:val="20"/>
                <w:color w:val="auto"/>
              </w:rPr>
            </w:pPr>
            <w:r>
              <w:rPr>
                <w:rFonts w:ascii="Arial" w:cs="Arial" w:eastAsia="Arial" w:hAnsi="Arial"/>
                <w:sz w:val="18"/>
                <w:szCs w:val="18"/>
                <w:color w:val="auto"/>
              </w:rPr>
              <w:t>and $1,469 for the nine months ended September 30,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6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2016 and 2015, respectively)</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FF0FC"/>
            </w:tcBorders>
          </w:tcPr>
          <w:p>
            <w:pPr>
              <w:spacing w:after="0"/>
              <w:rPr>
                <w:sz w:val="20"/>
                <w:szCs w:val="20"/>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(51,759)</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113,560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382,614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262,973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785,832</w:t>
            </w:r>
          </w:p>
        </w:tc>
        <w:tc>
          <w:tcPr>
            <w:tcW w:w="100" w:type="dxa"/>
            <w:vAlign w:val="bottom"/>
          </w:tcPr>
          <w:p>
            <w:pPr>
              <w:spacing w:after="0"/>
              <w:rPr>
                <w:sz w:val="19"/>
                <w:szCs w:val="19"/>
                <w:color w:val="auto"/>
              </w:rPr>
            </w:pPr>
          </w:p>
        </w:tc>
      </w:tr>
      <w:tr>
        <w:trPr>
          <w:trHeight w:val="211"/>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9,004</w:t>
            </w:r>
          </w:p>
        </w:tc>
        <w:tc>
          <w:tcPr>
            <w:tcW w:w="100" w:type="dxa"/>
            <w:vAlign w:val="bottom"/>
            <w:shd w:val="clear" w:color="auto" w:fill="CFF0FC"/>
          </w:tcPr>
          <w:p>
            <w:pPr>
              <w:spacing w:after="0"/>
              <w:rPr>
                <w:sz w:val="20"/>
                <w:szCs w:val="20"/>
                <w:color w:val="auto"/>
              </w:rPr>
            </w:pPr>
          </w:p>
        </w:tc>
      </w:tr>
      <w:tr>
        <w:trPr>
          <w:trHeight w:val="205"/>
        </w:trPr>
        <w:tc>
          <w:tcPr>
            <w:tcW w:w="596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60" w:type="dxa"/>
            <w:vAlign w:val="bottom"/>
          </w:tcPr>
          <w:p>
            <w:pPr>
              <w:ind w:left="140"/>
              <w:spacing w:after="0"/>
              <w:rPr>
                <w:sz w:val="20"/>
                <w:szCs w:val="20"/>
                <w:color w:val="auto"/>
              </w:rPr>
            </w:pPr>
            <w:r>
              <w:rPr>
                <w:rFonts w:ascii="Arial" w:cs="Arial" w:eastAsia="Arial" w:hAnsi="Arial"/>
                <w:sz w:val="18"/>
                <w:szCs w:val="18"/>
                <w:b w:val="1"/>
                <w:bCs w:val="1"/>
                <w:color w:val="auto"/>
              </w:rPr>
              <w:t>LAZARD LTD</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113,478</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381,345</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257,984</w:t>
            </w:r>
          </w:p>
        </w:tc>
        <w:tc>
          <w:tcPr>
            <w:tcW w:w="260" w:type="dxa"/>
            <w:vAlign w:val="bottom"/>
          </w:tcPr>
          <w:p>
            <w:pPr>
              <w:spacing w:after="0"/>
              <w:rPr>
                <w:sz w:val="20"/>
                <w:szCs w:val="20"/>
                <w:color w:val="auto"/>
              </w:rPr>
            </w:pPr>
          </w:p>
        </w:tc>
        <w:tc>
          <w:tcPr>
            <w:tcW w:w="3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776,828</w:t>
            </w:r>
          </w:p>
        </w:tc>
        <w:tc>
          <w:tcPr>
            <w:tcW w:w="100" w:type="dxa"/>
            <w:vAlign w:val="bottom"/>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Nine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Net income</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264,705</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837,591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24,586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24,251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276,714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Amortization and other acquisition-related costs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provision (benefit)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(1,056,659)</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Provision pursuant to tax receivable agreement</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547,691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extinguishment of debt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Gain on disposal of subsidiaries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(24,388)</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(Increase) decrease in operating assets: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Deposits with banks and short-term investments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(135,152)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(84,386)</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Receivables-net</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(43,593)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Investments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(61,778)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(105,902)</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Increase (decrease) in operating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Deposits and other payables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70,165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(227,356)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(109,770)</w:t>
            </w:r>
          </w:p>
        </w:tc>
        <w:tc>
          <w:tcPr>
            <w:tcW w:w="0" w:type="dxa"/>
            <w:vAlign w:val="bottom"/>
          </w:tcPr>
          <w:p>
            <w:pPr>
              <w:spacing w:after="0"/>
              <w:rPr>
                <w:sz w:val="1"/>
                <w:szCs w:val="1"/>
                <w:color w:val="auto"/>
              </w:rPr>
            </w:pPr>
          </w:p>
        </w:tc>
      </w:tr>
      <w:tr>
        <w:trPr>
          <w:trHeight w:val="207"/>
        </w:trPr>
        <w:tc>
          <w:tcPr>
            <w:tcW w:w="664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122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299,125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519,394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Additions to property</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(22,070)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(18,479)</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Disposals of property</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40" w:type="dxa"/>
            <w:vAlign w:val="bottom"/>
          </w:tcPr>
          <w:p>
            <w:pPr>
              <w:ind w:left="740"/>
              <w:spacing w:after="0"/>
              <w:rPr>
                <w:sz w:val="20"/>
                <w:szCs w:val="20"/>
                <w:color w:val="auto"/>
              </w:rPr>
            </w:pPr>
            <w:r>
              <w:rPr>
                <w:rFonts w:ascii="Arial" w:cs="Arial" w:eastAsia="Arial" w:hAnsi="Arial"/>
                <w:sz w:val="16"/>
                <w:szCs w:val="16"/>
                <w:color w:val="auto"/>
              </w:rPr>
              <w:t>Net cash used in investing activities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(21,204)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(18,008)</w:t>
            </w:r>
          </w:p>
        </w:tc>
        <w:tc>
          <w:tcPr>
            <w:tcW w:w="0" w:type="dxa"/>
            <w:vAlign w:val="bottom"/>
          </w:tcPr>
          <w:p>
            <w:pPr>
              <w:spacing w:after="0"/>
              <w:rPr>
                <w:sz w:val="1"/>
                <w:szCs w:val="1"/>
                <w:color w:val="auto"/>
              </w:rPr>
            </w:pPr>
          </w:p>
        </w:tc>
      </w:tr>
      <w:tr>
        <w:trPr>
          <w:trHeight w:val="21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Proceeds from:</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Issuance of senior debt, net of expenses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396,272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Excess tax benefits from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30,518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Senior debt</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(509,098)</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Capital lease obligations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(1,234)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(15,367)</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Payments under tax receivable agreement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(10,086)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Partial extinguishment of tax receivable agreement obligation</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(42,222)</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Class A common stock</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(228,865)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(159,471)</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Class A common stock dividends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(289,326)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(246,759)</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vested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(55,562)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(105,007)</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1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(556,165)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(676,577)</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6"/>
                <w:szCs w:val="16"/>
                <w:b w:val="1"/>
                <w:bCs w:val="1"/>
                <w:color w:val="auto"/>
              </w:rPr>
              <w:t>EFFECT OF EXCHANGE RATE CHANGES ON CASH</w:t>
            </w:r>
          </w:p>
        </w:tc>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(31,405)</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1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(278,196)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(206,596)</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EQUIVALENTS—January 1</w:t>
            </w:r>
          </w:p>
        </w:tc>
        <w:tc>
          <w:tcPr>
            <w:tcW w:w="1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1,132,083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1,066,580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EQUIVALENTS—September 30</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853,887</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859,984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7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Class A</w:t>
            </w: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1320" w:type="dxa"/>
            <w:vAlign w:val="bottom"/>
          </w:tcPr>
          <w:p>
            <w:pPr>
              <w:spacing w:after="0"/>
              <w:rPr>
                <w:sz w:val="14"/>
                <w:szCs w:val="14"/>
                <w:color w:val="auto"/>
              </w:rPr>
            </w:pPr>
          </w:p>
        </w:tc>
        <w:tc>
          <w:tcPr>
            <w:tcW w:w="9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2"/>
              </w:rPr>
              <w:t>Series A</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Additional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Comprehensive</w:t>
            </w: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Common Stock</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Lazard Ltd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49"/>
        </w:trPr>
        <w:tc>
          <w:tcPr>
            <w:tcW w:w="1320" w:type="dxa"/>
            <w:vAlign w:val="bottom"/>
          </w:tcPr>
          <w:p>
            <w:pPr>
              <w:spacing w:after="0"/>
              <w:rPr>
                <w:sz w:val="12"/>
                <w:szCs w:val="12"/>
                <w:color w:val="auto"/>
              </w:rPr>
            </w:pPr>
          </w:p>
        </w:tc>
        <w:tc>
          <w:tcPr>
            <w:tcW w:w="9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Preferred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320" w:type="dxa"/>
            <w:vAlign w:val="bottom"/>
          </w:tcPr>
          <w:p>
            <w:pPr>
              <w:spacing w:after="0"/>
              <w:rPr>
                <w:sz w:val="14"/>
                <w:szCs w:val="14"/>
                <w:color w:val="auto"/>
              </w:rPr>
            </w:pPr>
          </w:p>
        </w:tc>
        <w:tc>
          <w:tcPr>
            <w:tcW w:w="5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ind w:left="3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Paid-In-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Retained</w:t>
            </w:r>
          </w:p>
        </w:tc>
        <w:tc>
          <w:tcPr>
            <w:tcW w:w="4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Held By Subsidiaries</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Stockholders’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Stockholders’</w:t>
            </w:r>
          </w:p>
        </w:tc>
      </w:tr>
      <w:tr>
        <w:trPr>
          <w:trHeight w:val="156"/>
        </w:trPr>
        <w:tc>
          <w:tcPr>
            <w:tcW w:w="1320" w:type="dxa"/>
            <w:vAlign w:val="bottom"/>
          </w:tcPr>
          <w:p>
            <w:pPr>
              <w:spacing w:after="0"/>
              <w:rPr>
                <w:sz w:val="13"/>
                <w:szCs w:val="13"/>
                <w:color w:val="auto"/>
              </w:rPr>
            </w:pPr>
          </w:p>
        </w:tc>
        <w:tc>
          <w:tcPr>
            <w:tcW w:w="5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3"/>
                <w:szCs w:val="13"/>
                <w:color w:val="auto"/>
              </w:rPr>
            </w:pPr>
          </w:p>
        </w:tc>
        <w:tc>
          <w:tcPr>
            <w:tcW w:w="104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Capital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86"/>
              </w:rPr>
              <w:t>Earnings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8"/>
              </w:rPr>
              <w:t>Net of Tax</w:t>
            </w:r>
          </w:p>
        </w:tc>
        <w:tc>
          <w:tcPr>
            <w:tcW w:w="9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9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r>
      <w:tr>
        <w:trPr>
          <w:trHeight w:val="182"/>
        </w:trPr>
        <w:tc>
          <w:tcPr>
            <w:tcW w:w="13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6"/>
                <w:szCs w:val="16"/>
                <w:b w:val="1"/>
                <w:bCs w:val="1"/>
                <w:color w:val="auto"/>
              </w:rPr>
              <w:t>Balance -</w:t>
            </w:r>
          </w:p>
        </w:tc>
        <w:tc>
          <w:tcPr>
            <w:tcW w:w="4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r>
      <w:tr>
        <w:trPr>
          <w:trHeight w:val="216"/>
        </w:trPr>
        <w:tc>
          <w:tcPr>
            <w:tcW w:w="1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January 1, 2015</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7,921</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center"/>
              <w:spacing w:after="0"/>
              <w:rPr>
                <w:sz w:val="20"/>
                <w:szCs w:val="20"/>
                <w:color w:val="auto"/>
              </w:rPr>
            </w:pPr>
            <w:r>
              <w:rPr>
                <w:rFonts w:ascii="Arial" w:cs="Arial" w:eastAsia="Arial" w:hAnsi="Arial"/>
                <w:sz w:val="16"/>
                <w:szCs w:val="16"/>
                <w:b w:val="1"/>
                <w:bCs w:val="1"/>
                <w:color w:val="auto"/>
                <w:w w:val="96"/>
              </w:rPr>
              <w:t>$ -</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$ 1,298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702,800</w:t>
            </w:r>
          </w:p>
        </w:tc>
        <w:tc>
          <w:tcPr>
            <w:tcW w:w="1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464,655</w:t>
            </w: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(200,766)</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7,450,745</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90"/>
              </w:rPr>
              <w:t>$ (261,243)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706,744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63,313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770,057</w:t>
            </w:r>
          </w:p>
        </w:tc>
        <w:tc>
          <w:tcPr>
            <w:tcW w:w="80" w:type="dxa"/>
            <w:vAlign w:val="bottom"/>
            <w:shd w:val="clear" w:color="auto" w:fill="CFF0FC"/>
          </w:tcPr>
          <w:p>
            <w:pPr>
              <w:spacing w:after="0"/>
              <w:rPr>
                <w:sz w:val="18"/>
                <w:szCs w:val="18"/>
                <w:color w:val="auto"/>
              </w:rPr>
            </w:pPr>
          </w:p>
        </w:tc>
      </w:tr>
      <w:tr>
        <w:trPr>
          <w:trHeight w:val="206"/>
        </w:trPr>
        <w:tc>
          <w:tcPr>
            <w:tcW w:w="1320" w:type="dxa"/>
            <w:vAlign w:val="bottom"/>
          </w:tcPr>
          <w:p>
            <w:pPr>
              <w:spacing w:after="0"/>
              <w:rPr>
                <w:sz w:val="20"/>
                <w:szCs w:val="20"/>
                <w:color w:val="auto"/>
              </w:rPr>
            </w:pPr>
            <w:r>
              <w:rPr>
                <w:rFonts w:ascii="Arial" w:cs="Arial" w:eastAsia="Arial" w:hAnsi="Arial"/>
                <w:sz w:val="16"/>
                <w:szCs w:val="16"/>
                <w:color w:val="auto"/>
              </w:rPr>
              <w:t>Comprehensive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6"/>
                <w:szCs w:val="16"/>
                <w:color w:val="auto"/>
              </w:rPr>
              <w:t>income (loss):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828,587</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828,587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837,591</w:t>
            </w:r>
          </w:p>
        </w:tc>
        <w:tc>
          <w:tcPr>
            <w:tcW w:w="80" w:type="dxa"/>
            <w:vAlign w:val="bottom"/>
            <w:shd w:val="clear" w:color="auto" w:fill="CFF0FC"/>
          </w:tcPr>
          <w:p>
            <w:pPr>
              <w:spacing w:after="0"/>
              <w:rPr>
                <w:sz w:val="19"/>
                <w:szCs w:val="19"/>
                <w:color w:val="auto"/>
              </w:rPr>
            </w:pPr>
          </w:p>
        </w:tc>
      </w:tr>
      <w:tr>
        <w:trPr>
          <w:trHeight w:val="206"/>
        </w:trPr>
        <w:tc>
          <w:tcPr>
            <w:tcW w:w="1320" w:type="dxa"/>
            <w:vAlign w:val="bottom"/>
          </w:tcPr>
          <w:p>
            <w:pPr>
              <w:ind w:left="260"/>
              <w:spacing w:after="0"/>
              <w:rPr>
                <w:sz w:val="20"/>
                <w:szCs w:val="20"/>
                <w:color w:val="auto"/>
              </w:rPr>
            </w:pPr>
            <w:r>
              <w:rPr>
                <w:rFonts w:ascii="Arial" w:cs="Arial" w:eastAsia="Arial" w:hAnsi="Arial"/>
                <w:sz w:val="16"/>
                <w:szCs w:val="16"/>
                <w:color w:val="auto"/>
              </w:rPr>
              <w:t>Other</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ind w:left="260"/>
              <w:spacing w:after="0"/>
              <w:rPr>
                <w:sz w:val="20"/>
                <w:szCs w:val="20"/>
                <w:color w:val="auto"/>
              </w:rPr>
            </w:pPr>
            <w:r>
              <w:rPr>
                <w:rFonts w:ascii="Arial" w:cs="Arial" w:eastAsia="Arial" w:hAnsi="Arial"/>
                <w:sz w:val="16"/>
                <w:szCs w:val="16"/>
                <w:color w:val="auto"/>
                <w:w w:val="95"/>
              </w:rPr>
              <w:t>comprehensive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ind w:left="260"/>
              <w:spacing w:after="0"/>
              <w:rPr>
                <w:sz w:val="20"/>
                <w:szCs w:val="20"/>
                <w:color w:val="auto"/>
              </w:rPr>
            </w:pPr>
            <w:r>
              <w:rPr>
                <w:rFonts w:ascii="Arial" w:cs="Arial" w:eastAsia="Arial" w:hAnsi="Arial"/>
                <w:sz w:val="16"/>
                <w:szCs w:val="16"/>
                <w:color w:val="auto"/>
              </w:rPr>
              <w:t>loss - net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20" w:type="dxa"/>
            <w:vAlign w:val="bottom"/>
          </w:tcPr>
          <w:p>
            <w:pPr>
              <w:ind w:left="380"/>
              <w:spacing w:after="0"/>
              <w:rPr>
                <w:sz w:val="20"/>
                <w:szCs w:val="20"/>
                <w:color w:val="auto"/>
              </w:rPr>
            </w:pPr>
            <w:r>
              <w:rPr>
                <w:rFonts w:ascii="Arial" w:cs="Arial" w:eastAsia="Arial" w:hAnsi="Arial"/>
                <w:sz w:val="16"/>
                <w:szCs w:val="16"/>
                <w:color w:val="auto"/>
              </w:rPr>
              <w:t>of tax</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(51,759)</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(51,759)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(51,759)</w:t>
            </w:r>
          </w:p>
        </w:tc>
      </w:tr>
      <w:tr>
        <w:trPr>
          <w:trHeight w:val="209"/>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share-based</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174,823</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174,823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174,823</w:t>
            </w:r>
          </w:p>
        </w:tc>
        <w:tc>
          <w:tcPr>
            <w:tcW w:w="80" w:type="dxa"/>
            <w:vAlign w:val="bottom"/>
            <w:shd w:val="clear" w:color="auto" w:fill="CFF0FC"/>
          </w:tcPr>
          <w:p>
            <w:pPr>
              <w:spacing w:after="0"/>
              <w:rPr>
                <w:sz w:val="18"/>
                <w:szCs w:val="18"/>
                <w:color w:val="auto"/>
              </w:rPr>
            </w:pPr>
          </w:p>
        </w:tc>
      </w:tr>
      <w:tr>
        <w:trPr>
          <w:trHeight w:val="206"/>
        </w:trPr>
        <w:tc>
          <w:tcPr>
            <w:tcW w:w="1320" w:type="dxa"/>
            <w:vAlign w:val="bottom"/>
          </w:tcPr>
          <w:p>
            <w:pPr>
              <w:spacing w:after="0"/>
              <w:rPr>
                <w:sz w:val="20"/>
                <w:szCs w:val="20"/>
                <w:color w:val="auto"/>
              </w:rPr>
            </w:pPr>
            <w:r>
              <w:rPr>
                <w:rFonts w:ascii="Arial" w:cs="Arial" w:eastAsia="Arial" w:hAnsi="Arial"/>
                <w:sz w:val="16"/>
                <w:szCs w:val="16"/>
                <w:color w:val="auto"/>
              </w:rPr>
              <w:t>Dividend-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6"/>
                <w:szCs w:val="16"/>
                <w:color w:val="auto"/>
              </w:rPr>
              <w:t>equivalents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30,340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(32,338)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(1,998)</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(1,998)</w:t>
            </w:r>
          </w:p>
        </w:tc>
      </w:tr>
      <w:tr>
        <w:trPr>
          <w:trHeight w:val="209"/>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Class A common</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2"/>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stock dividends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(246,759)</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(246,759)</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(246,759)</w:t>
            </w:r>
          </w:p>
        </w:tc>
      </w:tr>
      <w:tr>
        <w:trPr>
          <w:trHeight w:val="206"/>
        </w:trPr>
        <w:tc>
          <w:tcPr>
            <w:tcW w:w="1320" w:type="dxa"/>
            <w:vAlign w:val="bottom"/>
          </w:tcPr>
          <w:p>
            <w:pPr>
              <w:spacing w:after="0"/>
              <w:rPr>
                <w:sz w:val="20"/>
                <w:szCs w:val="20"/>
                <w:color w:val="auto"/>
              </w:rPr>
            </w:pPr>
            <w:r>
              <w:rPr>
                <w:rFonts w:ascii="Arial" w:cs="Arial" w:eastAsia="Arial" w:hAnsi="Arial"/>
                <w:sz w:val="16"/>
                <w:szCs w:val="16"/>
                <w:color w:val="auto"/>
              </w:rPr>
              <w:t>Purchase of Class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6"/>
                <w:szCs w:val="16"/>
                <w:color w:val="auto"/>
              </w:rPr>
              <w:t>A common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3,141,526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(159,471)</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(159,471)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(159,471)</w:t>
            </w:r>
          </w:p>
        </w:tc>
      </w:tr>
      <w:tr>
        <w:trPr>
          <w:trHeight w:val="209"/>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A common stock</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in</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share-based</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and related tax</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benefit</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$9,495</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3"/>
              </w:rPr>
              <w:t>(337,101)</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(6,300,830)</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241,589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(95,512)</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(95,512)</w:t>
            </w:r>
          </w:p>
        </w:tc>
      </w:tr>
      <w:tr>
        <w:trPr>
          <w:trHeight w:val="206"/>
        </w:trPr>
        <w:tc>
          <w:tcPr>
            <w:tcW w:w="1320" w:type="dxa"/>
            <w:vAlign w:val="bottom"/>
          </w:tcPr>
          <w:p>
            <w:pPr>
              <w:spacing w:after="0"/>
              <w:rPr>
                <w:sz w:val="20"/>
                <w:szCs w:val="20"/>
                <w:color w:val="auto"/>
              </w:rPr>
            </w:pPr>
            <w:r>
              <w:rPr>
                <w:rFonts w:ascii="Arial" w:cs="Arial" w:eastAsia="Arial" w:hAnsi="Arial"/>
                <w:sz w:val="16"/>
                <w:szCs w:val="16"/>
                <w:color w:val="auto"/>
              </w:rPr>
              <w:t>Business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color w:val="auto"/>
              </w:rPr>
              <w:t>acquisitions and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color w:val="auto"/>
              </w:rPr>
              <w:t>related equity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2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Delivery of</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(1,327)</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(27,316)</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r>
      <w:tr>
        <w:trPr>
          <w:trHeight w:val="206"/>
        </w:trPr>
        <w:tc>
          <w:tcPr>
            <w:tcW w:w="1320" w:type="dxa"/>
            <w:vAlign w:val="bottom"/>
          </w:tcPr>
          <w:p>
            <w:pPr>
              <w:spacing w:after="0"/>
              <w:rPr>
                <w:sz w:val="20"/>
                <w:szCs w:val="20"/>
                <w:color w:val="auto"/>
              </w:rPr>
            </w:pPr>
            <w:r>
              <w:rPr>
                <w:rFonts w:ascii="Arial" w:cs="Arial" w:eastAsia="Arial" w:hAnsi="Arial"/>
                <w:sz w:val="16"/>
                <w:szCs w:val="16"/>
                <w:color w:val="auto"/>
              </w:rPr>
              <w:t>Distributions to</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color w:val="auto"/>
              </w:rPr>
              <w:t>noncontrolling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color w:val="auto"/>
              </w:rPr>
              <w:t>interests,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20" w:type="dxa"/>
            <w:vAlign w:val="bottom"/>
          </w:tcPr>
          <w:p>
            <w:pPr>
              <w:ind w:left="120"/>
              <w:spacing w:after="0"/>
              <w:rPr>
                <w:sz w:val="20"/>
                <w:szCs w:val="20"/>
                <w:color w:val="auto"/>
              </w:rPr>
            </w:pPr>
            <w:r>
              <w:rPr>
                <w:rFonts w:ascii="Arial" w:cs="Arial" w:eastAsia="Arial" w:hAnsi="Arial"/>
                <w:sz w:val="16"/>
                <w:szCs w:val="16"/>
                <w:color w:val="auto"/>
              </w:rPr>
              <w:t>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(15,099)</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(15,099)</w:t>
            </w:r>
          </w:p>
        </w:tc>
      </w:tr>
      <w:tr>
        <w:trPr>
          <w:trHeight w:val="199"/>
        </w:trPr>
        <w:tc>
          <w:tcPr>
            <w:tcW w:w="1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w:t>
            </w:r>
          </w:p>
        </w:tc>
        <w:tc>
          <w:tcPr>
            <w:tcW w:w="4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3"/>
        </w:trPr>
        <w:tc>
          <w:tcPr>
            <w:tcW w:w="1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2015</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7,921</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center"/>
              <w:spacing w:after="0"/>
              <w:rPr>
                <w:sz w:val="20"/>
                <w:szCs w:val="20"/>
                <w:color w:val="auto"/>
              </w:rPr>
            </w:pPr>
            <w:r>
              <w:rPr>
                <w:rFonts w:ascii="Arial" w:cs="Arial" w:eastAsia="Arial" w:hAnsi="Arial"/>
                <w:sz w:val="16"/>
                <w:szCs w:val="16"/>
                <w:b w:val="1"/>
                <w:bCs w:val="1"/>
                <w:color w:val="auto"/>
                <w:w w:val="96"/>
              </w:rPr>
              <w:t>$ -</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$ 1,298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569,535</w:t>
            </w:r>
          </w:p>
        </w:tc>
        <w:tc>
          <w:tcPr>
            <w:tcW w:w="1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1,014,145</w:t>
            </w: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(252,525)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4,264,125</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90"/>
              </w:rPr>
              <w:t>$ (177,798)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1,154,655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57,218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1,211,873</w:t>
            </w:r>
          </w:p>
        </w:tc>
        <w:tc>
          <w:tcPr>
            <w:tcW w:w="80" w:type="dxa"/>
            <w:vAlign w:val="bottom"/>
            <w:shd w:val="clear" w:color="auto" w:fill="CFF0FC"/>
          </w:tcPr>
          <w:p>
            <w:pPr>
              <w:spacing w:after="0"/>
              <w:rPr>
                <w:sz w:val="18"/>
                <w:szCs w:val="18"/>
                <w:color w:val="auto"/>
              </w:rPr>
            </w:pPr>
          </w:p>
        </w:tc>
      </w:tr>
      <w:tr>
        <w:trPr>
          <w:trHeight w:val="20"/>
        </w:trPr>
        <w:tc>
          <w:tcPr>
            <w:tcW w:w="13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7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Class A</w:t>
            </w: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1320" w:type="dxa"/>
            <w:vAlign w:val="bottom"/>
          </w:tcPr>
          <w:p>
            <w:pPr>
              <w:spacing w:after="0"/>
              <w:rPr>
                <w:sz w:val="14"/>
                <w:szCs w:val="14"/>
                <w:color w:val="auto"/>
              </w:rPr>
            </w:pPr>
          </w:p>
        </w:tc>
        <w:tc>
          <w:tcPr>
            <w:tcW w:w="9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2"/>
              </w:rPr>
              <w:t>Series A</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Additional</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Comprehensive</w:t>
            </w: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Common Stock</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Lazard Ltd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49"/>
        </w:trPr>
        <w:tc>
          <w:tcPr>
            <w:tcW w:w="1320" w:type="dxa"/>
            <w:vAlign w:val="bottom"/>
          </w:tcPr>
          <w:p>
            <w:pPr>
              <w:spacing w:after="0"/>
              <w:rPr>
                <w:sz w:val="12"/>
                <w:szCs w:val="12"/>
                <w:color w:val="auto"/>
              </w:rPr>
            </w:pPr>
          </w:p>
        </w:tc>
        <w:tc>
          <w:tcPr>
            <w:tcW w:w="9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Preferred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1320" w:type="dxa"/>
            <w:vAlign w:val="bottom"/>
          </w:tcPr>
          <w:p>
            <w:pPr>
              <w:spacing w:after="0"/>
              <w:rPr>
                <w:sz w:val="14"/>
                <w:szCs w:val="14"/>
                <w:color w:val="auto"/>
              </w:rPr>
            </w:pPr>
          </w:p>
        </w:tc>
        <w:tc>
          <w:tcPr>
            <w:tcW w:w="5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ind w:left="3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Paid-In-</w:t>
            </w:r>
          </w:p>
        </w:tc>
        <w:tc>
          <w:tcPr>
            <w:tcW w:w="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Held By Subsidiaries</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Stockholders’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Stockholders’</w:t>
            </w:r>
          </w:p>
        </w:tc>
      </w:tr>
      <w:tr>
        <w:trPr>
          <w:trHeight w:val="156"/>
        </w:trPr>
        <w:tc>
          <w:tcPr>
            <w:tcW w:w="1320" w:type="dxa"/>
            <w:vAlign w:val="bottom"/>
          </w:tcPr>
          <w:p>
            <w:pPr>
              <w:spacing w:after="0"/>
              <w:rPr>
                <w:sz w:val="13"/>
                <w:szCs w:val="13"/>
                <w:color w:val="auto"/>
              </w:rPr>
            </w:pPr>
          </w:p>
        </w:tc>
        <w:tc>
          <w:tcPr>
            <w:tcW w:w="5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3"/>
                <w:szCs w:val="13"/>
                <w:color w:val="auto"/>
              </w:rPr>
            </w:pPr>
          </w:p>
        </w:tc>
        <w:tc>
          <w:tcPr>
            <w:tcW w:w="104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Capital</w:t>
            </w:r>
          </w:p>
        </w:tc>
        <w:tc>
          <w:tcPr>
            <w:tcW w:w="40" w:type="dxa"/>
            <w:vAlign w:val="bottom"/>
          </w:tcPr>
          <w:p>
            <w:pPr>
              <w:spacing w:after="0"/>
              <w:rPr>
                <w:sz w:val="13"/>
                <w:szCs w:val="13"/>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8"/>
              </w:rPr>
              <w:t>Net of Tax</w:t>
            </w:r>
          </w:p>
        </w:tc>
        <w:tc>
          <w:tcPr>
            <w:tcW w:w="9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9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1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w:t>
            </w:r>
          </w:p>
        </w:tc>
        <w:tc>
          <w:tcPr>
            <w:tcW w:w="4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16"/>
        </w:trPr>
        <w:tc>
          <w:tcPr>
            <w:tcW w:w="1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January 1, 2016</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7,921</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center"/>
              <w:spacing w:after="0"/>
              <w:rPr>
                <w:sz w:val="20"/>
                <w:szCs w:val="20"/>
                <w:color w:val="auto"/>
              </w:rPr>
            </w:pPr>
            <w:r>
              <w:rPr>
                <w:rFonts w:ascii="Arial" w:cs="Arial" w:eastAsia="Arial" w:hAnsi="Arial"/>
                <w:sz w:val="16"/>
                <w:szCs w:val="16"/>
                <w:b w:val="1"/>
                <w:bCs w:val="1"/>
                <w:color w:val="auto"/>
                <w:w w:val="96"/>
              </w:rPr>
              <w:t>$ -</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$ 1,298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600,034</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$ 1,123,728</w:t>
            </w: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(234,356)</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4,253,381</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90"/>
              </w:rPr>
              <w:t>$ (177,249)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1,313,455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53,851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1,367,306</w:t>
            </w:r>
          </w:p>
        </w:tc>
        <w:tc>
          <w:tcPr>
            <w:tcW w:w="80" w:type="dxa"/>
            <w:vAlign w:val="bottom"/>
            <w:shd w:val="clear" w:color="auto" w:fill="CFF0FC"/>
          </w:tcPr>
          <w:p>
            <w:pPr>
              <w:spacing w:after="0"/>
              <w:rPr>
                <w:sz w:val="18"/>
                <w:szCs w:val="18"/>
                <w:color w:val="auto"/>
              </w:rPr>
            </w:pPr>
          </w:p>
        </w:tc>
      </w:tr>
      <w:tr>
        <w:trPr>
          <w:trHeight w:val="206"/>
        </w:trPr>
        <w:tc>
          <w:tcPr>
            <w:tcW w:w="1320" w:type="dxa"/>
            <w:vAlign w:val="bottom"/>
          </w:tcPr>
          <w:p>
            <w:pPr>
              <w:spacing w:after="0"/>
              <w:rPr>
                <w:sz w:val="20"/>
                <w:szCs w:val="20"/>
                <w:color w:val="auto"/>
              </w:rPr>
            </w:pPr>
            <w:r>
              <w:rPr>
                <w:rFonts w:ascii="Arial" w:cs="Arial" w:eastAsia="Arial" w:hAnsi="Arial"/>
                <w:sz w:val="16"/>
                <w:szCs w:val="16"/>
                <w:color w:val="auto"/>
              </w:rPr>
              <w:t>Comprehensive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6"/>
                <w:szCs w:val="16"/>
                <w:color w:val="auto"/>
              </w:rPr>
              <w:t>income: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1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259,716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259,716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264,705</w:t>
            </w:r>
          </w:p>
        </w:tc>
        <w:tc>
          <w:tcPr>
            <w:tcW w:w="80" w:type="dxa"/>
            <w:vAlign w:val="bottom"/>
            <w:shd w:val="clear" w:color="auto" w:fill="CFF0FC"/>
          </w:tcPr>
          <w:p>
            <w:pPr>
              <w:spacing w:after="0"/>
              <w:rPr>
                <w:sz w:val="19"/>
                <w:szCs w:val="19"/>
                <w:color w:val="auto"/>
              </w:rPr>
            </w:pPr>
          </w:p>
        </w:tc>
      </w:tr>
      <w:tr>
        <w:trPr>
          <w:trHeight w:val="206"/>
        </w:trPr>
        <w:tc>
          <w:tcPr>
            <w:tcW w:w="1320" w:type="dxa"/>
            <w:vAlign w:val="bottom"/>
          </w:tcPr>
          <w:p>
            <w:pPr>
              <w:ind w:left="260"/>
              <w:spacing w:after="0"/>
              <w:rPr>
                <w:sz w:val="20"/>
                <w:szCs w:val="20"/>
                <w:color w:val="auto"/>
              </w:rPr>
            </w:pPr>
            <w:r>
              <w:rPr>
                <w:rFonts w:ascii="Arial" w:cs="Arial" w:eastAsia="Arial" w:hAnsi="Arial"/>
                <w:sz w:val="16"/>
                <w:szCs w:val="16"/>
                <w:color w:val="auto"/>
              </w:rPr>
              <w:t>Other</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ind w:left="260"/>
              <w:spacing w:after="0"/>
              <w:rPr>
                <w:sz w:val="20"/>
                <w:szCs w:val="20"/>
                <w:color w:val="auto"/>
              </w:rPr>
            </w:pPr>
            <w:r>
              <w:rPr>
                <w:rFonts w:ascii="Arial" w:cs="Arial" w:eastAsia="Arial" w:hAnsi="Arial"/>
                <w:sz w:val="16"/>
                <w:szCs w:val="16"/>
                <w:color w:val="auto"/>
                <w:w w:val="95"/>
              </w:rPr>
              <w:t>comprehensive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ind w:left="260"/>
              <w:spacing w:after="0"/>
              <w:rPr>
                <w:sz w:val="20"/>
                <w:szCs w:val="20"/>
                <w:color w:val="auto"/>
              </w:rPr>
            </w:pPr>
            <w:r>
              <w:rPr>
                <w:rFonts w:ascii="Arial" w:cs="Arial" w:eastAsia="Arial" w:hAnsi="Arial"/>
                <w:sz w:val="16"/>
                <w:szCs w:val="16"/>
                <w:color w:val="auto"/>
              </w:rPr>
              <w:t>loss - net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20" w:type="dxa"/>
            <w:vAlign w:val="bottom"/>
          </w:tcPr>
          <w:p>
            <w:pPr>
              <w:ind w:left="380"/>
              <w:spacing w:after="0"/>
              <w:rPr>
                <w:sz w:val="20"/>
                <w:szCs w:val="20"/>
                <w:color w:val="auto"/>
              </w:rPr>
            </w:pPr>
            <w:r>
              <w:rPr>
                <w:rFonts w:ascii="Arial" w:cs="Arial" w:eastAsia="Arial" w:hAnsi="Arial"/>
                <w:sz w:val="16"/>
                <w:szCs w:val="16"/>
                <w:color w:val="auto"/>
              </w:rPr>
              <w:t>of tax</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(1,732)</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(1,732)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(1,732)</w:t>
            </w:r>
          </w:p>
        </w:tc>
      </w:tr>
      <w:tr>
        <w:trPr>
          <w:trHeight w:val="209"/>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share-based</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213,144</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213,144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213,144</w:t>
            </w:r>
          </w:p>
        </w:tc>
        <w:tc>
          <w:tcPr>
            <w:tcW w:w="80" w:type="dxa"/>
            <w:vAlign w:val="bottom"/>
            <w:shd w:val="clear" w:color="auto" w:fill="CFF0FC"/>
          </w:tcPr>
          <w:p>
            <w:pPr>
              <w:spacing w:after="0"/>
              <w:rPr>
                <w:sz w:val="18"/>
                <w:szCs w:val="18"/>
                <w:color w:val="auto"/>
              </w:rPr>
            </w:pPr>
          </w:p>
        </w:tc>
      </w:tr>
      <w:tr>
        <w:trPr>
          <w:trHeight w:val="206"/>
        </w:trPr>
        <w:tc>
          <w:tcPr>
            <w:tcW w:w="1320" w:type="dxa"/>
            <w:vAlign w:val="bottom"/>
          </w:tcPr>
          <w:p>
            <w:pPr>
              <w:spacing w:after="0"/>
              <w:rPr>
                <w:sz w:val="20"/>
                <w:szCs w:val="20"/>
                <w:color w:val="auto"/>
              </w:rPr>
            </w:pPr>
            <w:r>
              <w:rPr>
                <w:rFonts w:ascii="Arial" w:cs="Arial" w:eastAsia="Arial" w:hAnsi="Arial"/>
                <w:sz w:val="16"/>
                <w:szCs w:val="16"/>
                <w:color w:val="auto"/>
              </w:rPr>
              <w:t>Dividend-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6"/>
                <w:szCs w:val="16"/>
                <w:color w:val="auto"/>
              </w:rPr>
              <w:t>equivalents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32,849</w:t>
            </w: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(35,929)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(3,080)</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(3,080)</w:t>
            </w:r>
          </w:p>
        </w:tc>
      </w:tr>
      <w:tr>
        <w:trPr>
          <w:trHeight w:val="209"/>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Class A common</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2"/>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stock dividends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(289,326)</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(289,326)</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(289,326)</w:t>
            </w:r>
          </w:p>
        </w:tc>
      </w:tr>
      <w:tr>
        <w:trPr>
          <w:trHeight w:val="206"/>
        </w:trPr>
        <w:tc>
          <w:tcPr>
            <w:tcW w:w="1320" w:type="dxa"/>
            <w:vAlign w:val="bottom"/>
          </w:tcPr>
          <w:p>
            <w:pPr>
              <w:spacing w:after="0"/>
              <w:rPr>
                <w:sz w:val="20"/>
                <w:szCs w:val="20"/>
                <w:color w:val="auto"/>
              </w:rPr>
            </w:pPr>
            <w:r>
              <w:rPr>
                <w:rFonts w:ascii="Arial" w:cs="Arial" w:eastAsia="Arial" w:hAnsi="Arial"/>
                <w:sz w:val="16"/>
                <w:szCs w:val="16"/>
                <w:color w:val="auto"/>
              </w:rPr>
              <w:t>Purchase of Class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6"/>
                <w:szCs w:val="16"/>
                <w:color w:val="auto"/>
              </w:rPr>
              <w:t>A common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6,656,250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(228,865)</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(228,865)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(228,865)</w:t>
            </w:r>
          </w:p>
        </w:tc>
      </w:tr>
      <w:tr>
        <w:trPr>
          <w:trHeight w:val="209"/>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A common stock</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in</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share-based</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and related tax</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benefit</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$6,900</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3"/>
              </w:rPr>
              <w:t>(216,610)</w:t>
            </w: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(4,217,819)</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167,948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(48,662)</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(48,662)</w:t>
            </w:r>
          </w:p>
        </w:tc>
      </w:tr>
      <w:tr>
        <w:trPr>
          <w:trHeight w:val="206"/>
        </w:trPr>
        <w:tc>
          <w:tcPr>
            <w:tcW w:w="1320" w:type="dxa"/>
            <w:vAlign w:val="bottom"/>
          </w:tcPr>
          <w:p>
            <w:pPr>
              <w:spacing w:after="0"/>
              <w:rPr>
                <w:sz w:val="20"/>
                <w:szCs w:val="20"/>
                <w:color w:val="auto"/>
              </w:rPr>
            </w:pPr>
            <w:r>
              <w:rPr>
                <w:rFonts w:ascii="Arial" w:cs="Arial" w:eastAsia="Arial" w:hAnsi="Arial"/>
                <w:sz w:val="16"/>
                <w:szCs w:val="16"/>
                <w:color w:val="auto"/>
              </w:rPr>
              <w:t>Business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color w:val="auto"/>
              </w:rPr>
              <w:t>acquisitions and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color w:val="auto"/>
              </w:rPr>
              <w:t>related equity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2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Delivery of</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and</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related tax</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benefit of</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$12,653</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(21,777)</w:t>
            </w: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(913,722)</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12,653</w:t>
            </w:r>
          </w:p>
        </w:tc>
        <w:tc>
          <w:tcPr>
            <w:tcW w:w="80" w:type="dxa"/>
            <w:vAlign w:val="bottom"/>
            <w:shd w:val="clear" w:color="auto" w:fill="CFF0FC"/>
          </w:tcPr>
          <w:p>
            <w:pPr>
              <w:spacing w:after="0"/>
              <w:rPr>
                <w:sz w:val="18"/>
                <w:szCs w:val="18"/>
                <w:color w:val="auto"/>
              </w:rPr>
            </w:pPr>
          </w:p>
        </w:tc>
      </w:tr>
      <w:tr>
        <w:trPr>
          <w:trHeight w:val="206"/>
        </w:trPr>
        <w:tc>
          <w:tcPr>
            <w:tcW w:w="1320" w:type="dxa"/>
            <w:vAlign w:val="bottom"/>
          </w:tcPr>
          <w:p>
            <w:pPr>
              <w:ind w:left="260"/>
              <w:spacing w:after="0"/>
              <w:rPr>
                <w:sz w:val="20"/>
                <w:szCs w:val="20"/>
                <w:color w:val="auto"/>
              </w:rPr>
            </w:pPr>
            <w:r>
              <w:rPr>
                <w:rFonts w:ascii="Arial" w:cs="Arial" w:eastAsia="Arial" w:hAnsi="Arial"/>
                <w:sz w:val="16"/>
                <w:szCs w:val="16"/>
                <w:color w:val="auto"/>
              </w:rPr>
              <w:t>Class A</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ind w:left="260"/>
              <w:spacing w:after="0"/>
              <w:rPr>
                <w:sz w:val="20"/>
                <w:szCs w:val="20"/>
                <w:color w:val="auto"/>
              </w:rPr>
            </w:pPr>
            <w:r>
              <w:rPr>
                <w:rFonts w:ascii="Arial" w:cs="Arial" w:eastAsia="Arial" w:hAnsi="Arial"/>
                <w:sz w:val="16"/>
                <w:szCs w:val="16"/>
                <w:color w:val="auto"/>
              </w:rPr>
              <w:t>issuable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ind w:left="260"/>
              <w:spacing w:after="0"/>
              <w:rPr>
                <w:sz w:val="20"/>
                <w:szCs w:val="20"/>
                <w:color w:val="auto"/>
              </w:rPr>
            </w:pPr>
            <w:r>
              <w:rPr>
                <w:rFonts w:ascii="Arial" w:cs="Arial" w:eastAsia="Arial" w:hAnsi="Arial"/>
                <w:sz w:val="16"/>
                <w:szCs w:val="16"/>
                <w:color w:val="auto"/>
              </w:rPr>
              <w:t>(including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ind w:left="260"/>
              <w:spacing w:after="0"/>
              <w:rPr>
                <w:sz w:val="20"/>
                <w:szCs w:val="20"/>
                <w:color w:val="auto"/>
              </w:rPr>
            </w:pPr>
            <w:r>
              <w:rPr>
                <w:rFonts w:ascii="Arial" w:cs="Arial" w:eastAsia="Arial" w:hAnsi="Arial"/>
                <w:sz w:val="16"/>
                <w:szCs w:val="16"/>
                <w:color w:val="auto"/>
              </w:rPr>
              <w:t>related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320" w:type="dxa"/>
            <w:vAlign w:val="bottom"/>
          </w:tcPr>
          <w:p>
            <w:pPr>
              <w:ind w:left="260"/>
              <w:spacing w:after="0"/>
              <w:rPr>
                <w:sz w:val="20"/>
                <w:szCs w:val="20"/>
                <w:color w:val="auto"/>
              </w:rPr>
            </w:pPr>
            <w:r>
              <w:rPr>
                <w:rFonts w:ascii="Arial" w:cs="Arial" w:eastAsia="Arial" w:hAnsi="Arial"/>
                <w:sz w:val="16"/>
                <w:szCs w:val="16"/>
                <w:color w:val="auto"/>
              </w:rPr>
              <w:t>amortization)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6,313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6,313</w:t>
            </w:r>
          </w:p>
        </w:tc>
        <w:tc>
          <w:tcPr>
            <w:tcW w:w="80" w:type="dxa"/>
            <w:vAlign w:val="bottom"/>
          </w:tcPr>
          <w:p>
            <w:pPr>
              <w:spacing w:after="0"/>
              <w:rPr>
                <w:sz w:val="18"/>
                <w:szCs w:val="18"/>
                <w:color w:val="auto"/>
              </w:rPr>
            </w:pPr>
          </w:p>
        </w:tc>
      </w:tr>
      <w:tr>
        <w:trPr>
          <w:trHeight w:val="209"/>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Distributions to</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noncontrolling</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color w:val="auto"/>
              </w:rPr>
              <w:t>interests,</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(873)</w:t>
            </w: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(873)</w:t>
            </w:r>
          </w:p>
        </w:tc>
      </w:tr>
      <w:tr>
        <w:trPr>
          <w:trHeight w:val="213"/>
        </w:trPr>
        <w:tc>
          <w:tcPr>
            <w:tcW w:w="1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9,559</w:t>
            </w: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9,559</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9,559</w:t>
            </w:r>
          </w:p>
        </w:tc>
        <w:tc>
          <w:tcPr>
            <w:tcW w:w="80" w:type="dxa"/>
            <w:vAlign w:val="bottom"/>
            <w:tcBorders>
              <w:bottom w:val="single" w:sz="8" w:color="CFF0FC"/>
            </w:tcBorders>
          </w:tcPr>
          <w:p>
            <w:pPr>
              <w:spacing w:after="0"/>
              <w:rPr>
                <w:sz w:val="18"/>
                <w:szCs w:val="18"/>
                <w:color w:val="auto"/>
              </w:rPr>
            </w:pPr>
          </w:p>
        </w:tc>
      </w:tr>
      <w:tr>
        <w:trPr>
          <w:trHeight w:val="199"/>
        </w:trPr>
        <w:tc>
          <w:tcPr>
            <w:tcW w:w="1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3"/>
        </w:trPr>
        <w:tc>
          <w:tcPr>
            <w:tcW w:w="1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2016</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7,921</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center"/>
              <w:spacing w:after="0"/>
              <w:rPr>
                <w:sz w:val="20"/>
                <w:szCs w:val="20"/>
                <w:color w:val="auto"/>
              </w:rPr>
            </w:pPr>
            <w:r>
              <w:rPr>
                <w:rFonts w:ascii="Arial" w:cs="Arial" w:eastAsia="Arial" w:hAnsi="Arial"/>
                <w:sz w:val="16"/>
                <w:szCs w:val="16"/>
                <w:b w:val="1"/>
                <w:bCs w:val="1"/>
                <w:color w:val="auto"/>
                <w:w w:val="96"/>
              </w:rPr>
              <w:t>$ -</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129,766,091</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89"/>
              </w:rPr>
              <w:t>$ 1,298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623,512</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$ 1,058,189</w:t>
            </w: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(236,088)</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5,778,090</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90"/>
              </w:rPr>
              <w:t>$ (203,736)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1,243,175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57,967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1,301,142</w:t>
            </w:r>
          </w:p>
        </w:tc>
        <w:tc>
          <w:tcPr>
            <w:tcW w:w="80" w:type="dxa"/>
            <w:vAlign w:val="bottom"/>
            <w:shd w:val="clear" w:color="auto" w:fill="CFF0FC"/>
          </w:tcPr>
          <w:p>
            <w:pPr>
              <w:spacing w:after="0"/>
              <w:rPr>
                <w:sz w:val="18"/>
                <w:szCs w:val="18"/>
                <w:color w:val="auto"/>
              </w:rPr>
            </w:pPr>
          </w:p>
        </w:tc>
      </w:tr>
      <w:tr>
        <w:trPr>
          <w:trHeight w:val="20"/>
        </w:trPr>
        <w:tc>
          <w:tcPr>
            <w:tcW w:w="13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626" w:gutter="0" w:footer="0" w:header="0"/>
        </w:sectPr>
      </w:pPr>
    </w:p>
    <w:bookmarkStart w:id="10" w:name="page11"/>
    <w:bookmarkEnd w:id="1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38"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Lazard Ltd indirectly held 100% of all outstanding Lazard Group common membership interests as of September 30, 2016 and December 31, 2015. Lazard Ltd, through its control of the managing members of Lazard Group, controls Lazard Group, which is governed by an Amended and Restated Operating Agreement dated as of October 26, 2015, as amended (the “Operating Agreement”).</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62" w:lineRule="exact"/>
        <w:rPr>
          <w:sz w:val="20"/>
          <w:szCs w:val="20"/>
          <w:color w:val="auto"/>
        </w:rPr>
      </w:pPr>
    </w:p>
    <w:p>
      <w:pPr>
        <w:ind w:left="900" w:right="1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corporate preparedness and various other financial matters, and</w:t>
      </w:r>
    </w:p>
    <w:p>
      <w:pPr>
        <w:spacing w:after="0" w:line="73" w:lineRule="exact"/>
        <w:rPr>
          <w:rFonts w:ascii="Arial" w:cs="Arial" w:eastAsia="Arial" w:hAnsi="Arial"/>
          <w:sz w:val="18"/>
          <w:szCs w:val="18"/>
          <w:color w:val="auto"/>
        </w:rPr>
      </w:pPr>
    </w:p>
    <w:p>
      <w:pPr>
        <w:jc w:val="both"/>
        <w:ind w:left="900" w:right="16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14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LFB, as a registered bank,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2015. The accompanying December 31, 2015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nine month periods ended September 30, 2016 are not indicative of the results to be expected for any future interim or annual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8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8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Certain prior period amounts have been reclassified to conform to the current period presentation, primarily as a result of the adoption of the current guidance on classification of debt issuance costs and the impact of such guidance on the condensed consolidated statements of financial condition.</w:t>
      </w:r>
    </w:p>
    <w:p>
      <w:pPr>
        <w:spacing w:after="0" w:line="313"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Financial Accounting Standards Board (the “FASB”) issued comprehensive new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guidance. The guidance requires a company to recognize revenue when it transfers promised services to customers in an amount that reflects the consideration to which the company expects to be entitled in exchange for those services and requires enhanced disclosures. The new guidance is effective for annual and interim periods beginning after December 15, 2016 and early adoption is not permitted. On July 9, 2015, the FASB approved the deferral of the effective date of the new revenue guidance by one year to annual reporting periods beginning after December 15, 2017, with early adoption being permitted for annual periods beginning after December 15, 2016. During 2016, the FASB issued additional clarifications for certain aspects of the new revenue recognition guidance. The Company is currently evaluating the new guidance.</w:t>
      </w:r>
    </w:p>
    <w:p>
      <w:pPr>
        <w:spacing w:after="0" w:line="178"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i w:val="1"/>
          <w:iCs w:val="1"/>
          <w:color w:val="auto"/>
        </w:rPr>
        <w:t>Amendments to the Consolidation Analysis</w:t>
      </w:r>
      <w:r>
        <w:rPr>
          <w:rFonts w:ascii="Arial" w:cs="Arial" w:eastAsia="Arial" w:hAnsi="Arial"/>
          <w:sz w:val="16"/>
          <w:szCs w:val="16"/>
          <w:color w:val="auto"/>
        </w:rPr>
        <w:t>—In February 2015, the FASB issued updated guidance for the consolidation of certain legal entities. The</w:t>
      </w:r>
      <w:r>
        <w:rPr>
          <w:rFonts w:ascii="Arial" w:cs="Arial" w:eastAsia="Arial" w:hAnsi="Arial"/>
          <w:sz w:val="16"/>
          <w:szCs w:val="16"/>
          <w:i w:val="1"/>
          <w:iCs w:val="1"/>
          <w:color w:val="auto"/>
        </w:rPr>
        <w:t xml:space="preserve"> </w:t>
      </w:r>
      <w:r>
        <w:rPr>
          <w:rFonts w:ascii="Arial" w:cs="Arial" w:eastAsia="Arial" w:hAnsi="Arial"/>
          <w:sz w:val="16"/>
          <w:szCs w:val="16"/>
          <w:color w:val="auto"/>
        </w:rPr>
        <w:t>updated guidance eliminates the deferral of certain consolidation standards for entities considered to be investment companies and modifies the evaluation of whether limited partnerships and similar legal entities are VIEs or VOEs. The new guidance is effective for annual reporting periods beginning after December 15, 2015, with early adoption permitted. The Company adopted this guidance using the modified retrospective method with an effective adoption date of January 1, 2016. The adoption of this guidance did not have a material impact on our consolidated financial statements or related disclosures.</w:t>
      </w:r>
    </w:p>
    <w:p>
      <w:pPr>
        <w:spacing w:after="0" w:line="158"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i w:val="1"/>
          <w:iCs w:val="1"/>
          <w:color w:val="auto"/>
        </w:rPr>
        <w:t>Interest—Imputation of Interest</w:t>
      </w:r>
      <w:r>
        <w:rPr>
          <w:rFonts w:ascii="Arial" w:cs="Arial" w:eastAsia="Arial" w:hAnsi="Arial"/>
          <w:sz w:val="16"/>
          <w:szCs w:val="16"/>
          <w:color w:val="auto"/>
        </w:rPr>
        <w:t>—In April 2015, the FASB issued updated guidance which requires a company to classify debt issuance costs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 recognized debt liability in the balance sheet as a direct deduction from the carrying amount of that debt liability, consistent with debt discounts. The new guidance is effective for financial statements issued for fiscal years beginning after December 15, 2015, with early adoption permitted and is to be applied on a retrospective basis. The adoption of this guidance by the Company in the first quarter of 2016 resulted in a reclassification as of December 31, 2015 of $8,992 from “other assets” to “senior debt” on our condensed consolidated statements of financial condition.</w:t>
      </w:r>
    </w:p>
    <w:p>
      <w:pPr>
        <w:spacing w:after="0" w:line="15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w:t>
      </w:r>
      <w:r>
        <w:rPr>
          <w:rFonts w:ascii="Arial" w:cs="Arial" w:eastAsia="Arial" w:hAnsi="Arial"/>
          <w:sz w:val="16"/>
          <w:szCs w:val="16"/>
          <w:i w:val="1"/>
          <w:iCs w:val="1"/>
          <w:color w:val="auto"/>
        </w:rPr>
        <w:t xml:space="preserve"> Customers Accounting for Fees Paid in a Cloud Computing Arrangement</w:t>
      </w:r>
      <w:r>
        <w:rPr>
          <w:rFonts w:ascii="Arial" w:cs="Arial" w:eastAsia="Arial" w:hAnsi="Arial"/>
          <w:sz w:val="16"/>
          <w:szCs w:val="16"/>
          <w:color w:val="auto"/>
        </w:rPr>
        <w:t>—In April 2015,</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issued updated guidance providing clarification on whether a cloud computing arrangement that contains a software license should be accounted for as internal-use software. The new guidance is effective for annual and interim periods beginning after December 15, 2015, with early adoption permitted. The adoption of this guidance by the Company in the first quarter of 2016 did not have a material impact on our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i w:val="1"/>
          <w:iCs w:val="1"/>
          <w:color w:val="auto"/>
        </w:rPr>
        <w:t>Fair Value Measurement</w:t>
      </w:r>
      <w:r>
        <w:rPr>
          <w:rFonts w:ascii="Arial" w:cs="Arial" w:eastAsia="Arial" w:hAnsi="Arial"/>
          <w:sz w:val="16"/>
          <w:szCs w:val="16"/>
          <w:color w:val="auto"/>
        </w:rPr>
        <w:t>—In May 2015, the FASB issued updated guidance for the classification and disclosure of certain investments using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asset value (“NAV”) as a practical expedient to measure the fair value of the investment. The guidance removes the requirement to categorize within the fair value hierarchy all investments for which fair value is measured using NAV as a practical expedient. The new guidance is effective for financial statements issued for fiscal years beginning after December 15, 2015, with early adoption permitted. The new guidance is to be applied on a retrospective basis. The Company elected to early adopt this guidance in the quarter ended September 30, 2015 and has removed investments that are measured at NAV as a practical expedient from the fair value hierarchy in all periods presented in the consolidated financial statements and related disclosures.</w:t>
      </w:r>
    </w:p>
    <w:p>
      <w:pPr>
        <w:spacing w:after="0" w:line="165"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w:t>
      </w:r>
      <w:r>
        <w:rPr>
          <w:rFonts w:ascii="Arial" w:cs="Arial" w:eastAsia="Arial" w:hAnsi="Arial"/>
          <w:sz w:val="16"/>
          <w:szCs w:val="16"/>
          <w:i w:val="1"/>
          <w:iCs w:val="1"/>
          <w:color w:val="auto"/>
        </w:rPr>
        <w:t xml:space="preserve"> </w:t>
      </w:r>
      <w:r>
        <w:rPr>
          <w:rFonts w:ascii="Arial" w:cs="Arial" w:eastAsia="Arial" w:hAnsi="Arial"/>
          <w:sz w:val="16"/>
          <w:szCs w:val="16"/>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5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Compensation—Stock Compensation: Improvements to Employee Share-Based Payment Accounting</w:t>
      </w:r>
      <w:r>
        <w:rPr>
          <w:rFonts w:ascii="Arial" w:cs="Arial" w:eastAsia="Arial" w:hAnsi="Arial"/>
          <w:sz w:val="18"/>
          <w:szCs w:val="18"/>
          <w:color w:val="auto"/>
        </w:rPr>
        <w:t>—In March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equity-based incentive compensation. The new guidance includes several amendments which affect various aspects of the accounting for equity-based incentive compensation transactions, including the income tax consequences, classification of awards as either equity or liabilities, and classification on the statement of cash flows. The new guidance is effective for annual and interim periods beginning after December 15, 2016 and early adoption is permitted. The Company is currently evaluating the new guidance.</w:t>
      </w:r>
    </w:p>
    <w:p>
      <w:pPr>
        <w:spacing w:after="0" w:line="188"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In August 2016, the FASB issued updated guidance which clarifies how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should classify certain cash receipts and cash payments on the statement of cash flows. The new guidance is effective for annual and interim periods beginning after December 15, 2017 and early adoption is permitted. The new guidance is to be applied on a retrospective basis. The Company is currently evaluating the new guidance.</w:t>
      </w:r>
    </w:p>
    <w:p>
      <w:pPr>
        <w:spacing w:after="0" w:line="37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225" w:lineRule="exact"/>
        <w:rPr>
          <w:sz w:val="20"/>
          <w:szCs w:val="20"/>
          <w:color w:val="auto"/>
        </w:rPr>
      </w:pPr>
    </w:p>
    <w:p>
      <w:pPr>
        <w:jc w:val="both"/>
        <w:ind w:right="380" w:firstLine="518"/>
        <w:spacing w:after="0" w:line="264"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and nine month periods ended September 30, 2016 and 2015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9"/>
                <w:szCs w:val="19"/>
                <w:color w:val="auto"/>
              </w:rPr>
            </w:pPr>
          </w:p>
        </w:tc>
      </w:tr>
      <w:tr>
        <w:trPr>
          <w:trHeight w:val="215"/>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(2,147)</w:t>
            </w:r>
          </w:p>
        </w:tc>
        <w:tc>
          <w:tcPr>
            <w:tcW w:w="3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(488)</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(4,039)</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(6,250)</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12,967</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20,327</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Bad debt expense, net of recoveries is included in “investment banking and other advisory fees” on the condensed consolidated statements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September 30, 2016 and December 31, 2015, the Company had receivables past due or deemed uncollectible of $21,580 and $19,923, respectively.</w:t>
      </w:r>
    </w:p>
    <w:p>
      <w:pPr>
        <w:spacing w:after="0" w:line="248"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Of the Company’s fee receivables at September 30, 2016 and December 31, 2015, $77,056 and $81,774,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$460,639 and $415,439 at September 30, 2016 and December 31, 2015, respectively, approximates fair value.</w:t>
      </w:r>
    </w:p>
    <w:p>
      <w:pPr>
        <w:spacing w:after="0" w:line="36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The Company’s investments and securities sold, not yet purchased, consist of the following at September 30, 2016 and December 31,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Funds: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75,545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126,726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412,317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432,740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method</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462,758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Less: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Equity method</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454,973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478,109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20" w:right="20" w:hanging="512"/>
        <w:spacing w:after="0" w:line="25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$15,011, $38,071 and $129,530, respectively, at September 30, 2016 and $10,996, $31,598 and $156,081, respectively, at December 31, 2015,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w:t>
      </w:r>
    </w:p>
    <w:p>
      <w:pPr>
        <w:spacing w:after="0" w:line="202"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until the fourth quarter of 2015, Lazard Australia Corporate Opportunities Fund 2 (“COF2”), an Australian fund targeting Australian mid-market investments, (iii) a mezzanine fund, which invests in mezzanine debt of a diversified selection of small- to mid-cap European companies, and (iv) a fund targeting significant noncontrolling-stake investments in established private companies. The Company disposed of its private equity business in Australia in the second quarter of 2015 in a transaction with the management of the disposed business. Revenue of $24,388 relating to the disposal of the business primarily represents the realization of carried interest at fair value and is included in “revenue-other” on the condensed consolidated statements of operations for the nine month period ended September 30, 2015.</w:t>
      </w:r>
    </w:p>
    <w:p>
      <w:pPr>
        <w:spacing w:after="0" w:line="166"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During the three month and nine month periods ended September 30, 2016 and 2015, the Company reported in “revenue-other” on its condensed consolidated statements of operations net unrealized investment gains and losses pertaining to “trading” securities still held as of the reporting date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7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38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6"/>
              </w:rPr>
              <w:t>September 30,</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vMerge w:val="restart"/>
          </w:tcPr>
          <w:p>
            <w:pPr>
              <w:spacing w:after="0"/>
              <w:rPr>
                <w:sz w:val="20"/>
                <w:szCs w:val="20"/>
                <w:color w:val="auto"/>
              </w:rPr>
            </w:pPr>
            <w:r>
              <w:rPr>
                <w:rFonts w:ascii="Arial" w:cs="Arial" w:eastAsia="Arial" w:hAnsi="Arial"/>
                <w:sz w:val="18"/>
                <w:szCs w:val="18"/>
                <w:color w:val="auto"/>
              </w:rPr>
              <w:t>Net unrealized investment gains (losses)</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9,047</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(24,962)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400"/>
              <w:spacing w:after="0"/>
              <w:rPr>
                <w:sz w:val="20"/>
                <w:szCs w:val="20"/>
                <w:color w:val="auto"/>
              </w:rPr>
            </w:pPr>
            <w:r>
              <w:rPr>
                <w:rFonts w:ascii="Arial" w:cs="Arial" w:eastAsia="Arial" w:hAnsi="Arial"/>
                <w:sz w:val="18"/>
                <w:szCs w:val="18"/>
                <w:color w:val="auto"/>
                <w:w w:val="87"/>
              </w:rPr>
              <w:t>15,221</w:t>
            </w:r>
          </w:p>
        </w:tc>
        <w:tc>
          <w:tcPr>
            <w:tcW w:w="26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1040" w:right="240" w:hanging="1025"/>
        <w:spacing w:after="0" w:line="277" w:lineRule="auto"/>
        <w:tabs>
          <w:tab w:leader="none" w:pos="10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62" w:lineRule="exact"/>
        <w:rPr>
          <w:sz w:val="20"/>
          <w:szCs w:val="20"/>
          <w:color w:val="auto"/>
        </w:rPr>
      </w:pPr>
    </w:p>
    <w:p>
      <w:pPr>
        <w:ind w:left="1040" w:right="500" w:hanging="1025"/>
        <w:spacing w:after="0" w:line="264" w:lineRule="auto"/>
        <w:tabs>
          <w:tab w:leader="none" w:pos="102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1040" w:right="140" w:hanging="1025"/>
        <w:spacing w:after="0" w:line="257" w:lineRule="auto"/>
        <w:tabs>
          <w:tab w:leader="none" w:pos="10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Company’s investments in debt securities and securities sold, not yet purchased are classified as Level 1 when their respective fair values are based on unadjusted quoted prices in active markets.</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The fair value of investments in private equity funds were classified as Level 3 for certain investments that were valued based on a potential transaction value as of September 30,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54" w:lineRule="exact"/>
        <w:rPr>
          <w:sz w:val="20"/>
          <w:szCs w:val="20"/>
          <w:color w:val="auto"/>
        </w:rPr>
      </w:pPr>
    </w:p>
    <w:p>
      <w:pPr>
        <w:ind w:right="580" w:firstLine="518"/>
        <w:spacing w:after="0" w:line="293" w:lineRule="auto"/>
        <w:rPr>
          <w:sz w:val="20"/>
          <w:szCs w:val="20"/>
          <w:color w:val="auto"/>
        </w:rPr>
      </w:pPr>
      <w:r>
        <w:rPr>
          <w:rFonts w:ascii="Arial" w:cs="Arial" w:eastAsia="Arial" w:hAnsi="Arial"/>
          <w:sz w:val="16"/>
          <w:szCs w:val="16"/>
          <w:color w:val="auto"/>
        </w:rPr>
        <w:t>The fair value of the contingent consideration liability is classified as Level 3 and the estimated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costs” in the condensed consolidated statement of operations. Our business acquisitions may involve the potential payment of contingent consideration upon the achievement of certain performance thresholds. The contingent consideration liability is initially recorded at the estimated fair value of the contingent payments on the acquisition date and is included in “other liabilities” on the condensed consolidated statements of financial condition. See Note 10.</w:t>
      </w:r>
    </w:p>
    <w:p>
      <w:pPr>
        <w:spacing w:after="0" w:line="16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w:t>
      </w:r>
    </w:p>
    <w:p>
      <w:pPr>
        <w:spacing w:after="0" w:line="193"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w:t>
      </w:r>
      <w:r>
        <w:rPr>
          <w:rFonts w:ascii="Arial" w:cs="Arial" w:eastAsia="Arial" w:hAnsi="Arial"/>
          <w:sz w:val="18"/>
          <w:szCs w:val="18"/>
          <w:color w:val="auto"/>
        </w:rPr>
        <w:t>—As a practical expedient, the Company uses NAV or its equivalent to measure the fair value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NAV is primarily determined based on information provided by external fund administrators. The Company’s investments valued at NAV as a practical expedient in (i) alternative investment funds, debt funds and equity funds are redeemable in the near term, and (ii) in private equity funds are not redeemable in the near term as a result of redemption restrictions.</w:t>
      </w:r>
    </w:p>
    <w:p>
      <w:pPr>
        <w:spacing w:after="0" w:line="187"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The following tables present, as of September 30, 2016 and December 31, 2015, the classification of (i) investments and certain other assets and liabilities measured at fair value on a recurring basis within the fair value hierarchy and (ii) investments measured at NAV or its equivalent as a practical expedient: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180" w:type="dxa"/>
            <w:vAlign w:val="bottom"/>
          </w:tcPr>
          <w:p>
            <w:pPr>
              <w:spacing w:after="0"/>
              <w:rPr>
                <w:sz w:val="13"/>
                <w:szCs w:val="13"/>
                <w:color w:val="auto"/>
              </w:rPr>
            </w:pPr>
          </w:p>
        </w:tc>
        <w:tc>
          <w:tcPr>
            <w:tcW w:w="10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NAV (a)</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13,158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170,372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170,416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126,726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313,718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139,934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457,242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186,196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186,196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17,028</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6" w:name="page17"/>
    <w:bookmarkEnd w:id="1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180" w:type="dxa"/>
            <w:vAlign w:val="bottom"/>
          </w:tcPr>
          <w:p>
            <w:pPr>
              <w:spacing w:after="0"/>
              <w:rPr>
                <w:sz w:val="13"/>
                <w:szCs w:val="13"/>
                <w:color w:val="auto"/>
              </w:rPr>
            </w:pPr>
          </w:p>
        </w:tc>
        <w:tc>
          <w:tcPr>
            <w:tcW w:w="10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NAV (a)</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354,101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122,732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195,689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195,689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20" w:right="600" w:hanging="512"/>
        <w:spacing w:after="0" w:line="308"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certain investments measured at NAV or its equivalent as a practical expedient in determining fair value. In accordance with current accounting guidance, these investments have not been classified in the fair value hierarchy. See Note 2 for additional information.</w:t>
      </w:r>
    </w:p>
    <w:p>
      <w:pPr>
        <w:spacing w:after="0" w:line="16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nine month periods ended September 30, 2016 and 2015:</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 2016</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20" w:type="dxa"/>
            <w:vAlign w:val="bottom"/>
            <w:vMerge w:val="restart"/>
          </w:tcPr>
          <w:p>
            <w:pPr>
              <w:jc w:val="right"/>
              <w:ind w:right="127"/>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Earnings (b)</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Acquisitions</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2"/>
              </w:rPr>
              <w:t>Dispositions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gridSpan w:val="8"/>
          </w:tcPr>
          <w:p>
            <w:pPr>
              <w:jc w:val="center"/>
              <w:ind w:left="760"/>
              <w:spacing w:after="0"/>
              <w:rPr>
                <w:sz w:val="20"/>
                <w:szCs w:val="20"/>
                <w:color w:val="auto"/>
              </w:rPr>
            </w:pPr>
            <w:r>
              <w:rPr>
                <w:rFonts w:ascii="Arial" w:cs="Arial" w:eastAsia="Arial" w:hAnsi="Arial"/>
                <w:sz w:val="14"/>
                <w:szCs w:val="14"/>
                <w:b w:val="1"/>
                <w:bCs w:val="1"/>
                <w:color w:val="auto"/>
                <w:w w:val="93"/>
              </w:rPr>
              <w:t>Nine Months Ended September 30, 2016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220"/>
              <w:spacing w:after="0" w:line="133" w:lineRule="exact"/>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Earnings (b)</w:t>
            </w: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12"/>
          </w:tcPr>
          <w:p>
            <w:pPr>
              <w:jc w:val="center"/>
              <w:ind w:right="300"/>
              <w:spacing w:after="0"/>
              <w:rPr>
                <w:sz w:val="20"/>
                <w:szCs w:val="20"/>
                <w:color w:val="auto"/>
              </w:rPr>
            </w:pPr>
            <w:r>
              <w:rPr>
                <w:rFonts w:ascii="Arial" w:cs="Arial" w:eastAsia="Arial" w:hAnsi="Arial"/>
                <w:sz w:val="14"/>
                <w:szCs w:val="14"/>
                <w:b w:val="1"/>
                <w:bCs w:val="1"/>
                <w:color w:val="auto"/>
                <w:w w:val="93"/>
              </w:rPr>
              <w:t>Three Months Ended September 30, 2015 (a)</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220"/>
              <w:spacing w:after="0" w:line="133" w:lineRule="exact"/>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Earnings (b)</w:t>
            </w: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Private equity funds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23,566</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gridSpan w:val="10"/>
          </w:tcPr>
          <w:p>
            <w:pPr>
              <w:jc w:val="center"/>
              <w:ind w:left="660"/>
              <w:spacing w:after="0"/>
              <w:rPr>
                <w:sz w:val="20"/>
                <w:szCs w:val="20"/>
                <w:color w:val="auto"/>
              </w:rPr>
            </w:pPr>
            <w:r>
              <w:rPr>
                <w:rFonts w:ascii="Arial" w:cs="Arial" w:eastAsia="Arial" w:hAnsi="Arial"/>
                <w:sz w:val="14"/>
                <w:szCs w:val="14"/>
                <w:b w:val="1"/>
                <w:bCs w:val="1"/>
                <w:color w:val="auto"/>
                <w:w w:val="93"/>
              </w:rPr>
              <w:t>Nine Months Ended September 30, 2015 (a)</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220"/>
              <w:spacing w:after="0" w:line="133" w:lineRule="exact"/>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95"/>
              </w:rPr>
              <w:t>Earnings (b)</w:t>
            </w: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Transfers (c)</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40"/>
              <w:spacing w:after="0"/>
              <w:rPr>
                <w:sz w:val="20"/>
                <w:szCs w:val="20"/>
                <w:color w:val="auto"/>
              </w:rPr>
            </w:pPr>
            <w:r>
              <w:rPr>
                <w:rFonts w:ascii="Arial" w:cs="Arial" w:eastAsia="Arial" w:hAnsi="Arial"/>
                <w:sz w:val="18"/>
                <w:szCs w:val="18"/>
                <w:color w:val="auto"/>
              </w:rPr>
              <w:t>Private equity funds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20" w:right="420" w:hanging="512"/>
        <w:spacing w:after="0" w:line="342"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tables for the three month and nine month periods ended September 30, 2015 reflect the retrospective application of new disclosure guidance adopted by the Company for investments using NAV or its equivalent as a practical expedient when measuring fair value. See Note 2.</w:t>
      </w:r>
    </w:p>
    <w:p>
      <w:pPr>
        <w:spacing w:after="0" w:line="29" w:lineRule="exact"/>
        <w:rPr>
          <w:rFonts w:ascii="Arial" w:cs="Arial" w:eastAsia="Arial" w:hAnsi="Arial"/>
          <w:sz w:val="16"/>
          <w:szCs w:val="16"/>
          <w:color w:val="auto"/>
        </w:rPr>
      </w:pPr>
    </w:p>
    <w:p>
      <w:pPr>
        <w:ind w:left="520" w:right="20" w:hanging="512"/>
        <w:spacing w:after="0" w:line="259"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and private equity funds for the three month and nine month periods ended September 30, 2016 and the three month and nine month periods ended September 30, 2015 include net unrealized gains of $2, $7, $635 and $3,416, respectively. Earnings recorded in “amortization and other acquisition-related costs” for the contingent consideration liability for the three month and nine month periods ended September 30, 2016 include unrealized losses of $28.</w:t>
      </w:r>
    </w:p>
    <w:p>
      <w:pPr>
        <w:spacing w:after="0" w:line="78" w:lineRule="exact"/>
        <w:rPr>
          <w:rFonts w:ascii="Arial" w:cs="Arial" w:eastAsia="Arial" w:hAnsi="Arial"/>
          <w:sz w:val="18"/>
          <w:szCs w:val="18"/>
          <w:color w:val="auto"/>
        </w:rPr>
      </w:pPr>
    </w:p>
    <w:p>
      <w:pPr>
        <w:ind w:left="520" w:right="440" w:hanging="512"/>
        <w:spacing w:after="0" w:line="342"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Certain investments that were valued at NAV as of December 31, 2014 of $19,255 were transferred to Level 3 from the NAV category in the nine months ended September 30, 2015 as these investments were valued based on potential transaction value as of September 30, 2015.</w:t>
      </w:r>
    </w:p>
    <w:p>
      <w:pPr>
        <w:spacing w:after="0" w:line="124"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2016 and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tables present, at September 30, 2016 and December 31, 2015,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September 30, 2016</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w w:val="97"/>
              </w:rPr>
              <w:t>Alternative investment funds: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11,874</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0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0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20" w:type="dxa"/>
            <w:vAlign w:val="bottom"/>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93,174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9,183</w:t>
            </w:r>
          </w:p>
        </w:tc>
        <w:tc>
          <w:tcPr>
            <w:tcW w:w="380" w:type="dxa"/>
            <w:vAlign w:val="bottom"/>
          </w:tcPr>
          <w:p>
            <w:pPr>
              <w:ind w:left="100"/>
              <w:spacing w:after="0"/>
              <w:rPr>
                <w:sz w:val="20"/>
                <w:szCs w:val="20"/>
                <w:color w:val="auto"/>
              </w:rPr>
            </w:pPr>
            <w:r>
              <w:rPr>
                <w:rFonts w:ascii="Arial" w:cs="Arial" w:eastAsia="Arial" w:hAnsi="Arial"/>
                <w:sz w:val="16"/>
                <w:szCs w:val="16"/>
                <w:color w:val="auto"/>
              </w:rPr>
              <w:t>(f)</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100%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59%</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Mezzanine debt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33,552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100%</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7"/>
        </w:trPr>
        <w:tc>
          <w:tcPr>
            <w:tcW w:w="2020" w:type="dxa"/>
            <w:vAlign w:val="bottom"/>
            <w:gridSpan w:val="2"/>
          </w:tcPr>
          <w:p>
            <w:pPr>
              <w:spacing w:after="0"/>
              <w:rPr>
                <w:sz w:val="20"/>
                <w:szCs w:val="20"/>
                <w:color w:val="auto"/>
              </w:rPr>
            </w:pPr>
            <w:r>
              <w:rPr>
                <w:rFonts w:ascii="Arial" w:cs="Arial" w:eastAsia="Arial" w:hAnsi="Arial"/>
                <w:sz w:val="16"/>
                <w:szCs w:val="16"/>
                <w:color w:val="auto"/>
              </w:rPr>
              <w:t>Total</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139,934</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9,183</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(80%), monthly (1%) and quarterly (19%)</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(3%) and monthly (97%)</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(18%), monthly (54%) and quarterly (28%)</w:t>
      </w:r>
    </w:p>
    <w:p>
      <w:pPr>
        <w:spacing w:after="0" w:line="9"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$6,724 are excluded. Such commitments are required to be funded by capital contributions from noncontrolling interest holders.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December 31, 2015</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20,410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6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67,895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10,242</w:t>
            </w:r>
          </w:p>
        </w:tc>
        <w:tc>
          <w:tcPr>
            <w:tcW w:w="400" w:type="dxa"/>
            <w:vAlign w:val="bottom"/>
          </w:tcPr>
          <w:p>
            <w:pPr>
              <w:ind w:left="100"/>
              <w:spacing w:after="0"/>
              <w:rPr>
                <w:sz w:val="20"/>
                <w:szCs w:val="20"/>
                <w:color w:val="auto"/>
              </w:rPr>
            </w:pPr>
            <w:r>
              <w:rPr>
                <w:rFonts w:ascii="Arial" w:cs="Arial" w:eastAsia="Arial" w:hAnsi="Arial"/>
                <w:sz w:val="16"/>
                <w:szCs w:val="16"/>
                <w:color w:val="auto"/>
              </w:rPr>
              <w:t>(f)</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Mezzanine debt</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32,324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100%</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7"/>
        </w:trPr>
        <w:tc>
          <w:tcPr>
            <w:tcW w:w="216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122,732</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10,242</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(23%), monthly (69%) and quarterly (8%)</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(20%) and monthly (80%)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(18%), monthly (54%) and quarterly (28%)</w:t>
      </w:r>
    </w:p>
    <w:p>
      <w:pPr>
        <w:spacing w:after="0" w:line="9"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September 30, 2016,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not designated as economic hedging instruments are included in “interest income” and “interest expense”, respectively, or “revenue-other”, depending on the nature of the underlying item, in the condensed consolidated statements of operations.</w:t>
      </w:r>
    </w:p>
    <w:p>
      <w:pPr>
        <w:spacing w:after="0" w:line="178"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reported within “accrued compensation and benefits” (see Note 12) on the accompanying condensed consolidated statements of financial condition as of September 30, 2016 and December 31, 2015: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2,269</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1,873</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175,270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186,196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520" w:right="320" w:hanging="512"/>
        <w:spacing w:after="0" w:line="259"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$324 and $9,377 as of September 30, 2016, respectively, and $460 and $958 as of December 31, 2015, respectively, for contracts with the same counterparty under legally enforceable master netting agreements. Such amounts are recorded “net” in “other assets”, with receivables for net cash collateral under such contracts of $17,210 and $9,636 as of September 30, 2016 and December 31, 2015,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nine month periods ended September 30, 2016 and 2015,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(6,909)</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(4,707)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9,903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(4,032)</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(5,494)</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7,761</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(12,532)</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24,199</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30,150</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2016 and December 31, 2015, property consists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140,633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167,314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167,838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289,417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265,506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204,300</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207,165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2016 and December 31, 2015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346,044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353,850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0" w:firstLine="518"/>
        <w:spacing w:after="0" w:line="342" w:lineRule="auto"/>
        <w:rPr>
          <w:sz w:val="20"/>
          <w:szCs w:val="20"/>
          <w:color w:val="auto"/>
        </w:rPr>
      </w:pPr>
      <w:r>
        <w:rPr>
          <w:rFonts w:ascii="Arial" w:cs="Arial" w:eastAsia="Arial" w:hAnsi="Arial"/>
          <w:sz w:val="16"/>
          <w:szCs w:val="16"/>
          <w:color w:val="auto"/>
        </w:rPr>
        <w:t>At September 30, 2016 and December 31, 2015, goodwill of $281,503 and $256,220, respectively, was attributable to the Company’s Financial Advisory segment and, at each such respective date, $64,541 of goodwill was attributable to the Company’s Asset Management segment.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nine month periods ended September 30, 2016 and 2015 are as follows:</w:t>
      </w:r>
    </w:p>
    <w:p>
      <w:pPr>
        <w:spacing w:after="0" w:line="230"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Nine Months Ended</w:t>
      </w:r>
    </w:p>
    <w:p>
      <w:pPr>
        <w:jc w:val="center"/>
        <w:ind w:left="6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370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5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335,402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Business acquisitions (see Note 10)</w:t>
            </w:r>
          </w:p>
        </w:tc>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20,377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2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(18,413)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1140"/>
              <w:spacing w:after="0"/>
              <w:rPr>
                <w:sz w:val="20"/>
                <w:szCs w:val="20"/>
                <w:color w:val="auto"/>
              </w:rPr>
            </w:pPr>
            <w:r>
              <w:rPr>
                <w:rFonts w:ascii="Arial" w:cs="Arial" w:eastAsia="Arial" w:hAnsi="Arial"/>
                <w:sz w:val="18"/>
                <w:szCs w:val="18"/>
                <w:color w:val="auto"/>
              </w:rPr>
              <w:t>Balance, September 30</w:t>
            </w:r>
          </w:p>
        </w:tc>
        <w:tc>
          <w:tcPr>
            <w:tcW w:w="25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346,044</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316,989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40" w:type="dxa"/>
            <w:vAlign w:val="bottom"/>
            <w:vMerge w:val="restart"/>
          </w:tcPr>
          <w:p>
            <w:pPr>
              <w:jc w:val="right"/>
              <w:ind w:right="151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All changes in the carrying amount of goodwill for the nine month periods ended September 30, 2016 and 2015 are attributable to the Company’s Financial Advisory segment.</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September 30, 2016 and December 31, 2015,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September 30, 2016</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Success/performance fees</w:t>
            </w: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26,334</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32,369</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59,370</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57,561</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 w:firstLine="380"/>
        <w:spacing w:after="0" w:line="286" w:lineRule="auto"/>
        <w:rPr>
          <w:sz w:val="20"/>
          <w:szCs w:val="20"/>
          <w:color w:val="auto"/>
        </w:rPr>
      </w:pPr>
      <w:r>
        <w:rPr>
          <w:rFonts w:ascii="Arial" w:cs="Arial" w:eastAsia="Arial" w:hAnsi="Arial"/>
          <w:sz w:val="17"/>
          <w:szCs w:val="17"/>
          <w:color w:val="auto"/>
        </w:rPr>
        <w:t>Amortization expense of intangible assets, included in “amortization and other acquisition-related costs” in the condensed consolidated statements of operations, for the three month and nine month periods ended September 30, 2016 was $835 and $1,809, respectively, and for the three month and nine month periods ended September 30, 2015 was $511 and $3,401, respectively. Estimated future amortization expense is as follows: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3"/>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2016 (October 1 through December 31)</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FF0FC"/>
          </w:tcPr>
          <w:p>
            <w:pPr>
              <w:spacing w:after="0"/>
              <w:rPr>
                <w:sz w:val="19"/>
                <w:szCs w:val="19"/>
                <w:color w:val="auto"/>
              </w:rPr>
            </w:pPr>
          </w:p>
        </w:tc>
        <w:tc>
          <w:tcPr>
            <w:tcW w:w="5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FF0FC"/>
          </w:tcPr>
          <w:p>
            <w:pPr>
              <w:spacing w:after="0"/>
              <w:rPr>
                <w:sz w:val="19"/>
                <w:szCs w:val="19"/>
                <w:color w:val="auto"/>
              </w:rPr>
            </w:pPr>
          </w:p>
        </w:tc>
        <w:tc>
          <w:tcPr>
            <w:tcW w:w="5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gridSpan w:val="4"/>
          </w:tcPr>
          <w:p>
            <w:pPr>
              <w:spacing w:after="0"/>
              <w:rPr>
                <w:sz w:val="20"/>
                <w:szCs w:val="20"/>
                <w:color w:val="auto"/>
              </w:rPr>
            </w:pPr>
            <w:r>
              <w:rPr>
                <w:rFonts w:ascii="Arial" w:cs="Arial" w:eastAsia="Arial" w:hAnsi="Arial"/>
                <w:sz w:val="18"/>
                <w:szCs w:val="18"/>
                <w:color w:val="auto"/>
              </w:rPr>
              <w:t>Total amortization expense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8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60" w:hanging="504"/>
        <w:spacing w:after="0"/>
        <w:tabs>
          <w:tab w:leader="none" w:pos="1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Approximately 27% of intangible asset amortization is attributable to a noncontrolling interest.</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September 30, 2016 and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Initial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Annual</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5"/>
          </w:tcPr>
          <w:p>
            <w:pPr>
              <w:ind w:left="20"/>
              <w:spacing w:after="0" w:line="155" w:lineRule="exact"/>
              <w:rPr>
                <w:sz w:val="20"/>
                <w:szCs w:val="20"/>
                <w:color w:val="auto"/>
              </w:rPr>
            </w:pPr>
            <w:r>
              <w:rPr>
                <w:rFonts w:ascii="Arial" w:cs="Arial" w:eastAsia="Arial" w:hAnsi="Arial"/>
                <w:sz w:val="14"/>
                <w:szCs w:val="14"/>
                <w:b w:val="1"/>
                <w:bCs w:val="1"/>
                <w:color w:val="auto"/>
                <w:w w:val="90"/>
              </w:rPr>
              <w:t>September 30, 2016</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w w:val="93"/>
              </w:rPr>
              <w:t>December 31, 2015</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Principal</w:t>
            </w:r>
          </w:p>
        </w:tc>
        <w:tc>
          <w:tcPr>
            <w:tcW w:w="8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Maturity</w:t>
            </w:r>
          </w:p>
        </w:tc>
        <w:tc>
          <w:tcPr>
            <w:tcW w:w="94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rPr>
              <w:t>Interest</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1"/>
                <w:szCs w:val="11"/>
                <w:color w:val="auto"/>
              </w:rPr>
            </w:pPr>
          </w:p>
        </w:tc>
        <w:tc>
          <w:tcPr>
            <w:tcW w:w="120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Unamortized</w:t>
            </w:r>
          </w:p>
        </w:tc>
        <w:tc>
          <w:tcPr>
            <w:tcW w:w="7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1220" w:type="dxa"/>
            <w:vAlign w:val="bottom"/>
            <w:gridSpan w:val="4"/>
          </w:tcPr>
          <w:p>
            <w:pPr>
              <w:ind w:left="200"/>
              <w:spacing w:after="0" w:line="133" w:lineRule="exact"/>
              <w:rPr>
                <w:sz w:val="20"/>
                <w:szCs w:val="20"/>
                <w:color w:val="auto"/>
              </w:rPr>
            </w:pPr>
            <w:r>
              <w:rPr>
                <w:rFonts w:ascii="Arial" w:cs="Arial" w:eastAsia="Arial" w:hAnsi="Arial"/>
                <w:sz w:val="14"/>
                <w:szCs w:val="14"/>
                <w:b w:val="1"/>
                <w:bCs w:val="1"/>
                <w:color w:val="auto"/>
              </w:rPr>
              <w:t>Unamortized</w:t>
            </w:r>
          </w:p>
        </w:tc>
        <w:tc>
          <w:tcPr>
            <w:tcW w:w="7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44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Rate(b)</w:t>
            </w:r>
          </w:p>
        </w:tc>
        <w:tc>
          <w:tcPr>
            <w:tcW w:w="2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Debt Costs</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Value</w:t>
            </w:r>
          </w:p>
        </w:tc>
        <w:tc>
          <w:tcPr>
            <w:tcW w:w="2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Debt Costs</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w w:val="91"/>
              </w:rPr>
              <w:t>Lazard Group 2017</w:t>
            </w:r>
          </w:p>
        </w:tc>
        <w:tc>
          <w:tcPr>
            <w:tcW w:w="1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(a)</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600,000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6/15/17</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98,350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98,273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98,350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w w:val="91"/>
              </w:rPr>
              <w:t>Lazard Group 2020</w:t>
            </w:r>
          </w:p>
        </w:tc>
        <w:tc>
          <w:tcPr>
            <w:tcW w:w="164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500,000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500,000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496,200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500,000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495,509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w w:val="91"/>
              </w:rPr>
              <w:t>Lazard Group 2025</w:t>
            </w:r>
          </w:p>
        </w:tc>
        <w:tc>
          <w:tcPr>
            <w:tcW w:w="1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(a)</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400,000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400,000</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396,015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400,000</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395,658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ind w:left="260"/>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998,350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990,488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998,350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8,992</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989,358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2" w:name="page23"/>
    <w:bookmarkEnd w:id="2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209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39" w:lineRule="exact"/>
        <w:rPr>
          <w:sz w:val="20"/>
          <w:szCs w:val="20"/>
          <w:color w:val="auto"/>
        </w:rPr>
      </w:pPr>
    </w:p>
    <w:p>
      <w:pPr>
        <w:ind w:left="520" w:right="60" w:hanging="512"/>
        <w:spacing w:after="0" w:line="293"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expenses—other” on the condensed consolidated statement of operations for the nine month period ended September 30, 2015.</w:t>
      </w:r>
    </w:p>
    <w:p>
      <w:pPr>
        <w:spacing w:after="0" w:line="70" w:lineRule="exact"/>
        <w:rPr>
          <w:rFonts w:ascii="Arial" w:cs="Arial" w:eastAsia="Arial" w:hAnsi="Arial"/>
          <w:sz w:val="16"/>
          <w:szCs w:val="16"/>
          <w:color w:val="auto"/>
        </w:rPr>
      </w:pPr>
    </w:p>
    <w:p>
      <w:pPr>
        <w:ind w:left="520" w:right="10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 interest rates of the 2017 Notes, Lazard Group’s 4.25% senior notes due November 14, 2020 (the “2020 Notes”) and the 2025 Notes are 6.96%, 4.43% and 3.87%, respectively.</w:t>
      </w:r>
    </w:p>
    <w:p>
      <w:pPr>
        <w:spacing w:after="0" w:line="170"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table, as of December 31, 2015, reflects the retrospective application of new guidance adopted by the Company for debt issuance costs. See Note 2.</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September 30, 2016 and December 31, 2015, no amounts were outstanding under the Amended and Restated Credit Agreement.</w:t>
      </w:r>
    </w:p>
    <w:p>
      <w:pPr>
        <w:spacing w:after="0" w:line="193"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September 30, 2016, the Company was in compliance with such provisions. All of the Company’s senior debt obligations are unsecured.</w:t>
      </w:r>
    </w:p>
    <w:p>
      <w:pPr>
        <w:spacing w:after="0" w:line="14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September 30, 2016, the Company had approximately $164,000 in unused lines of credit available to it, including the credit facility provided under the Amended and Restated Credit Agreement, and unused lines of credit available to LFB of approximately $11,000 (at September 30, 2016 exchange rates).</w:t>
      </w:r>
    </w:p>
    <w:p>
      <w:pPr>
        <w:spacing w:after="0" w:line="181" w:lineRule="exact"/>
        <w:rPr>
          <w:sz w:val="20"/>
          <w:szCs w:val="20"/>
          <w:color w:val="auto"/>
        </w:rPr>
      </w:pPr>
    </w:p>
    <w:p>
      <w:pPr>
        <w:jc w:val="both"/>
        <w:ind w:right="20" w:firstLine="518"/>
        <w:spacing w:after="0" w:line="312" w:lineRule="auto"/>
        <w:rPr>
          <w:sz w:val="20"/>
          <w:szCs w:val="20"/>
          <w:color w:val="auto"/>
        </w:rPr>
      </w:pPr>
      <w:r>
        <w:rPr>
          <w:rFonts w:ascii="Arial" w:cs="Arial" w:eastAsia="Arial" w:hAnsi="Arial"/>
          <w:sz w:val="16"/>
          <w:szCs w:val="16"/>
          <w:color w:val="auto"/>
        </w:rPr>
        <w:t>The Company’s senior debt at September 30, 2016 and December 31, 2015 is carried at historical amounts of $990,488 and $989,358, respectively. At those dates, the fair value of such senior debt was approximately $1,061,000 and $994,000, respectively. The fair value of the Company’s senior debt is based on market quotations. The Company’s senior debt would be categorized within Level 2 of the hierarchy of fair value measurements if carried at fair value.</w:t>
      </w:r>
    </w:p>
    <w:p>
      <w:pPr>
        <w:spacing w:after="0" w:line="336"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2016, LFB had $3,809 of such indemnifications and held $3,723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b w:val="1"/>
          <w:bCs w:val="1"/>
          <w:i w:val="1"/>
          <w:iCs w:val="1"/>
          <w:color w:val="auto"/>
        </w:rPr>
        <w:t>Certain Business Acquisitions</w:t>
      </w:r>
      <w:r>
        <w:rPr>
          <w:rFonts w:ascii="Arial" w:cs="Arial" w:eastAsia="Arial" w:hAnsi="Arial"/>
          <w:sz w:val="18"/>
          <w:szCs w:val="18"/>
          <w:color w:val="auto"/>
        </w:rPr>
        <w:t>—On July 15, 2009, the Company established a private equity business with Edgewater. Edgewater manages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88"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were subject to earnout criteria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payable over time. The Earnout Shares were to be issued only if certain performance thresholds were met. As of December 31, 2015, 913,722 shares were issuable on a contingent basis. As of September 30, 2016 and December 31, 2105, 2,285,714 and 1,371,992 shares, respectively, had been earned and settled because applicable performance thresholds had been satisfied. During the nine month period ended September 30, 2016, the delivery of 913,722 shares of Class A common stock resulted in a non-cash tax benefit of $12,653 recorded in deferred tax assets.</w:t>
      </w:r>
    </w:p>
    <w:p>
      <w:pPr>
        <w:spacing w:after="0" w:line="17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b w:val="1"/>
          <w:bCs w:val="1"/>
          <w:i w:val="1"/>
          <w:iCs w:val="1"/>
          <w:color w:val="auto"/>
        </w:rPr>
        <w:t>Other Business Acquisitions</w:t>
      </w:r>
      <w:r>
        <w:rPr>
          <w:rFonts w:ascii="Arial" w:cs="Arial" w:eastAsia="Arial" w:hAnsi="Arial"/>
          <w:sz w:val="18"/>
          <w:szCs w:val="18"/>
          <w:color w:val="auto"/>
        </w:rPr>
        <w:t>—For a business acquired in the third quarter of 2016, consideration transferred included (i) a one-time cash payment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non-contingent interests exchangeable into 206,612 shares of Class A common stock and (ii) contingent interests which are exchangeable into a maximum of 606,061 shares of Class A common stock and are subject to certain performance thresholds. As of September 30, 2016, none of the contingent shares had been earned.</w:t>
      </w:r>
    </w:p>
    <w:p>
      <w:pPr>
        <w:spacing w:after="0" w:line="187"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For a business acquired in 2012, at December 31, 2012, 170,988 shares of Class A common stock (including dividend 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166"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September 30, 2016, LFB and LFNY had no such underwriting commitments.</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See Notes 5 and 13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54"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nine month period ended September 30, 2016 and since 2013, the Board of Directors of Lazard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repurchase of Class A common stock as set forth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Date</w:t>
            </w: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Repurchase</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40" w:type="dxa"/>
            <w:vAlign w:val="bottom"/>
            <w:gridSpan w:val="4"/>
            <w:vMerge w:val="continue"/>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5"/>
              </w:rPr>
              <w:t>Authorization</w:t>
            </w:r>
          </w:p>
        </w:tc>
        <w:tc>
          <w:tcPr>
            <w:tcW w:w="13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500" w:type="dxa"/>
            <w:vAlign w:val="bottom"/>
            <w:tcBorders>
              <w:top w:val="single" w:sz="8" w:color="CFF0FC"/>
            </w:tcBorders>
            <w:shd w:val="clear" w:color="auto" w:fill="CFF0FC"/>
          </w:tcPr>
          <w:p>
            <w:pPr>
              <w:spacing w:after="0"/>
              <w:rPr>
                <w:sz w:val="18"/>
                <w:szCs w:val="18"/>
                <w:color w:val="auto"/>
              </w:rPr>
            </w:pPr>
          </w:p>
        </w:tc>
        <w:tc>
          <w:tcPr>
            <w:tcW w:w="34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December 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2013</w:t>
            </w:r>
          </w:p>
        </w:tc>
        <w:tc>
          <w:tcPr>
            <w:tcW w:w="3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December 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4"/>
          </w:tcPr>
          <w:p>
            <w:pPr>
              <w:ind w:left="1140"/>
              <w:spacing w:after="0"/>
              <w:rPr>
                <w:sz w:val="20"/>
                <w:szCs w:val="20"/>
                <w:color w:val="auto"/>
              </w:rPr>
            </w:pPr>
            <w:r>
              <w:rPr>
                <w:rFonts w:ascii="Arial" w:cs="Arial" w:eastAsia="Arial" w:hAnsi="Arial"/>
                <w:sz w:val="18"/>
                <w:szCs w:val="18"/>
                <w:color w:val="auto"/>
              </w:rPr>
              <w:t>April, 2014</w:t>
            </w:r>
          </w:p>
        </w:tc>
        <w:tc>
          <w:tcPr>
            <w:tcW w:w="3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December 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2015</w:t>
            </w:r>
          </w:p>
        </w:tc>
        <w:tc>
          <w:tcPr>
            <w:tcW w:w="3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December 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4"/>
          </w:tcPr>
          <w:p>
            <w:pPr>
              <w:ind w:left="1140"/>
              <w:spacing w:after="0"/>
              <w:rPr>
                <w:sz w:val="20"/>
                <w:szCs w:val="20"/>
                <w:color w:val="auto"/>
              </w:rPr>
            </w:pPr>
            <w:r>
              <w:rPr>
                <w:rFonts w:ascii="Arial" w:cs="Arial" w:eastAsia="Arial" w:hAnsi="Arial"/>
                <w:sz w:val="18"/>
                <w:szCs w:val="18"/>
                <w:color w:val="auto"/>
              </w:rPr>
              <w:t>January, 2016</w:t>
            </w:r>
          </w:p>
        </w:tc>
        <w:tc>
          <w:tcPr>
            <w:tcW w:w="3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December 31,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2016</w:t>
            </w:r>
          </w:p>
        </w:tc>
        <w:tc>
          <w:tcPr>
            <w:tcW w:w="3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80" w:type="dxa"/>
            <w:vAlign w:val="bottom"/>
          </w:tcPr>
          <w:p>
            <w:pPr>
              <w:jc w:val="right"/>
              <w:ind w:right="153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4" w:name="page25"/>
    <w:bookmarkEnd w:id="2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2005 Equity Incentive Plan (the “2005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Price Per</w:t>
            </w:r>
          </w:p>
        </w:tc>
      </w:tr>
      <w:tr>
        <w:trPr>
          <w:trHeight w:val="176"/>
        </w:trPr>
        <w:tc>
          <w:tcPr>
            <w:tcW w:w="628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Nine Months Ended September 30:</w:t>
            </w: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Purchased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4"/>
              </w:rPr>
              <w:t>Share</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420" w:type="dxa"/>
            <w:vAlign w:val="bottom"/>
            <w:tcBorders>
              <w:top w:val="single" w:sz="8" w:color="auto"/>
              <w:bottom w:val="single" w:sz="8" w:color="CFF0FC"/>
            </w:tcBorders>
          </w:tcPr>
          <w:p>
            <w:pPr>
              <w:spacing w:after="0" w:line="20" w:lineRule="exact"/>
              <w:rPr>
                <w:sz w:val="1"/>
                <w:szCs w:val="1"/>
                <w:color w:val="auto"/>
              </w:rPr>
            </w:pPr>
          </w:p>
        </w:tc>
        <w:tc>
          <w:tcPr>
            <w:tcW w:w="384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2015</w:t>
            </w:r>
          </w:p>
        </w:tc>
        <w:tc>
          <w:tcPr>
            <w:tcW w:w="38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3,141,526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2016</w:t>
            </w:r>
          </w:p>
        </w:tc>
        <w:tc>
          <w:tcPr>
            <w:tcW w:w="38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6,656,250</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34.38</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During the nine month periods ended September 30, 2016 and 2015, certain of our executive officers received Class A common stock in connection with the vesting of previously-granted deferred equity incentive awards. The vesting of such equity awards gave rise to a tax payable by the executive officers, and, consistent with our past practice, the Company purchased shares of Class A common stock from the executive officers equal in value to the estimated amount of such tax. In addition, during the nine month period ended September 30, 2016, the Company purchased shares of Class A common stock from an executive officer. The aggregate value of all such purchases during the nine month periods ended September 30, 2016 and 2015 was approximately $4,900 and $17,700, respectively.</w:t>
      </w:r>
    </w:p>
    <w:p>
      <w:pPr>
        <w:spacing w:after="0" w:line="193"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As of September 30, 2016, a total of $190,477 of share repurchase authorization remained available under the Company’s share repurchase program, which will expire on December 31, 2017.</w:t>
      </w:r>
    </w:p>
    <w:p>
      <w:pPr>
        <w:spacing w:after="0" w:line="17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During the nine month period ended September 30, 2016, the Company had in place trading plans under Rule 10b5-1 of the Securities Exchange Act of 1934, pursuant to which it effected stock repurchases in the open market.</w:t>
      </w:r>
    </w:p>
    <w:p>
      <w:pPr>
        <w:spacing w:after="0" w:line="170" w:lineRule="exact"/>
        <w:rPr>
          <w:sz w:val="20"/>
          <w:szCs w:val="20"/>
          <w:color w:val="auto"/>
        </w:rPr>
      </w:pPr>
    </w:p>
    <w:p>
      <w:pPr>
        <w:ind w:right="140" w:firstLine="518"/>
        <w:spacing w:after="0" w:line="288"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and Series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Series A and Series B preferred shares were issued in connection with certain prior year business acquisitions and are each non-participating securities convertible into Class A common stock, and have no voting or dividend rights. As of both September 30, 2016 and December 31, 2015,</w:t>
      </w:r>
    </w:p>
    <w:p>
      <w:pPr>
        <w:ind w:right="240"/>
        <w:spacing w:after="0" w:line="323" w:lineRule="auto"/>
        <w:rPr>
          <w:sz w:val="20"/>
          <w:szCs w:val="20"/>
          <w:color w:val="auto"/>
        </w:rPr>
      </w:pPr>
      <w:r>
        <w:rPr>
          <w:rFonts w:ascii="Arial" w:cs="Arial" w:eastAsia="Arial" w:hAnsi="Arial"/>
          <w:sz w:val="16"/>
          <w:szCs w:val="16"/>
          <w:color w:val="auto"/>
        </w:rPr>
        <w:t>7,921 shares of Series A preferred stock were outstanding, and no shares of Series B preferred stock were outstanding. At September 30, 2016 and December 31, 2015, no shares of Series A preferred stock were convertible into shares of Class A common stock on a contingent or a non-contingent basis.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Accumulated Other Comprehensive Income (Loss), Net of Tax (“AOCI”)</w:t>
      </w:r>
      <w:r>
        <w:rPr>
          <w:rFonts w:ascii="Arial" w:cs="Arial" w:eastAsia="Arial" w:hAnsi="Arial"/>
          <w:sz w:val="16"/>
          <w:szCs w:val="16"/>
          <w:color w:val="auto"/>
        </w:rPr>
        <w:t>—The tables below reflect the balances of each component of AOCI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 and activity during the nine month periods then ended: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(137,073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(234,357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(234,356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September 30, 2016:</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(4,524)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(5,173)</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earnings, 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(101,808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(134,281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(236,089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(236,088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5" w:name="page26"/>
    <w:bookmarkEnd w:id="2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(154,665</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(200,767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(200,766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 January 1 to September 30, 2015:</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(41,376)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(14,140)</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(55,516)</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(55,516)</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earnings, 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(87,478)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(165,048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(252,526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(252,525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table below reflects adjustments for items reclassified out of AOCI, by component, for the three month and nine month periods ended September 30, 2016 and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1,509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1,749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1,134</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1,381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520" w:right="42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Such amounts are included in “compensation and benefits” expense on the condensed consolidated statements of operations.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nine month periods ended September 30, 2016 and 2015 and noncontrolling interests as of September 30, 2016 and December 31, 2015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Net Income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960" w:type="dxa"/>
            <w:vAlign w:val="bottom"/>
          </w:tcPr>
          <w:p>
            <w:pPr>
              <w:spacing w:after="0"/>
              <w:rPr>
                <w:sz w:val="11"/>
                <w:szCs w:val="11"/>
                <w:color w:val="auto"/>
              </w:rPr>
            </w:pPr>
          </w:p>
        </w:tc>
        <w:tc>
          <w:tcPr>
            <w:tcW w:w="2120" w:type="dxa"/>
            <w:vAlign w:val="bottom"/>
            <w:gridSpan w:val="5"/>
          </w:tcPr>
          <w:p>
            <w:pPr>
              <w:jc w:val="center"/>
              <w:ind w:left="327"/>
              <w:spacing w:after="0" w:line="133" w:lineRule="exact"/>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80" w:type="dxa"/>
            <w:vAlign w:val="bottom"/>
            <w:gridSpan w:val="6"/>
          </w:tcPr>
          <w:p>
            <w:pPr>
              <w:jc w:val="right"/>
              <w:ind w:right="5"/>
              <w:spacing w:after="0" w:line="133" w:lineRule="exact"/>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59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center"/>
              <w:ind w:left="339"/>
              <w:spacing w:after="0" w:line="155"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ind w:right="350"/>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Edgewater</w:t>
            </w: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1,268</w:t>
            </w:r>
          </w:p>
        </w:tc>
        <w:tc>
          <w:tcPr>
            <w:tcW w:w="2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4,988</w:t>
            </w:r>
          </w:p>
        </w:tc>
        <w:tc>
          <w:tcPr>
            <w:tcW w:w="2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9,002</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1,269</w:t>
            </w:r>
          </w:p>
        </w:tc>
        <w:tc>
          <w:tcPr>
            <w:tcW w:w="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4,989</w:t>
            </w:r>
          </w:p>
        </w:tc>
        <w:tc>
          <w:tcPr>
            <w:tcW w:w="2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9,004</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165"/>
              <w:spacing w:after="0"/>
              <w:rPr>
                <w:sz w:val="20"/>
                <w:szCs w:val="20"/>
                <w:color w:val="auto"/>
              </w:rPr>
            </w:pPr>
            <w:r>
              <w:rPr>
                <w:rFonts w:ascii="Arial" w:cs="Arial" w:eastAsia="Arial" w:hAnsi="Arial"/>
                <w:sz w:val="14"/>
                <w:szCs w:val="14"/>
                <w:b w:val="1"/>
                <w:bCs w:val="1"/>
                <w:color w:val="auto"/>
                <w:w w:val="98"/>
              </w:rPr>
              <w:t>Noncontrolling Interests as of</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5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4"/>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3"/>
          </w:tcPr>
          <w:p>
            <w:pPr>
              <w:jc w:val="right"/>
              <w:ind w:right="29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1"/>
                <w:szCs w:val="11"/>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579"/>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57,249</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53,132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718</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57,967</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53,851</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Dividends Declared, October 26, 2016</w:t>
      </w:r>
      <w:r>
        <w:rPr>
          <w:rFonts w:ascii="Arial" w:cs="Arial" w:eastAsia="Arial" w:hAnsi="Arial"/>
          <w:sz w:val="18"/>
          <w:szCs w:val="18"/>
          <w:color w:val="auto"/>
        </w:rPr>
        <w:t>—On October 26, 2016, the Board of Directors of Lazard declared a quarterly dividend of $0.38 per share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Class A common stock, payable on November 18, 2016, to stockholders of record on November 7, 2016.</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A description of Lazard Ltd’s 2008 Plan and 2005 Plan and activity with respect thereto during the three month and nine month periods ended September 30, 2016 and 2015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2008 Plan authorizes the issuance of shares of Class A common stock pursuant to the grant or exercise of stock options, stock appreciation rights, restricted stock units (“RSUs”)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equity-based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8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and nine month periods ended September 30, 2016 and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RSUs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39,447</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38,156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134,419</w:t>
            </w:r>
          </w:p>
        </w:tc>
        <w:tc>
          <w:tcPr>
            <w:tcW w:w="26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129,490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19,088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57,819</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213,144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174,823</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estimated forfeiture rate, is amortized over the vesting periods or requisite service periods (generally one-third after two years, and the remaining two-thirds after the third year), and is adjusted for actual forfeitures over such period.</w:t>
      </w:r>
    </w:p>
    <w:p>
      <w:pPr>
        <w:spacing w:after="0" w:line="170"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nine month periods ended September 30, 2016 and 2015, issuances of RSUs pertaining to such dividend participation rights and respective charges to “retained earnings”, net of estimated forfeitures (with corresponding credits to “additional paid-in-capital”), consisted of the following:</w:t>
      </w:r>
    </w:p>
    <w:p>
      <w:pPr>
        <w:spacing w:after="0" w:line="192"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Nine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8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Number of RSUs issued</w:t>
            </w:r>
          </w:p>
        </w:tc>
        <w:tc>
          <w:tcPr>
            <w:tcW w:w="1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969,054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603,608</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28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32,849</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30,340</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Non-executive members of the Board of Directors (“Non-Executive Directors”) receive approximately 55% of their annual compensation for service on the Board of Directors and its committees in the form of DSUs, which resulted in 38,771 and 23,961 DSUs granted in connection with annual compensation during the nine month periods ended September 30, 2016 and 2015,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dividends paid on Class A common stock.</w:t>
      </w:r>
    </w:p>
    <w:p>
      <w:pPr>
        <w:spacing w:after="0" w:line="18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nine month periods ended September 30, 2016 and 2015, 7,407 and 1,761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2016 and 2015: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8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9,599,658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312,670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Granted (including 969,054 RSUs relating to dividend</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8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6,649,625</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34.64</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46,178</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20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(181,337)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Vested</w:t>
            </w:r>
          </w:p>
        </w:tc>
        <w:tc>
          <w:tcPr>
            <w:tcW w:w="2040" w:type="dxa"/>
            <w:vAlign w:val="bottom"/>
            <w:gridSpan w:val="3"/>
          </w:tcPr>
          <w:p>
            <w:pPr>
              <w:jc w:val="right"/>
              <w:ind w:right="80"/>
              <w:spacing w:after="0"/>
              <w:rPr>
                <w:sz w:val="20"/>
                <w:szCs w:val="20"/>
                <w:color w:val="auto"/>
              </w:rPr>
            </w:pPr>
            <w:r>
              <w:rPr>
                <w:rFonts w:ascii="Arial" w:cs="Arial" w:eastAsia="Arial" w:hAnsi="Arial"/>
                <w:sz w:val="18"/>
                <w:szCs w:val="18"/>
                <w:color w:val="auto"/>
              </w:rPr>
              <w:t>(4,527,559)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39.16</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(84,759)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2016</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11,540,387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274,089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580"/>
              <w:spacing w:after="0"/>
              <w:rPr>
                <w:sz w:val="20"/>
                <w:szCs w:val="20"/>
                <w:color w:val="auto"/>
              </w:rPr>
            </w:pPr>
            <w:r>
              <w:rPr>
                <w:rFonts w:ascii="Arial" w:cs="Arial" w:eastAsia="Arial" w:hAnsi="Arial"/>
                <w:sz w:val="18"/>
                <w:szCs w:val="18"/>
                <w:color w:val="auto"/>
              </w:rPr>
              <w:t>Balance, January 1, 2015</w:t>
            </w:r>
          </w:p>
        </w:tc>
        <w:tc>
          <w:tcPr>
            <w:tcW w:w="1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35.19</w:t>
            </w: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13,529,116</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286,227</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603,608 RSUs relating to dividend</w:t>
            </w:r>
          </w:p>
        </w:tc>
        <w:tc>
          <w:tcPr>
            <w:tcW w:w="8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4,111,619</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25,722</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55.43</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2040" w:type="dxa"/>
            <w:vAlign w:val="bottom"/>
            <w:gridSpan w:val="3"/>
          </w:tcPr>
          <w:p>
            <w:pPr>
              <w:jc w:val="right"/>
              <w:ind w:right="80"/>
              <w:spacing w:after="0"/>
              <w:rPr>
                <w:sz w:val="20"/>
                <w:szCs w:val="20"/>
                <w:color w:val="auto"/>
              </w:rPr>
            </w:pPr>
            <w:r>
              <w:rPr>
                <w:rFonts w:ascii="Arial" w:cs="Arial" w:eastAsia="Arial" w:hAnsi="Arial"/>
                <w:sz w:val="18"/>
                <w:szCs w:val="18"/>
                <w:color w:val="auto"/>
              </w:rPr>
              <w:t>(461,297)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0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(7,159,642)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ind w:left="580"/>
              <w:spacing w:after="0"/>
              <w:rPr>
                <w:sz w:val="20"/>
                <w:szCs w:val="20"/>
                <w:color w:val="auto"/>
              </w:rPr>
            </w:pPr>
            <w:r>
              <w:rPr>
                <w:rFonts w:ascii="Arial" w:cs="Arial" w:eastAsia="Arial" w:hAnsi="Arial"/>
                <w:sz w:val="18"/>
                <w:szCs w:val="18"/>
                <w:color w:val="auto"/>
              </w:rPr>
              <w:t>Balance, September 30, 2015</w:t>
            </w:r>
          </w:p>
        </w:tc>
        <w:tc>
          <w:tcPr>
            <w:tcW w:w="8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10,019,796</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43.50</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311,949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8"/>
                <w:szCs w:val="18"/>
                <w:color w:val="auto"/>
              </w:rPr>
              <w:t>26</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8" w:name="page29"/>
    <w:bookmarkEnd w:id="2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RSUs that vested during the nine month periods ended September 30, 2016 and 2015, the Company satisfied its minimum statutory tax withholding requirements in lieu of delivering 1,416,643 and 1,940,996 shares of Class A common stock during such respective nine month periods. Accordingly, 3,110,916 and 5,218,646 shares of Class A common stock held by the Company were delivered during the nine month periods ended September 30, 2016 and 2015, respectively.</w:t>
      </w:r>
    </w:p>
    <w:p>
      <w:pPr>
        <w:spacing w:after="0" w:line="18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As of September 30, 2016, estimated unrecognized RSU compensation expense was approximately $174,364, with such expense expected to be recognized over a weighted average period of approximately 0.9 years subsequent to September 30, 2016.</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periods ended September 30, 2016 and 2015:</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713,738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1,795,258</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(33,943)</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(802,276)</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2016</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1,672,777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2015</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729,827</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576,886</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(45,500)</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(512,516)</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September 30, 2015</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748,697</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nine month periods ended September 30, 2016 and 2015, the Company satisfied its minimum statutory tax withholding requirements in lieu of delivering 132,984 and 94,745 shares of Class A common stock during such respective nine month periods. Accordingly, 669,292 and 417,771 shares of Class A common stock held by the Company were delivered during the nine month periods ended September 30, 2016 and 2015, respectively.</w:t>
      </w:r>
    </w:p>
    <w:p>
      <w:pPr>
        <w:spacing w:after="0" w:line="18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restricted stock awards include a cash dividend participation right equivalent to dividends paid on Class A common stock during the period, which will vest concurrently with the underlying restricted stock award. At September 30, 2016, estimated unrecognized restricted stock expense was approximately $38,512, with such expense to be recognized over a weighted average period of approximately 1.0 years subsequent to September 30, 2016.</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three years following the date of the grant, provided the applicable service and performance conditions are satisfied. However, PRSUs granted in 2013 vested 33% in March 2015 and 67% in March 2016.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credited as RSUs that are not subject to the performance-based vesting criteria but are otherwise subject to the same restrictions as the underlying PRSUs to which they relate.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nine month periods ended September 30, 2016 and 2015:</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627,956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(417,021)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Arial" w:cs="Arial" w:eastAsia="Arial" w:hAnsi="Arial"/>
                <w:sz w:val="18"/>
                <w:szCs w:val="18"/>
                <w:color w:val="auto"/>
              </w:rPr>
              <w:t>Balance, September 30,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1,229,973</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40.63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1,347,148</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368,389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(696,499)</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Balance, September 30, 2015</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60" w:hanging="518"/>
        <w:spacing w:after="0"/>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PRSUs that vested during the nine month periods ended September 30, 2016 and 2015, the Company satisfied its minimum statutory tax withholding requirements in lieu of delivering 64,169 and 32,086 shares of Class A common stock during such respective nine month periods. Accordingly, 352,852 and 664,413 shares of Class A common stock held by the Company were delivered during the nine month periods ended September 30, 2016 and 2015.</w:t>
      </w:r>
    </w:p>
    <w:p>
      <w:pPr>
        <w:spacing w:after="0" w:line="18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September 30, 2016, the total estimated unrecognized compensation expense was approximately $17,330, and the Company expects to amortize such expense over a weighted-average period of approximately 0.7 years subsequent to September 30, 2016.</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0" w:name="page31"/>
    <w:bookmarkEnd w:id="3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nine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(75,583)</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(1,967)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(56,784)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(1,232)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September 30, 2016</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89,817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(94,899)</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(3,610)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(64,136)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(9,903)</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September 30, 2015</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95,165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0.8 years subsequent to September 30, 2016.</w:t>
      </w:r>
    </w:p>
    <w:p>
      <w:pPr>
        <w:spacing w:after="0" w:line="170"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nine month periods ended September 30, 2016 and 2015:</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58,867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66,092</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(12,145)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4,707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(9,903)</w:t>
            </w: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w:t>
      </w:r>
    </w:p>
    <w:p>
      <w:pPr>
        <w:spacing w:after="0" w:line="124"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nine month periods ended September 30,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Medical Plan</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6"/>
          </w:tcPr>
          <w:p>
            <w:pPr>
              <w:jc w:val="right"/>
              <w:ind w:right="420"/>
              <w:spacing w:after="0" w:line="155" w:lineRule="exact"/>
              <w:rPr>
                <w:sz w:val="20"/>
                <w:szCs w:val="20"/>
                <w:color w:val="auto"/>
              </w:rPr>
            </w:pPr>
            <w:r>
              <w:rPr>
                <w:rFonts w:ascii="Arial" w:cs="Arial" w:eastAsia="Arial" w:hAnsi="Arial"/>
                <w:sz w:val="14"/>
                <w:szCs w:val="14"/>
                <w:b w:val="1"/>
                <w:bCs w:val="1"/>
                <w:color w:val="auto"/>
                <w:w w:val="99"/>
              </w:rPr>
              <w:t>Three Months Ended September 30,</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(6,648)</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(7,146)</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9"/>
                <w:szCs w:val="19"/>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Medical Plan</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6"/>
          </w:tcPr>
          <w:p>
            <w:pPr>
              <w:jc w:val="right"/>
              <w:ind w:right="460"/>
              <w:spacing w:after="0" w:line="155" w:lineRule="exact"/>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(21,047)</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(21,236)</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vMerge w:val="continue"/>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3,639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9"/>
                <w:szCs w:val="19"/>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87"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The Company recorded income tax provisions (benefits) of $36,374 and $95,900 for the three month and nine month periods ended September 30, 2016, respectively, and $170,954 and $(993,560) for the three month and nine month periods ended September 30, 2015, respectively, representing effective tax rates of 24.4%, 26.6%, 30.0% and 637.0%, respectively. The difference between the U.S. federal statutory rate of 35.0% and the effective tax rates reflected above principally relates to (i) taxes payable to foreign jurisdictions that are not offset against U.S. income taxes, (ii) foreign source income (loss) not subject to U.S. income taxes (including interest on intercompany financings), (iii) change in the U.S. federal valuation allowance affecting the provision for income taxes, and (iv) U.S. state and local taxes (primarily UBT), which are incremental to the U.S. federal statutory tax rate.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As of December 31, 2014, the Company had a valuation allowance on substantially all of our deferred tax assets. Certain of our tax-paying entities at which we have historically recorded significant valuation allowances were profitable on a cumulative basis for the three year periods ended June 30, 2015. 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 that there was a sufficient history of sustained profitability at these entities that it was more likely than not that these entities would be able to realize deferred tax assets. Accordingly, during the period ended June 30, 2015, we released substantially all of the valuation allowance against the deferred tax assets held by these entities.</w:t>
      </w:r>
    </w:p>
    <w:p>
      <w:pPr>
        <w:spacing w:after="0" w:line="19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As a result, during the year ended December 31, 2015, we recorded a deferred tax benefit of approximately $878,000, including $821,000 recorded in the second quarter of 2015. In addition, we also recorded (i) in the second quarter of 2015, a separate deferred tax benefit of approximately $378,000 that reflected the tax deductibility of payments under the tax receivable agreement and (ii) in the third quarter of 2015, a deferred tax expense of approximately $161,000 relating to the reduction of a deferred tax asset as a result of the partial extinguishment of our tax receivable agreement obligation. See Note 16 for more information regarding our accrual under the tax receivable agreement in the second quarter of 2015 and the partial extinguishment of our tax receivable agreement obligation in the third quarter of 2015.</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those earnings. The repatriation of prior earnings attributable to “non-pass-through” entities would not result in the recognition of a material amount of additional U.S. income taxes.</w:t>
      </w:r>
    </w:p>
    <w:p>
      <w:pPr>
        <w:spacing w:after="0" w:line="370"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Company’s basic and diluted net income per share calculations for the three month and nine month periods ended September 30, 2016 and 2015 are computed as described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plus applicable adjustments to such net income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inclusion of shares of Class A common stock issuable on a non-contingent basis.</w:t>
      </w:r>
    </w:p>
    <w:p>
      <w:pPr>
        <w:spacing w:after="0" w:line="170"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plus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such shares associated with shares of Class A common stock issuable on a non-contingent basis.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as in the basic net income per share calculation described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plus, to the extent applicable and dilutive, (i) changes in net income attributable to noncontrolling interests resulting from assumed Class A common stock issuances in connection with share-based incentive compensation and (ii) income tax related to (i) above.</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as in the basic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per share calculation described above, plus, to the extent dilutive, the incremental number of shares of Class A common stock required to settle share-based incentive compensation.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nine month periods ended September 30, 2016 and 2015 are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basic</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112,536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398,521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259,716</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828,587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112,536</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398,521</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259,716</w:t>
            </w:r>
          </w:p>
        </w:tc>
        <w:tc>
          <w:tcPr>
            <w:tcW w:w="2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828,587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shares of Class A common</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outstanding</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124,296,449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125,852,995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125,218,272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125,192,436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Add - adjustment for shares of Class A common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issuable on a non-contingent basis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112,435</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72,011</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85,486</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of Class A common</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outstanding - basic</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124,408,884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125,925,006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125,303,758</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125,264,447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number of incremental shares of Class A</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issuable from share-based</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incentive compensation</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7,911,971</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7,190,413</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7,214,129</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7,954,690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outstanding - diluted</w:t>
            </w: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132,320,855</w:t>
            </w:r>
          </w:p>
        </w:tc>
        <w:tc>
          <w:tcPr>
            <w:tcW w:w="24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133,115,419</w:t>
            </w:r>
          </w:p>
        </w:tc>
        <w:tc>
          <w:tcPr>
            <w:tcW w:w="24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132,517,887</w:t>
            </w:r>
          </w:p>
        </w:tc>
        <w:tc>
          <w:tcPr>
            <w:tcW w:w="26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133,219,137</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Lazard Ltd per share of Class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 common stock:</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0.90</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0" w:right="9300" w:hanging="252"/>
        <w:spacing w:after="0" w:line="397" w:lineRule="auto"/>
        <w:tabs>
          <w:tab w:leader="none" w:pos="514" w:val="left"/>
        </w:tabs>
        <w:numPr>
          <w:ilvl w:val="0"/>
          <w:numId w:val="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RELATED PARTIES Sponsored Funds</w:t>
      </w:r>
    </w:p>
    <w:p>
      <w:pPr>
        <w:spacing w:after="0" w:line="2"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$130,546 and $374,250 for the three month and nine month periods ended September 30, 2016, respectively, and $129,524 and $405,145 for the three month and nine month periods ended September 30, 2015, respectively, and are included in “asset management fees” on the condensed consolidated statements of operations. Of such amounts, $54,979 and $42,002 remained as receivables at September 30, 2016 and December 31, 2015, respectively, and are included in “fees receivable” on the condensed consolidated statements of financial condition.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780" w:firstLine="518"/>
        <w:spacing w:after="0" w:line="291" w:lineRule="auto"/>
        <w:rPr>
          <w:sz w:val="20"/>
          <w:szCs w:val="20"/>
          <w:color w:val="auto"/>
        </w:rPr>
      </w:pPr>
      <w:r>
        <w:rPr>
          <w:rFonts w:ascii="Arial" w:cs="Arial" w:eastAsia="Arial" w:hAnsi="Arial"/>
          <w:sz w:val="16"/>
          <w:szCs w:val="16"/>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ind w:right="20" w:firstLine="8"/>
        <w:spacing w:after="0" w:line="270" w:lineRule="auto"/>
        <w:tabs>
          <w:tab w:leader="none" w:pos="2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approximately 45% (following the July 2015 purchase described below)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including our executive officers, in proportion to their beneficial interests in the Trust.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73"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As described in Note 14, during the period ended June 30, 2015, we released substantially all of our valuation allowance against deferred tax assets. As a result, we accrued a corresponding liability of $961,948 during the quarter ended June 30, 2015 for amounts relating to the Amended and Restated Tax Receivable Agreement at that time.</w:t>
      </w:r>
    </w:p>
    <w:p>
      <w:pPr>
        <w:spacing w:after="0" w:line="18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15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July 2015, we purchased approximately 47% of the then-outstanding beneficial interests in the Trust from certain owners of the Trust for $42,222 in cash, which resulted in the automatic cancellation of such beneficial interests and the extinguishment of a significant portion of our payment obligations under the Amended and Restated Tax Receivable Agreement. The extinguishment of these payment obligations resulted in a pre-tax gain of $420,792 recorded in “provision pursuant to tax receivable agreement” on the consolidated statement of operations for the year ended December 31, 2015. In addition, the extinguishment of these payment obligations resulted in a reduction of the tax benefits that would have been attributable to the actual payments and, accordingly, we recorded a deferred tax expense of approximately $161,000 on the consolidated statement of operations for the year ended December 31, 2015.</w:t>
      </w:r>
    </w:p>
    <w:p>
      <w:pPr>
        <w:spacing w:after="0" w:line="189" w:lineRule="exact"/>
        <w:rPr>
          <w:sz w:val="20"/>
          <w:szCs w:val="20"/>
          <w:color w:val="auto"/>
        </w:rPr>
      </w:pPr>
    </w:p>
    <w:p>
      <w:pPr>
        <w:ind w:right="420" w:firstLine="518"/>
        <w:spacing w:after="0" w:line="297" w:lineRule="auto"/>
        <w:rPr>
          <w:sz w:val="20"/>
          <w:szCs w:val="20"/>
          <w:color w:val="auto"/>
        </w:rPr>
      </w:pPr>
      <w:r>
        <w:rPr>
          <w:rFonts w:ascii="Arial" w:cs="Arial" w:eastAsia="Arial" w:hAnsi="Arial"/>
          <w:sz w:val="16"/>
          <w:szCs w:val="16"/>
          <w:color w:val="auto"/>
        </w:rPr>
        <w:t>For the three month and nine month periods ended September 30, 2015, the Company recorded a “provision (benefit) pursuant to tax receivable agreement” on the condensed consolidated statements of operations of $(420,792) and $547,691, respectively. The cumulative liability relating to our obligations under the Amended and Restated Tax Receivable Agreement as of September 30, 2016 and December 31, 2015 was $513,623 and $523,962, respectively, and is recorded in “tax receivable agreement obligation” on the condensed consolidated statements of financial condition. The balance at September 30, 2016 reflects a payment made under the Amended and Restated Tax Receivable Agreement in the first quarter of 2016 of $10,086.</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for information regarding related party transactions pertaining to shares repurchased from certain of our executive officers.</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Securities Exchange Act of 1934. Under the basic method permitted by this rule, the minimum required net capital, as defined, is a specified fixed percentage (6 2/3%)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September 30, 2016, LFNY’s regulatory net capital was $73,105, which exceeded the minimum requirement by $69,178. LFNY’s aggregate indebtedness to net capital ratio was 0.81:1 as of September 30, 2016.</w:t>
      </w:r>
    </w:p>
    <w:p>
      <w:pPr>
        <w:spacing w:after="0" w:line="193"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September 30, 2016, the aggregate regulatory net capital of the U.K. Subsidiaries was $131,370, which exceeded the minimum requirement by $116,180.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September 30, 2016, the consolidated regulatory net capital of CFLF was $133,377, which exceeded the minimum requirement set for regulatory capital levels by $88,653.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June 30, 2016, the regulatory net capital of the combined European regulated group was $176,187, which exceeded the minimum requirement set for regulatory capital levels by $98,533.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5"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2016, for those subsidiaries with regulatory capital requirements, their aggregate net capital was $110,833, which exceeded the minimum required capital by $84,709.</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2016, each of these subsidiaries individually was in compliance with its regulatory capital requirements.</w:t>
      </w:r>
    </w:p>
    <w:p>
      <w:pPr>
        <w:spacing w:after="0" w:line="225"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above, the Company records selected other activities in its Corporate segment.</w:t>
      </w:r>
    </w:p>
    <w:p>
      <w:pPr>
        <w:spacing w:after="0" w:line="17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Company’s segment information for the three month and nine month periods ended September 30, 2016 and 2015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6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9"/>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7"/>
          </w:tcPr>
          <w:p>
            <w:pPr>
              <w:ind w:left="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192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343,488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330,832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896,467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948,735</w:t>
            </w:r>
          </w:p>
        </w:tc>
        <w:tc>
          <w:tcPr>
            <w:tcW w:w="120" w:type="dxa"/>
            <w:vAlign w:val="bottom"/>
            <w:shd w:val="clear" w:color="auto" w:fill="CFF0FC"/>
          </w:tcPr>
          <w:p>
            <w:pPr>
              <w:spacing w:after="0"/>
              <w:rPr>
                <w:sz w:val="19"/>
                <w:szCs w:val="19"/>
                <w:color w:val="auto"/>
              </w:rPr>
            </w:pPr>
          </w:p>
        </w:tc>
      </w:tr>
      <w:tr>
        <w:trPr>
          <w:trHeight w:val="230"/>
        </w:trPr>
        <w:tc>
          <w:tcPr>
            <w:tcW w:w="19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258,865</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261,952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719,670</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1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84,623</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68,880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176,797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190,627</w:t>
            </w:r>
          </w:p>
        </w:tc>
        <w:tc>
          <w:tcPr>
            <w:tcW w:w="120" w:type="dxa"/>
            <w:vAlign w:val="bottom"/>
            <w:shd w:val="clear" w:color="auto" w:fill="CFF0FC"/>
          </w:tcPr>
          <w:p>
            <w:pPr>
              <w:spacing w:after="0"/>
              <w:rPr>
                <w:sz w:val="19"/>
                <w:szCs w:val="19"/>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267,725</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264,581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767,610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850,226</w:t>
            </w:r>
          </w:p>
        </w:tc>
        <w:tc>
          <w:tcPr>
            <w:tcW w:w="120" w:type="dxa"/>
            <w:vAlign w:val="bottom"/>
          </w:tcPr>
          <w:p>
            <w:pPr>
              <w:spacing w:after="0"/>
              <w:rPr>
                <w:sz w:val="19"/>
                <w:szCs w:val="19"/>
                <w:color w:val="auto"/>
              </w:rPr>
            </w:pPr>
          </w:p>
        </w:tc>
      </w:tr>
      <w:tr>
        <w:trPr>
          <w:trHeight w:val="230"/>
        </w:trPr>
        <w:tc>
          <w:tcPr>
            <w:tcW w:w="1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185,753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179,155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543,616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554,738</w:t>
            </w:r>
          </w:p>
        </w:tc>
        <w:tc>
          <w:tcPr>
            <w:tcW w:w="120" w:type="dxa"/>
            <w:vAlign w:val="bottom"/>
          </w:tcPr>
          <w:p>
            <w:pPr>
              <w:spacing w:after="0"/>
              <w:rPr>
                <w:sz w:val="20"/>
                <w:szCs w:val="20"/>
                <w:color w:val="auto"/>
              </w:rPr>
            </w:pPr>
          </w:p>
        </w:tc>
      </w:tr>
      <w:tr>
        <w:trPr>
          <w:trHeight w:val="223"/>
        </w:trPr>
        <w:tc>
          <w:tcPr>
            <w:tcW w:w="192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85,426</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223,994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295,488</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(21,895)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(22,271)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(38,602)</w:t>
            </w:r>
          </w:p>
        </w:tc>
        <w:tc>
          <w:tcPr>
            <w:tcW w:w="120" w:type="dxa"/>
            <w:vAlign w:val="bottom"/>
            <w:shd w:val="clear" w:color="auto" w:fill="CFF0FC"/>
          </w:tcPr>
          <w:p>
            <w:pPr>
              <w:spacing w:after="0"/>
              <w:rPr>
                <w:sz w:val="19"/>
                <w:szCs w:val="19"/>
                <w:color w:val="auto"/>
              </w:rPr>
            </w:pPr>
          </w:p>
        </w:tc>
      </w:tr>
      <w:tr>
        <w:trPr>
          <w:trHeight w:val="230"/>
        </w:trPr>
        <w:tc>
          <w:tcPr>
            <w:tcW w:w="1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 (a)</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(438,333)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17,915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603,482</w:t>
            </w:r>
          </w:p>
        </w:tc>
        <w:tc>
          <w:tcPr>
            <w:tcW w:w="120" w:type="dxa"/>
            <w:vAlign w:val="bottom"/>
            <w:shd w:val="clear" w:color="auto" w:fill="CFF0FC"/>
          </w:tcPr>
          <w:p>
            <w:pPr>
              <w:spacing w:after="0"/>
              <w:rPr>
                <w:sz w:val="19"/>
                <w:szCs w:val="19"/>
                <w:color w:val="auto"/>
              </w:rPr>
            </w:pPr>
          </w:p>
        </w:tc>
      </w:tr>
      <w:tr>
        <w:trPr>
          <w:trHeight w:val="223"/>
        </w:trPr>
        <w:tc>
          <w:tcPr>
            <w:tcW w:w="19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(17,603)</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416,438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(40,186)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(642,084)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608,908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573,518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4"/>
              </w:rPr>
              <w:t>1,641,806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1,760,359</w:t>
            </w:r>
          </w:p>
        </w:tc>
        <w:tc>
          <w:tcPr>
            <w:tcW w:w="120" w:type="dxa"/>
            <w:vAlign w:val="bottom"/>
          </w:tcPr>
          <w:p>
            <w:pPr>
              <w:spacing w:after="0"/>
              <w:rPr>
                <w:sz w:val="19"/>
                <w:szCs w:val="19"/>
                <w:color w:val="auto"/>
              </w:rPr>
            </w:pPr>
          </w:p>
        </w:tc>
      </w:tr>
      <w:tr>
        <w:trPr>
          <w:trHeight w:val="230"/>
        </w:trPr>
        <w:tc>
          <w:tcPr>
            <w:tcW w:w="1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459,916</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1,281,201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1,916,328</w:t>
            </w:r>
          </w:p>
        </w:tc>
        <w:tc>
          <w:tcPr>
            <w:tcW w:w="120" w:type="dxa"/>
            <w:vAlign w:val="bottom"/>
          </w:tcPr>
          <w:p>
            <w:pPr>
              <w:spacing w:after="0"/>
              <w:rPr>
                <w:sz w:val="20"/>
                <w:szCs w:val="20"/>
                <w:color w:val="auto"/>
              </w:rPr>
            </w:pPr>
          </w:p>
        </w:tc>
      </w:tr>
      <w:tr>
        <w:trPr>
          <w:trHeight w:val="223"/>
        </w:trPr>
        <w:tc>
          <w:tcPr>
            <w:tcW w:w="1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148,992</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570,744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360,605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(155,969)</w:t>
            </w:r>
          </w:p>
        </w:tc>
        <w:tc>
          <w:tcPr>
            <w:tcW w:w="12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3"/>
        </w:trPr>
        <w:tc>
          <w:tcPr>
            <w:tcW w:w="1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4"/>
          </w:tcPr>
          <w:p>
            <w:pPr>
              <w:jc w:val="right"/>
              <w:spacing w:after="0" w:line="13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right"/>
              <w:ind w:right="292"/>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1"/>
                <w:szCs w:val="11"/>
                <w:color w:val="auto"/>
              </w:rPr>
            </w:pPr>
          </w:p>
        </w:tc>
      </w:tr>
      <w:tr>
        <w:trPr>
          <w:trHeight w:val="171"/>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5"/>
          </w:tcPr>
          <w:p>
            <w:pPr>
              <w:jc w:val="right"/>
              <w:ind w:right="265"/>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223"/>
        </w:trPr>
        <w:tc>
          <w:tcPr>
            <w:tcW w:w="2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460" w:type="dxa"/>
            <w:vAlign w:val="bottom"/>
            <w:gridSpan w:val="2"/>
          </w:tcPr>
          <w:p>
            <w:pPr>
              <w:ind w:left="260"/>
              <w:spacing w:after="0"/>
              <w:rPr>
                <w:sz w:val="20"/>
                <w:szCs w:val="20"/>
                <w:color w:val="auto"/>
              </w:rPr>
            </w:pPr>
            <w:r>
              <w:rPr>
                <w:rFonts w:ascii="Arial" w:cs="Arial" w:eastAsia="Arial" w:hAnsi="Arial"/>
                <w:sz w:val="18"/>
                <w:szCs w:val="18"/>
                <w:color w:val="auto"/>
              </w:rPr>
              <w:t>Financial Advisory</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757,966</w:t>
            </w:r>
          </w:p>
        </w:tc>
        <w:tc>
          <w:tcPr>
            <w:tcW w:w="80" w:type="dxa"/>
            <w:vAlign w:val="bottom"/>
          </w:tcPr>
          <w:p>
            <w:pPr>
              <w:spacing w:after="0"/>
              <w:rPr>
                <w:sz w:val="19"/>
                <w:szCs w:val="19"/>
                <w:color w:val="auto"/>
              </w:rPr>
            </w:pP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763,374</w:t>
            </w:r>
          </w:p>
        </w:tc>
        <w:tc>
          <w:tcPr>
            <w:tcW w:w="120" w:type="dxa"/>
            <w:vAlign w:val="bottom"/>
          </w:tcPr>
          <w:p>
            <w:pPr>
              <w:spacing w:after="0"/>
              <w:rPr>
                <w:sz w:val="19"/>
                <w:szCs w:val="19"/>
                <w:color w:val="auto"/>
              </w:rPr>
            </w:pPr>
          </w:p>
        </w:tc>
      </w:tr>
      <w:tr>
        <w:trPr>
          <w:trHeight w:val="230"/>
        </w:trPr>
        <w:tc>
          <w:tcPr>
            <w:tcW w:w="2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Asset Management</w:t>
            </w: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620,554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640,034</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Corporate (b)</w:t>
            </w:r>
          </w:p>
        </w:tc>
        <w:tc>
          <w:tcPr>
            <w:tcW w:w="14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2,923,783</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3,074,366</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(b)</w:t>
            </w: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4"/>
              </w:rPr>
              <w:t>4,302,303</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4,477,774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520" w:right="60" w:hanging="512"/>
        <w:spacing w:after="0" w:line="342"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Operating expenses include $(420,792) and $547,691 in the three month and nine month periods ended September 30, 2015, respectively, recorded for the provision (benefit) pursuant to the tax receivable agreement. See Note 16 for information regarding the tax receivable agreement obligation.</w:t>
      </w:r>
    </w:p>
    <w:p>
      <w:pPr>
        <w:spacing w:after="0" w:line="29" w:lineRule="exact"/>
        <w:rPr>
          <w:rFonts w:ascii="Arial" w:cs="Arial" w:eastAsia="Arial" w:hAnsi="Arial"/>
          <w:sz w:val="16"/>
          <w:szCs w:val="16"/>
          <w:color w:val="auto"/>
        </w:rPr>
      </w:pPr>
    </w:p>
    <w:p>
      <w:pPr>
        <w:ind w:left="520" w:right="60" w:hanging="512"/>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December 31, 2015, reflects the retrospective application of new disclosure guidance adopted by the Company for debt issuance costs. See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2015 (the “Form 10-K”). All references to “2016,” “2015,” “third quarter,” “first nine months” or “the period” refer to, as the context requires, the three month and nine month periods ended September 30, 2016 and September 30,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and in our Forms 10-Q for the quarters ended March 31, 2016 and June 30, 2016 under the caption “Risk Factors,” including the following:</w:t>
      </w:r>
    </w:p>
    <w:p>
      <w:pPr>
        <w:spacing w:after="0" w:line="74" w:lineRule="exact"/>
        <w:rPr>
          <w:sz w:val="20"/>
          <w:szCs w:val="20"/>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These risks and uncertainties are not exhaustive. Other sections of the Form 10-K and our Forms 10-Q for the quarters ended March 31, 2016 and June 30, 2016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7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 w:name="page39"/>
    <w:bookmarkEnd w:id="38"/>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900" w:right="64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34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and Lazard Frères Gestion SAS (“LFG”).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jc w:val="both"/>
        <w:ind w:left="900" w:right="60" w:hanging="379"/>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corporate preparedness and various other financial matters, and</w:t>
      </w:r>
    </w:p>
    <w:p>
      <w:pPr>
        <w:spacing w:after="0" w:line="73" w:lineRule="exact"/>
        <w:rPr>
          <w:rFonts w:ascii="Arial" w:cs="Arial" w:eastAsia="Arial" w:hAnsi="Arial"/>
          <w:sz w:val="18"/>
          <w:szCs w:val="18"/>
          <w:color w:val="auto"/>
        </w:rPr>
      </w:pPr>
    </w:p>
    <w:p>
      <w:pPr>
        <w:jc w:val="both"/>
        <w:ind w:left="900" w:right="160" w:hanging="379"/>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right="100" w:firstLine="518"/>
        <w:spacing w:after="0" w:line="308" w:lineRule="auto"/>
        <w:rPr>
          <w:sz w:val="20"/>
          <w:szCs w:val="20"/>
          <w:color w:val="auto"/>
        </w:rPr>
      </w:pPr>
      <w:r>
        <w:rPr>
          <w:rFonts w:ascii="Arial" w:cs="Arial" w:eastAsia="Arial" w:hAnsi="Arial"/>
          <w:sz w:val="17"/>
          <w:szCs w:val="17"/>
          <w:color w:val="auto"/>
        </w:rPr>
        <w:t>In addition, we record selected other activities in our Corporate segment, including management of cash, investments, deferred tax assets, outstanding indebtedness and assets and liabilities associated with Lazard Group’s Paris-based subsidiary, Lazard Frères Banque SA (“LFB”).</w:t>
      </w:r>
    </w:p>
    <w:p>
      <w:pPr>
        <w:spacing w:after="0" w:line="147"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LFB, as a registered bank, is engaged primarily in commercial and private banking services for clients and funds managed by LFG and other clients, investment banking activities, including participation in underwritten offerings of securities in France, and asset-liability management.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Nine Months Ended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5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w:t>
            </w:r>
          </w:p>
        </w:tc>
        <w:tc>
          <w:tcPr>
            <w:tcW w:w="6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10 of Notes to Condensed Consolidated Financial Statements), (ii) a mezzanine fund, which invests in mezzanine debt of a diversified selection of small-to mid-cap European companies and (iii) a fund targeting significant noncontrolling-stake investments in established private companies. We also make investments to seed our Asset Management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Equity market indices for developed markets at September 30, 2016 were mixed, with U.S. indices generally increasing and European indices generally decreasing as compared to such indices at September 30, 2015 and December 31, 2015. Emerging markets equity indices at September 30, 2016 increased as compared to September 30, 2015 and December 31, 2015. In the global M&amp;A markets during the first nine months of 2016, the value and number of all completed M&amp;A transactions decreased as compared to the same period in the prior year, as did the subset of such transactions involving values greater than $500 million. During the same time, the value and number of all announced M&amp;A transactions, including the subset of such transactions involving values greater than $500 million, also decreased. During the first nine months of 2016, global restructuring activity, as measured by the number of corporate defaults, increased as compared to the first nine months of 2015, primarily due to a higher level of defaults in the commodity sector.</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the first nine months of 2016, volatile market conditions continued. On an ongoing basis, volatile conditions may persist, and regional macroeconomic and geopolitical factors, including the United Kingdom’s vote to leave the European Union, may impact our business. However, corporate cash balances remain high, and interest rates remain low for companies with strong credit ratings. Although market volatility may continue and may affect our business in 2016, the longer-term trends appear to remain favorable for both of our businesses.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900" w:right="20" w:hanging="379"/>
        <w:spacing w:after="0" w:line="255"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Advisory</w:t>
      </w:r>
      <w:r>
        <w:rPr>
          <w:rFonts w:ascii="Arial" w:cs="Arial" w:eastAsia="Arial" w:hAnsi="Arial"/>
          <w:sz w:val="18"/>
          <w:szCs w:val="18"/>
          <w:color w:val="auto"/>
        </w:rPr>
        <w:t>—The fundamentals for continued M&amp;A activity appear to remain in place. Demand continues for expert,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position us for growth in these markets, while enhancing our relationships with, and the services that we can provide to, clients in other economies. In the third quarter of 2016, we expanded our North American Financial Advisory business through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jc w:val="both"/>
        <w:ind w:left="900" w:right="280"/>
        <w:spacing w:after="0" w:line="264" w:lineRule="auto"/>
        <w:rPr>
          <w:sz w:val="20"/>
          <w:szCs w:val="20"/>
          <w:color w:val="auto"/>
        </w:rPr>
      </w:pPr>
      <w:r>
        <w:rPr>
          <w:rFonts w:ascii="Arial" w:cs="Arial" w:eastAsia="Arial" w:hAnsi="Arial"/>
          <w:sz w:val="18"/>
          <w:szCs w:val="18"/>
          <w:color w:val="auto"/>
        </w:rPr>
        <w:t>acquisition of an independent financial advisory firm based in Canada. In addition, in October 2016, we acquired the portion of MBA Lazard that we did not already own, thereby fully integrating our Latin American operations. We believe that these transactions have augmented the strength of our Financial Advisory business throughout the Americas.</w:t>
      </w:r>
    </w:p>
    <w:p>
      <w:pPr>
        <w:spacing w:after="0" w:line="73" w:lineRule="exact"/>
        <w:rPr>
          <w:sz w:val="20"/>
          <w:szCs w:val="20"/>
          <w:color w:val="auto"/>
        </w:rPr>
      </w:pPr>
    </w:p>
    <w:p>
      <w:pPr>
        <w:ind w:left="900" w:right="40" w:hanging="379"/>
        <w:spacing w:after="0" w:line="270"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from defined benefit and defined contribution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Singapore, Dubai and Dublin. We are continually developing and seeding new investment strategies that extend our existing platforms. Recent examples of growth initiatives include the following investment strategies: European Long/Short Equity, various Quantitative Equity strategies, various Multi-Asset strategies and Middle East North African Equities.</w:t>
      </w:r>
    </w:p>
    <w:p>
      <w:pPr>
        <w:spacing w:after="0" w:line="17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and our Forms 10-Q for the quarters ended March 31, 2016 and June 30, 2016. Furthermore, net income and revenue in any period may not be indicative of full-year results or the results of any other period and may vary significantly from year to year and quarter to quarter.</w:t>
      </w:r>
    </w:p>
    <w:p>
      <w:pPr>
        <w:spacing w:after="0" w:line="158" w:lineRule="exact"/>
        <w:rPr>
          <w:sz w:val="20"/>
          <w:szCs w:val="20"/>
          <w:color w:val="auto"/>
        </w:rPr>
      </w:pPr>
    </w:p>
    <w:p>
      <w:pPr>
        <w:ind w:right="40" w:firstLine="518"/>
        <w:spacing w:after="0" w:line="308"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jc w:val="both"/>
        <w:ind w:right="26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completed transactions with values greater than $500 million, decreased in the first nine months of 2016 as compared to 2015. With respect to announced M&amp;A transactions, the value and number of all transactions, including announced transactions with values greater than $500 million, also decreased in the first nine months of 2016 as compared to 2015.</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3"/>
              </w:rPr>
              <w:t>Nine Months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1"/>
                <w:szCs w:val="11"/>
                <w:color w:val="auto"/>
              </w:rPr>
            </w:pPr>
          </w:p>
        </w:tc>
        <w:tc>
          <w:tcPr>
            <w:tcW w:w="74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89"/>
              </w:rPr>
              <w:t>2015</w:t>
            </w:r>
          </w:p>
        </w:tc>
        <w:tc>
          <w:tcPr>
            <w:tcW w:w="880" w:type="dxa"/>
            <w:vAlign w:val="bottom"/>
          </w:tcPr>
          <w:p>
            <w:pPr>
              <w:ind w:left="400"/>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1"/>
                <w:szCs w:val="11"/>
                <w:color w:val="auto"/>
              </w:rPr>
            </w:pPr>
          </w:p>
        </w:tc>
        <w:tc>
          <w:tcPr>
            <w:tcW w:w="820" w:type="dxa"/>
            <w:vAlign w:val="bottom"/>
            <w:vMerge w:val="restart"/>
          </w:tcPr>
          <w:p>
            <w:pPr>
              <w:jc w:val="center"/>
              <w:ind w:right="292"/>
              <w:spacing w:after="0"/>
              <w:rPr>
                <w:sz w:val="20"/>
                <w:szCs w:val="20"/>
                <w:color w:val="auto"/>
              </w:rPr>
            </w:pPr>
            <w:r>
              <w:rPr>
                <w:rFonts w:ascii="Arial" w:cs="Arial" w:eastAsia="Arial" w:hAnsi="Arial"/>
                <w:sz w:val="14"/>
                <w:szCs w:val="14"/>
                <w:b w:val="1"/>
                <w:bCs w:val="1"/>
                <w:color w:val="auto"/>
                <w:w w:val="89"/>
              </w:rPr>
              <w:t>2015</w:t>
            </w:r>
          </w:p>
        </w:tc>
        <w:tc>
          <w:tcPr>
            <w:tcW w:w="80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ind w:left="620"/>
              <w:spacing w:after="0" w:line="155" w:lineRule="exact"/>
              <w:rPr>
                <w:sz w:val="20"/>
                <w:szCs w:val="20"/>
                <w:color w:val="auto"/>
              </w:rPr>
            </w:pPr>
            <w:r>
              <w:rPr>
                <w:rFonts w:ascii="Arial" w:cs="Arial" w:eastAsia="Arial" w:hAnsi="Arial"/>
                <w:sz w:val="14"/>
                <w:szCs w:val="14"/>
                <w:b w:val="1"/>
                <w:bCs w:val="1"/>
                <w:color w:val="auto"/>
                <w:w w:val="92"/>
              </w:rPr>
              <w:t>($ in billions)</w:t>
            </w:r>
          </w:p>
        </w:tc>
        <w:tc>
          <w:tcPr>
            <w:tcW w:w="6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1,033</w:t>
            </w:r>
          </w:p>
        </w:tc>
        <w:tc>
          <w:tcPr>
            <w:tcW w:w="11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(18)%</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3,020</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7,818</w:t>
            </w:r>
          </w:p>
        </w:tc>
        <w:tc>
          <w:tcPr>
            <w:tcW w:w="30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10,034</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26,292</w:t>
            </w:r>
          </w:p>
        </w:tc>
        <w:tc>
          <w:tcPr>
            <w:tcW w:w="3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30,531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801</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(19)%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2,338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292</w:t>
            </w:r>
          </w:p>
        </w:tc>
        <w:tc>
          <w:tcPr>
            <w:tcW w:w="11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890</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1,187</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(27)%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2,554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3,273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10,273</w:t>
            </w:r>
          </w:p>
        </w:tc>
        <w:tc>
          <w:tcPr>
            <w:tcW w:w="11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27,853</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31,117</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944</w:t>
            </w:r>
          </w:p>
        </w:tc>
        <w:tc>
          <w:tcPr>
            <w:tcW w:w="11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(31)%</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2,548</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w:t>
            </w:r>
          </w:p>
        </w:tc>
        <w:tc>
          <w:tcPr>
            <w:tcW w:w="3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353</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858</w:t>
            </w:r>
          </w:p>
        </w:tc>
        <w:tc>
          <w:tcPr>
            <w:tcW w:w="300" w:type="dxa"/>
            <w:vAlign w:val="bottom"/>
          </w:tcPr>
          <w:p>
            <w:pPr>
              <w:spacing w:after="0"/>
              <w:rPr>
                <w:sz w:val="20"/>
                <w:szCs w:val="20"/>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947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59690</wp:posOffset>
            </wp:positionV>
            <wp:extent cx="12090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October 4,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100" w:firstLine="518"/>
        <w:spacing w:after="0" w:line="286" w:lineRule="auto"/>
        <w:rPr>
          <w:sz w:val="20"/>
          <w:szCs w:val="20"/>
          <w:color w:val="auto"/>
        </w:rPr>
      </w:pPr>
      <w:r>
        <w:rPr>
          <w:rFonts w:ascii="Arial" w:cs="Arial" w:eastAsia="Arial" w:hAnsi="Arial"/>
          <w:sz w:val="17"/>
          <w:szCs w:val="17"/>
          <w:color w:val="auto"/>
        </w:rPr>
        <w:t>Global restructuring activity during the first nine months of 2016, as measured by the number of corporate defaults, increased as compared to the first nine months of 2015. The number of defaulting issuers increased to 115 in the first nine months of 2016, according to Moody’s Investors Service, Inc., as compared to 68 in the first nine months of 2015, primarily due to a higher level of defaults in the commodity sector.</w:t>
      </w:r>
    </w:p>
    <w:p>
      <w:pPr>
        <w:spacing w:after="0" w:line="166"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decreased 15% in the first nine months of 2016 as compared to 2015. The industry statistics for global M&amp;A transactions described above reflect a 13% and 14% decrease in the value and number, respectively, of all completed transactions in the first nine months of 2016 as compared to 2015. For M&amp;A deals with values greater than $500 million, the value and number of completed transactions in the first nine months of 2016 decreased 14% and 15%, respectively, as compared to 2015.</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percentage change in major equity market indices at September 30, 2016, as compared to such indices at June 30, 2016, December 31, 2015, and at September 30, 2015,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Percentage Changes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8"/>
              </w:rPr>
              <w:t>September 30, 2016 vs.</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40" w:type="dxa"/>
            <w:vAlign w:val="bottom"/>
          </w:tcPr>
          <w:p>
            <w:pPr>
              <w:jc w:val="center"/>
              <w:ind w:left="88"/>
              <w:spacing w:after="0" w:line="13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14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8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14%</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ind w:right="140"/>
        <w:spacing w:after="0" w:line="273" w:lineRule="auto"/>
        <w:rPr>
          <w:sz w:val="20"/>
          <w:szCs w:val="20"/>
          <w:color w:val="auto"/>
        </w:rPr>
      </w:pPr>
      <w:r>
        <w:rPr>
          <w:rFonts w:ascii="Arial" w:cs="Arial" w:eastAsia="Arial" w:hAnsi="Arial"/>
          <w:sz w:val="17"/>
          <w:szCs w:val="17"/>
          <w:color w:val="auto"/>
        </w:rPr>
        <w:t>Movements in AUM during the period generally reflect the changes in equity market indices. Our AUM at September 30, 2016 increased 10% versus AUM at December 31, 2015, primarily due to market and foreign exchange appreciation and net inflows. Average AUM for the three month period ended September 30, 2016 was 5% higher than average AUM for the three month period ended September 30, 2015. Average AUM for the nine month period ended September 30, 2016 was 3% lower than average AUM for the nine month period ended September 30, 2015.</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spacing w:after="0" w:line="287" w:lineRule="auto"/>
        <w:rPr>
          <w:sz w:val="20"/>
          <w:szCs w:val="20"/>
          <w:color w:val="auto"/>
        </w:rPr>
      </w:pPr>
      <w:r>
        <w:rPr>
          <w:rFonts w:ascii="Arial" w:cs="Arial" w:eastAsia="Arial" w:hAnsi="Arial"/>
          <w:sz w:val="16"/>
          <w:szCs w:val="16"/>
          <w:color w:val="auto"/>
        </w:rPr>
        <w:t>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7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Although Corporate segment net revenue during 2016 is not significant compared to Lazard’s net revenue, total assets in the Corporate segment represented 68% of Lazard’s consolidated total assets as of September 30, 2016,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the Lazard Ltd 2005 Equity Incentive Plan (the “2005 Plan”), which expired in the second quarter of 2015, and (b) LFI and other similar deferred compensation arrangements (see Note 12 of Notes to Condensed Consolidated Financial Statements), (iii) a provision for discretionary or guaranteed cash bonuses and profit pools and</w:t>
      </w:r>
    </w:p>
    <w:p>
      <w:pPr>
        <w:spacing w:after="0" w:line="2" w:lineRule="exact"/>
        <w:rPr>
          <w:sz w:val="20"/>
          <w:szCs w:val="20"/>
          <w:color w:val="auto"/>
        </w:rPr>
      </w:pPr>
    </w:p>
    <w:p>
      <w:pPr>
        <w:ind w:firstLine="8"/>
        <w:spacing w:after="0" w:line="255" w:lineRule="auto"/>
        <w:tabs>
          <w:tab w:leader="none" w:pos="3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46" w:lineRule="exact"/>
        <w:rPr>
          <w:sz w:val="20"/>
          <w:szCs w:val="20"/>
          <w:color w:val="auto"/>
        </w:rPr>
      </w:pPr>
    </w:p>
    <w:p>
      <w:pPr>
        <w:ind w:left="900" w:right="80" w:hanging="379"/>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340" w:hanging="386"/>
        <w:spacing w:after="0" w:line="264"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2016 related to the 2015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520" w:hanging="386"/>
        <w:spacing w:after="0" w:line="277"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225" w:lineRule="exact"/>
        <w:rPr>
          <w:sz w:val="20"/>
          <w:szCs w:val="20"/>
          <w:color w:val="auto"/>
        </w:rPr>
      </w:pPr>
    </w:p>
    <w:p>
      <w:pPr>
        <w:jc w:val="both"/>
        <w:ind w:right="80" w:firstLine="518"/>
        <w:spacing w:after="0" w:line="288" w:lineRule="auto"/>
        <w:rPr>
          <w:sz w:val="20"/>
          <w:szCs w:val="20"/>
          <w:color w:val="auto"/>
        </w:rPr>
      </w:pPr>
      <w:r>
        <w:rPr>
          <w:rFonts w:ascii="Arial" w:cs="Arial" w:eastAsia="Arial" w:hAnsi="Arial"/>
          <w:sz w:val="16"/>
          <w:szCs w:val="16"/>
          <w:color w:val="auto"/>
        </w:rPr>
        <w:t>Compensation and benefits expense is the largest component of our operating expenses. We seek to maintain discipline with respect to compensation, including the rate at which we award deferred compensation. Our goal is to attain a ratio of awarded compensation and benefits expense to operating revenue and a ratio of adjusted compensation and benefits expense to operating revenue over the cycle in the mid-to-high-50s percentage range, which compares to</w:t>
      </w:r>
    </w:p>
    <w:p>
      <w:pPr>
        <w:ind w:right="20"/>
        <w:spacing w:after="0" w:line="252" w:lineRule="auto"/>
        <w:rPr>
          <w:sz w:val="20"/>
          <w:szCs w:val="20"/>
          <w:color w:val="auto"/>
        </w:rPr>
      </w:pPr>
      <w:r>
        <w:rPr>
          <w:rFonts w:ascii="Arial" w:cs="Arial" w:eastAsia="Arial" w:hAnsi="Arial"/>
          <w:sz w:val="18"/>
          <w:szCs w:val="18"/>
          <w:color w:val="auto"/>
        </w:rPr>
        <w:t>55.8% and 55.4%, respectively, for the year ended December 31, 2015. While we have implemented initiatives that we believe will assist us in continuing to attain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94"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significant portion of the Company’s 6.85% senior notes due 2017 (the “2017 Notes”) (see Note 9 of Notes to Condensed Consolidated Financial Statements).</w:t>
      </w:r>
    </w:p>
    <w:p>
      <w:pPr>
        <w:spacing w:after="0" w:line="187"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Our operating expenses also include our “provision (benefit) pursuant to the tax receivable agreement” and “amortization and other acquisition-related costs”. For all periods, “amortization and other acquisition-related costs” pertain primarily to the acquisition of Edgewater.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480" w:firstLine="518"/>
        <w:spacing w:after="0" w:line="302" w:lineRule="auto"/>
        <w:rPr>
          <w:sz w:val="20"/>
          <w:szCs w:val="20"/>
          <w:color w:val="auto"/>
        </w:rPr>
      </w:pPr>
      <w:r>
        <w:rPr>
          <w:rFonts w:ascii="Arial" w:cs="Arial" w:eastAsia="Arial" w:hAnsi="Arial"/>
          <w:sz w:val="16"/>
          <w:szCs w:val="16"/>
          <w:color w:val="auto"/>
        </w:rPr>
        <w:t>In the second quarter of 2015, we released substantially all of our valuation allowance related to deferred tax assets. When we are able to use the deferred tax assets in future periods to reduce our income taxes, we will be required to pay a significant portion of the tax savings pursuant to our tax receivable agreement. We therefore also recognized a related liability under the tax receivable agreement. In addition, in the third quarter of 2015, we purchased a portion of our obligation relating to the tax receivable agreement, which had the effect of reducing such liability.</w:t>
      </w:r>
    </w:p>
    <w:p>
      <w:pPr>
        <w:spacing w:after="0" w:line="154" w:lineRule="exact"/>
        <w:rPr>
          <w:sz w:val="20"/>
          <w:szCs w:val="20"/>
          <w:color w:val="auto"/>
        </w:rPr>
      </w:pPr>
    </w:p>
    <w:p>
      <w:pPr>
        <w:jc w:val="both"/>
        <w:ind w:right="720" w:firstLine="518"/>
        <w:spacing w:after="0" w:line="264" w:lineRule="auto"/>
        <w:rPr>
          <w:sz w:val="20"/>
          <w:szCs w:val="20"/>
          <w:color w:val="auto"/>
        </w:rPr>
      </w:pPr>
      <w:r>
        <w:rPr>
          <w:rFonts w:ascii="Arial" w:cs="Arial" w:eastAsia="Arial" w:hAnsi="Arial"/>
          <w:sz w:val="18"/>
          <w:szCs w:val="18"/>
          <w:color w:val="auto"/>
        </w:rPr>
        <w:t>See “Critical Accounting Policies and Estimates—Income Taxes” below and Notes 14 and 16 of Notes to Condensed Consolidated Financial Statements for additional information regarding income taxes, our deferred tax assets, the valuation allowance release in 2015 and the tax receivable agreement obligation.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 and nine month periods ended September 30, 2016 was negatively impacted in comparison to the prior year period. The majority of the negative impact was offset by the positive impact of the exchange rate movements on our operating expenses denominated in currencies other than the U.S. dollar.</w:t>
      </w:r>
    </w:p>
    <w:p>
      <w:pPr>
        <w:spacing w:after="0" w:line="17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6"/>
        </w:trPr>
        <w:tc>
          <w:tcPr>
            <w:tcW w:w="5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r>
      <w:tr>
        <w:trPr>
          <w:trHeight w:val="156"/>
        </w:trPr>
        <w:tc>
          <w:tcPr>
            <w:tcW w:w="5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608,908</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573,518</w:t>
            </w:r>
          </w:p>
        </w:tc>
        <w:tc>
          <w:tcPr>
            <w:tcW w:w="2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1,641,806</w:t>
            </w:r>
          </w:p>
        </w:tc>
        <w:tc>
          <w:tcPr>
            <w:tcW w:w="2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1,760,359</w:t>
            </w:r>
          </w:p>
        </w:tc>
        <w:tc>
          <w:tcPr>
            <w:tcW w:w="220" w:type="dxa"/>
            <w:vAlign w:val="bottom"/>
            <w:shd w:val="clear" w:color="auto" w:fill="CFF0FC"/>
          </w:tcPr>
          <w:p>
            <w:pPr>
              <w:spacing w:after="0"/>
              <w:rPr>
                <w:sz w:val="19"/>
                <w:szCs w:val="19"/>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353,756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959,276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984,786</w:t>
            </w:r>
          </w:p>
        </w:tc>
        <w:tc>
          <w:tcPr>
            <w:tcW w:w="220" w:type="dxa"/>
            <w:vAlign w:val="bottom"/>
            <w:shd w:val="clear" w:color="auto" w:fill="CFF0FC"/>
          </w:tcPr>
          <w:p>
            <w:pPr>
              <w:spacing w:after="0"/>
              <w:rPr>
                <w:sz w:val="19"/>
                <w:szCs w:val="19"/>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105,297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103,490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320,088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380,450</w:t>
            </w:r>
          </w:p>
        </w:tc>
        <w:tc>
          <w:tcPr>
            <w:tcW w:w="220" w:type="dxa"/>
            <w:vAlign w:val="bottom"/>
          </w:tcPr>
          <w:p>
            <w:pPr>
              <w:spacing w:after="0"/>
              <w:rPr>
                <w:sz w:val="19"/>
                <w:szCs w:val="19"/>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w:t>
            </w:r>
          </w:p>
        </w:tc>
        <w:tc>
          <w:tcPr>
            <w:tcW w:w="220" w:type="dxa"/>
            <w:vAlign w:val="bottom"/>
            <w:shd w:val="clear" w:color="auto" w:fill="CFF0FC"/>
          </w:tcPr>
          <w:p>
            <w:pPr>
              <w:spacing w:after="0"/>
              <w:rPr>
                <w:sz w:val="19"/>
                <w:szCs w:val="19"/>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Provision (benefit) pursuant to tax receivable agreement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(420,792)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547,691</w:t>
            </w:r>
          </w:p>
        </w:tc>
        <w:tc>
          <w:tcPr>
            <w:tcW w:w="220" w:type="dxa"/>
            <w:vAlign w:val="bottom"/>
          </w:tcPr>
          <w:p>
            <w:pPr>
              <w:spacing w:after="0"/>
              <w:rPr>
                <w:sz w:val="19"/>
                <w:szCs w:val="19"/>
                <w:color w:val="auto"/>
              </w:rPr>
            </w:pPr>
          </w:p>
        </w:tc>
      </w:tr>
      <w:tr>
        <w:trPr>
          <w:trHeight w:val="223"/>
        </w:trPr>
        <w:tc>
          <w:tcPr>
            <w:tcW w:w="5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459,916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1,281,201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1,916,328</w:t>
            </w:r>
          </w:p>
        </w:tc>
        <w:tc>
          <w:tcPr>
            <w:tcW w:w="220" w:type="dxa"/>
            <w:vAlign w:val="bottom"/>
            <w:tcBorders>
              <w:top w:val="single" w:sz="8" w:color="CFF0FC"/>
            </w:tcBorders>
            <w:shd w:val="clear" w:color="auto" w:fill="CFF0FC"/>
          </w:tcPr>
          <w:p>
            <w:pPr>
              <w:spacing w:after="0"/>
              <w:rPr>
                <w:sz w:val="19"/>
                <w:szCs w:val="19"/>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148,992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570,744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360,605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(155,969)</w:t>
            </w:r>
          </w:p>
        </w:tc>
        <w:tc>
          <w:tcPr>
            <w:tcW w:w="220" w:type="dxa"/>
            <w:vAlign w:val="bottom"/>
          </w:tcPr>
          <w:p>
            <w:pPr>
              <w:spacing w:after="0"/>
              <w:rPr>
                <w:sz w:val="19"/>
                <w:szCs w:val="19"/>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170,954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95,900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(993,560)</w:t>
            </w: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i w:val="1"/>
                <w:iCs w:val="1"/>
                <w:color w:val="auto"/>
              </w:rPr>
              <w:t>Net Income</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399,790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264,705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837,591</w:t>
            </w:r>
          </w:p>
        </w:tc>
        <w:tc>
          <w:tcPr>
            <w:tcW w:w="22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9,004</w:t>
            </w:r>
          </w:p>
        </w:tc>
        <w:tc>
          <w:tcPr>
            <w:tcW w:w="220" w:type="dxa"/>
            <w:vAlign w:val="bottom"/>
            <w:shd w:val="clear" w:color="auto" w:fill="CFF0FC"/>
          </w:tcPr>
          <w:p>
            <w:pPr>
              <w:spacing w:after="0"/>
              <w:rPr>
                <w:sz w:val="19"/>
                <w:szCs w:val="19"/>
                <w:color w:val="auto"/>
              </w:rPr>
            </w:pPr>
          </w:p>
        </w:tc>
      </w:tr>
      <w:tr>
        <w:trPr>
          <w:trHeight w:val="263"/>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112,536</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398,521</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259,716</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828,587</w:t>
            </w:r>
          </w:p>
        </w:tc>
        <w:tc>
          <w:tcPr>
            <w:tcW w:w="220" w:type="dxa"/>
            <w:vAlign w:val="bottom"/>
            <w:tcBorders>
              <w:bottom w:val="single" w:sz="8" w:color="CFF0FC"/>
            </w:tcBorders>
          </w:tcPr>
          <w:p>
            <w:pPr>
              <w:spacing w:after="0"/>
              <w:rPr>
                <w:sz w:val="22"/>
                <w:szCs w:val="22"/>
                <w:color w:val="auto"/>
              </w:rPr>
            </w:pP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 (Loss), as a % of net revenue</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99.5%</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tables below describe the components of operating revenue, adjusted compensation and benefits expense, adjusted non-compensation expense, earnings from operations and related key ratios, which are non-U.S. GAAP measures used by the Company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right="360"/>
        <w:spacing w:after="0" w:line="277" w:lineRule="auto"/>
        <w:rPr>
          <w:sz w:val="20"/>
          <w:szCs w:val="20"/>
          <w:color w:val="auto"/>
        </w:rPr>
      </w:pPr>
      <w:r>
        <w:rPr>
          <w:rFonts w:ascii="Arial" w:cs="Arial" w:eastAsia="Arial" w:hAnsi="Arial"/>
          <w:sz w:val="18"/>
          <w:szCs w:val="18"/>
          <w:color w:val="auto"/>
        </w:rPr>
        <w:t>manage its business. We believe such non-U.S. GAAP measures provide the most meaningful basis for comparison between present, historical and future periods, as described above.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608,908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573,518</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1,641,806</w:t>
            </w:r>
          </w:p>
        </w:tc>
        <w:tc>
          <w:tcPr>
            <w:tcW w:w="26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1,760,359</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11,430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11,599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39,112</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Revenue related to noncontrolling interests (b)</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(2,661)</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(2,995)</w:t>
            </w: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(12,271)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(15,317)</w:t>
            </w: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Private equity revenue adjustment (c)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(12,203)</w:t>
            </w: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(6,909)</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12,145</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(4,707)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9,903</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610,768</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594,267</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1,659,141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1,781,854</w:t>
            </w:r>
          </w:p>
        </w:tc>
        <w:tc>
          <w:tcPr>
            <w:tcW w:w="10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40" w:hanging="372"/>
        <w:spacing w:after="0" w:line="277"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62" w:lineRule="exact"/>
        <w:rPr>
          <w:rFonts w:ascii="Arial" w:cs="Arial" w:eastAsia="Arial" w:hAnsi="Arial"/>
          <w:sz w:val="18"/>
          <w:szCs w:val="18"/>
          <w:color w:val="auto"/>
        </w:rPr>
      </w:pPr>
    </w:p>
    <w:p>
      <w:pPr>
        <w:ind w:left="380" w:right="220" w:hanging="372"/>
        <w:spacing w:after="0" w:line="277"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spacing w:after="0" w:line="62" w:lineRule="exact"/>
        <w:rPr>
          <w:rFonts w:ascii="Arial" w:cs="Arial" w:eastAsia="Arial" w:hAnsi="Arial"/>
          <w:sz w:val="18"/>
          <w:szCs w:val="18"/>
          <w:color w:val="auto"/>
        </w:rPr>
      </w:pPr>
    </w:p>
    <w:p>
      <w:pPr>
        <w:ind w:left="380" w:right="20" w:hanging="372"/>
        <w:spacing w:after="0" w:line="259"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disposed of its private equity business in Australia in the second quarter of 2015 in a transaction with the management team of the disposed business. Revenue of $24,388 relating to the disposal of the business (which primarily represents the realization of carried interest at fair value) is adjusted for the recognition of an obligation of $12,203 with the management of the disposed business, which obligation was previously recognized for U.S. GAAP.</w:t>
      </w:r>
    </w:p>
    <w:p>
      <w:pPr>
        <w:spacing w:after="0" w:line="78" w:lineRule="exact"/>
        <w:rPr>
          <w:rFonts w:ascii="Arial" w:cs="Arial" w:eastAsia="Arial" w:hAnsi="Arial"/>
          <w:sz w:val="18"/>
          <w:szCs w:val="18"/>
          <w:color w:val="auto"/>
        </w:rPr>
      </w:pPr>
    </w:p>
    <w:p>
      <w:pPr>
        <w:ind w:left="380" w:right="460" w:hanging="372"/>
        <w:spacing w:after="0" w:line="277"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353,756</w:t>
            </w:r>
          </w:p>
        </w:tc>
        <w:tc>
          <w:tcPr>
            <w:tcW w:w="22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319,565</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959,276</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984,786</w:t>
            </w:r>
          </w:p>
        </w:tc>
        <w:tc>
          <w:tcPr>
            <w:tcW w:w="180" w:type="dxa"/>
            <w:vAlign w:val="bottom"/>
          </w:tcPr>
          <w:p>
            <w:pPr>
              <w:spacing w:after="0"/>
              <w:rPr>
                <w:sz w:val="19"/>
                <w:szCs w:val="19"/>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(5,109)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(3,557)</w:t>
            </w: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(6,909)</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(4,707)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9,903</w:t>
            </w:r>
          </w:p>
        </w:tc>
        <w:tc>
          <w:tcPr>
            <w:tcW w:w="180" w:type="dxa"/>
            <w:vAlign w:val="bottom"/>
            <w:shd w:val="clear" w:color="auto" w:fill="CFF0FC"/>
          </w:tcPr>
          <w:p>
            <w:pPr>
              <w:spacing w:after="0"/>
              <w:rPr>
                <w:sz w:val="19"/>
                <w:szCs w:val="19"/>
                <w:color w:val="auto"/>
              </w:rPr>
            </w:pP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345,084</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330,554</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949,460</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991,132</w:t>
            </w:r>
          </w:p>
        </w:tc>
        <w:tc>
          <w:tcPr>
            <w:tcW w:w="180" w:type="dxa"/>
            <w:vAlign w:val="bottom"/>
            <w:tcBorders>
              <w:bottom w:val="single" w:sz="8" w:color="CFF0FC"/>
            </w:tcBorders>
          </w:tcPr>
          <w:p>
            <w:pPr>
              <w:spacing w:after="0"/>
              <w:rPr>
                <w:sz w:val="22"/>
                <w:szCs w:val="22"/>
                <w:color w:val="auto"/>
              </w:rPr>
            </w:pPr>
          </w:p>
        </w:tc>
      </w:tr>
      <w:tr>
        <w:trPr>
          <w:trHeight w:val="196"/>
        </w:trPr>
        <w:tc>
          <w:tcPr>
            <w:tcW w:w="572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Adjusted compensation and benefits expense, as</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5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 % of operating revenue</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55.6%</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6" w:lineRule="exact"/>
        <w:rPr>
          <w:sz w:val="20"/>
          <w:szCs w:val="20"/>
          <w:color w:val="auto"/>
        </w:rPr>
      </w:pPr>
    </w:p>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117"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105,297</w:t>
            </w:r>
          </w:p>
        </w:tc>
        <w:tc>
          <w:tcPr>
            <w:tcW w:w="3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103,490</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320,088</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380,450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(465)</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pertaining to senior debt refinancing (b)</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(60,219)</w:t>
            </w:r>
          </w:p>
        </w:tc>
        <w:tc>
          <w:tcPr>
            <w:tcW w:w="0" w:type="dxa"/>
            <w:vAlign w:val="bottom"/>
          </w:tcPr>
          <w:p>
            <w:pPr>
              <w:spacing w:after="0"/>
              <w:rPr>
                <w:sz w:val="1"/>
                <w:szCs w:val="1"/>
                <w:color w:val="auto"/>
              </w:rPr>
            </w:pPr>
          </w:p>
        </w:tc>
      </w:tr>
      <w:tr>
        <w:trPr>
          <w:trHeight w:val="230"/>
        </w:trPr>
        <w:tc>
          <w:tcPr>
            <w:tcW w:w="5500" w:type="dxa"/>
            <w:vAlign w:val="bottom"/>
            <w:gridSpan w:val="2"/>
          </w:tcPr>
          <w:p>
            <w:pPr>
              <w:ind w:left="260"/>
              <w:spacing w:after="0"/>
              <w:rPr>
                <w:sz w:val="20"/>
                <w:szCs w:val="20"/>
                <w:color w:val="auto"/>
              </w:rPr>
            </w:pPr>
            <w:r>
              <w:rPr>
                <w:rFonts w:ascii="Arial" w:cs="Arial" w:eastAsia="Arial" w:hAnsi="Arial"/>
                <w:sz w:val="18"/>
                <w:szCs w:val="18"/>
                <w:color w:val="auto"/>
                <w:w w:val="95"/>
              </w:rPr>
              <w:t>Expense related to partial extinguishment of tax receivable obligation</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104,832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318,588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 as</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140"/>
              <w:spacing w:after="0"/>
              <w:rPr>
                <w:sz w:val="20"/>
                <w:szCs w:val="20"/>
                <w:color w:val="auto"/>
              </w:rPr>
            </w:pPr>
            <w:r>
              <w:rPr>
                <w:rFonts w:ascii="Arial" w:cs="Arial" w:eastAsia="Arial" w:hAnsi="Arial"/>
                <w:sz w:val="18"/>
                <w:szCs w:val="18"/>
                <w:color w:val="auto"/>
              </w:rPr>
              <w:t>a % of operating revenue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128" w:lineRule="exact"/>
        <w:rPr>
          <w:rFonts w:ascii="Arial" w:cs="Arial" w:eastAsia="Arial" w:hAnsi="Arial"/>
          <w:sz w:val="17"/>
          <w:szCs w:val="17"/>
          <w:color w:val="auto"/>
        </w:rPr>
      </w:pPr>
    </w:p>
    <w:p>
      <w:pPr>
        <w:ind w:left="380" w:right="340" w:hanging="372"/>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Charges pertaining to the redemption of a significant portion of the Company’s 2017 Notes are excluded because of the non-operating nature of such transactions. See “—Liquidity and Capital Resources—Financing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5"/>
          </w:tcPr>
          <w:p>
            <w:pPr>
              <w:jc w:val="right"/>
              <w:ind w:right="65"/>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gridSpan w:val="9"/>
          </w:tcPr>
          <w:p>
            <w:pPr>
              <w:jc w:val="right"/>
              <w:ind w:right="102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610,768</w:t>
            </w:r>
          </w:p>
        </w:tc>
        <w:tc>
          <w:tcPr>
            <w:tcW w:w="100" w:type="dxa"/>
            <w:vAlign w:val="bottom"/>
          </w:tcPr>
          <w:p>
            <w:pPr>
              <w:spacing w:after="0"/>
              <w:rPr>
                <w:sz w:val="19"/>
                <w:szCs w:val="19"/>
                <w:color w:val="auto"/>
              </w:rPr>
            </w:pPr>
          </w:p>
        </w:tc>
        <w:tc>
          <w:tcPr>
            <w:tcW w:w="6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594,267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1,659,141</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1,781,854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(345,084)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w w:val="98"/>
              </w:rPr>
              <w:t>(330,554)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(949,460)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(991,132)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(104,832)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w w:val="98"/>
              </w:rPr>
              <w:t>(102,321)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(318,588)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(318,347)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160,852</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161,392</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391,093</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472,375</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82"/>
              <w:spacing w:after="0"/>
              <w:rPr>
                <w:sz w:val="20"/>
                <w:szCs w:val="20"/>
                <w:color w:val="auto"/>
              </w:rPr>
            </w:pPr>
            <w:r>
              <w:rPr>
                <w:rFonts w:ascii="Arial" w:cs="Arial" w:eastAsia="Arial" w:hAnsi="Arial"/>
                <w:sz w:val="18"/>
                <w:szCs w:val="18"/>
                <w:color w:val="auto"/>
              </w:rPr>
              <w:t>26.3%</w:t>
            </w:r>
          </w:p>
        </w:tc>
        <w:tc>
          <w:tcPr>
            <w:tcW w:w="42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tcPr>
          <w:p>
            <w:pPr>
              <w:jc w:val="right"/>
              <w:ind w:right="68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2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45</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2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September 30, 2015</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Company reported net income attributable to Lazard Ltd of $113 million, as compared to net income of $399 million in the 2015 period, which included the impact of the gain on the partial extinguishment of our tax receivable agreement obligation. The changes in the Company’s operating results during these periods are described below.</w:t>
      </w:r>
    </w:p>
    <w:p>
      <w:pPr>
        <w:spacing w:after="0" w:line="181"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Net revenue increased $35 million, or 6%, with operating revenue increasing $17 million, or 3%, as compared to the 2015 period. Fee revenue from investment banking and other advisory activities increased $13 million, or 4%, primarily due to an increase in Restructuring revenue, which generally reflected a higher level of activity in the U.S. energy sector in the 2016 period. Asset management fees, including incentive fees, remained substantially unchanged as compared to the 2015 period. In the aggregate, interest income, other revenue and interest expense increased $22 million as compared to the 2015 period, primarily due to an increase in gains in the 2016 period attributable to investments held in connection with LFI.</w:t>
      </w:r>
    </w:p>
    <w:p>
      <w:pPr>
        <w:spacing w:after="0" w:line="15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Compensation and benefits expense increased $34 million, or 11%, as compared to the 2015 period, primarily due to an increase in discretionary compensation and an increase in charges pertaining to LFI.</w:t>
      </w:r>
    </w:p>
    <w:p>
      <w:pPr>
        <w:spacing w:after="0" w:line="170"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$345 million, an increase of $14 million, or 4%, as compared to $331 million in the 2015 period. The ratio of adjusted compensation and benefits expense to operating revenue was 56.5% for the 2016 period, as compared to 55.6% for the 2015 period and 55.4% for full-year 2015.</w:t>
      </w:r>
    </w:p>
    <w:p>
      <w:pPr>
        <w:spacing w:after="0" w:line="14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Non-compensation expense increased $2 million, or 2%, as compared to the 2015 period. Adjusted non-compensation expense, which excludes non-compensation costs relating to noncontrolling interests, increased $3 million, or 2%, as compared to the 2015 period. The ratio of adjusted non-compensation expense to operating revenue was 17.2% in both the 2016 and 2015 periods.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and other acquisition-related costs remained substantially unchanged as compared to the 2015 period.</w:t>
      </w:r>
    </w:p>
    <w:p>
      <w:pPr>
        <w:spacing w:after="0" w:line="225"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Operating income decreased $422 million as compared to the 2015 period, which included the impact of the gain on the partial extinguishment of our tax receivable agreement obligation (see Note 16 of Notes to Condensed Consolidated Financial Statements for additional information).</w:t>
      </w:r>
    </w:p>
    <w:p>
      <w:pPr>
        <w:spacing w:after="0" w:line="147"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Earnings from operations remained substantially unchanged as compared to the 2015 period, which excluded the impact of the gain on the partial extinguishment of our tax receivable agreement obligation, and, as a percentage of operating revenue, was 26.3%, as compared to 27.2% in the 2015 period.</w:t>
      </w:r>
    </w:p>
    <w:p>
      <w:pPr>
        <w:spacing w:after="0" w:line="12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provision for income taxes reflects an effective tax rate of 24.4%, as compared to 30.0% for the 2015 period. The decrease in the effective tax rate in the 2016 period as compared to the 2015 period was primarily driven by (i) the increase in operating income in the 2015 period as a result of the gain on the partial extinguishment of our tax receivable agreement obligation, partially offset by (ii) the release of substantially all of our valuation allowance related to deferred tax assets in the 2015 period. See Notes 14 and 16 of Notes to Condensed Consolidated Financial Statements and “Critical Accounting Policies— Income Taxes”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decreased $1 million as compared to the 2015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versus September 30, 2015</w:t>
      </w:r>
    </w:p>
    <w:p>
      <w:pPr>
        <w:spacing w:after="0" w:line="117"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The Company reported net income attributable to Lazard Ltd of $260 million, as compared to net income of $829 million in the 2015 period, which included a charge relating to the redemption of a significant portion of the Company’s 2017 Notes, as well as the impact of the provision pursuant to the tax receivable agreement. The changes in the Company’s operating results during these periods are described below.</w:t>
      </w:r>
    </w:p>
    <w:p>
      <w:pPr>
        <w:spacing w:after="0" w:line="16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Net revenue decreased $119 million, or 7%, with operating revenue decreasing $123 million, or 7%, as compared to the 2015 period. Fee revenue from investment banking and other advisory activities decreased $51 million, or 5%, primarily due to decreases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8" w:name="page49"/>
    <w:bookmarkEnd w:id="48"/>
    <w:p>
      <w:pPr>
        <w:spacing w:after="0" w:line="254" w:lineRule="auto"/>
        <w:rPr>
          <w:sz w:val="20"/>
          <w:szCs w:val="20"/>
          <w:color w:val="auto"/>
        </w:rPr>
      </w:pPr>
      <w:r>
        <w:rPr>
          <w:rFonts w:ascii="Arial" w:cs="Arial" w:eastAsia="Arial" w:hAnsi="Arial"/>
          <w:sz w:val="18"/>
          <w:szCs w:val="18"/>
          <w:color w:val="auto"/>
        </w:rPr>
        <w:t>M&amp;A and Other Advisory fees. The decrease in M&amp;A and Other Advisory fee revenue was primarily due to a lower number of M&amp;A transactions completed as compared to the 2015 period. This decrease was partially offset by an increase in Restructuring revenue, which generally reflected a higher level of activity in the U.S. energy sector in the 2016 period. Asset management fees, including incentive fees, decreased $55 million, or 7%, as compared to the 2015 period, due to a decrease in average AUM primarily as a result of market depreciation, a change in the mix of AUM and a decrease in incentive fees relating to traditional investment products and mutual funds. In the aggregate, interest income, other revenue and interest expense decreased $13 million as compared to the 2015 period, primarily due to a $24 million gain in the 2015 period on the disposal of the Company’s Australian private equity business (which relates primarily to the realization of carried interest at fair value) partially offset by, in the 2016 period, higher gains attributable to investments held in connection with LFI.</w:t>
      </w:r>
    </w:p>
    <w:p>
      <w:pPr>
        <w:spacing w:after="0" w:line="192"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Compensation and benefits expense decreased $26 million, or 3%, as compared to the 2015 period, primarily due to a decrease in discretionary compensation associated with decreased operating revenue, partially offset by an increase in charges pertaining to LFI.</w:t>
      </w:r>
    </w:p>
    <w:p>
      <w:pPr>
        <w:spacing w:after="0" w:line="170"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Adjusted compensation and benefits expense (which excludes certain items and which we believe allows for improved comparability between periods, as described above) was $949 million, a decrease of $42 million, or 4%, as compared to $991 million in the 2015 period. The ratio of adjusted compensation and benefits expense to operating revenue was 57.2% for the 2016 period, as compared to 55.6% for the 2015 period and 55.4% for full-year 2015. Adjusted compensation and benefits expense in the 2016 period generally reflected lower operating revenue in the 2016 period.</w:t>
      </w:r>
    </w:p>
    <w:p>
      <w:pPr>
        <w:spacing w:after="0" w:line="17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Non-compensation expense decreased $60 million, or 16%, as compared to the 2015 period, primarily due to a non-recurring charge of $60 million related to the redemption of a significant portion of the Company’s 2017 Notes in the 2015 period. Adjusted non-compensation expense, which excludes such charge, as well as non-compensation costs relating to noncontrolling interests, remained substantially unchanged as compared to the 2015 period. The ratio of adjusted non-compensation expense to operating revenue was 19.2%, as compared to 17.9% in the 2015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and other acquisition-related costs decreased $2 million as compared to the 2015 period.</w:t>
      </w:r>
    </w:p>
    <w:p>
      <w:pPr>
        <w:spacing w:after="0" w:line="22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Operating income increased $517 million as compared to the 2015 period, which included a charge relating to the redemption of a significant portion of the Company’s 2017 Notes, as well as the impact of the provision pursuant to the tax receivable agreement. As a result of the possible utilization of certain deferred tax assets that are subject to the tax receivable agreement, including the impact of the partial extinguishment of our tax receivable agreement obligation in the third quarter of 2015, the provision pursuant to the tax receivable agreement in the 2015 period was $548 million (see Note 16 of Notes to Condensed Consolidated Financial Statements for additional information).</w:t>
      </w:r>
    </w:p>
    <w:p>
      <w:pPr>
        <w:spacing w:after="0" w:line="188"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Earnings from operations decreased $81 million, or 17%, as compared to the 2015 period, which excluded the charge related to the redemption of a significant portion of the Company’s 2017 Notes, as well as the impact of the provision pursuant to the tax receivable agreement described above, and, as a percentage of operating revenue, was 23.6%, as compared to 26.5% in the 2015 period.</w:t>
      </w:r>
    </w:p>
    <w:p>
      <w:pPr>
        <w:spacing w:after="0" w:line="18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 provision for income taxes reflects an effective tax rate of 26.6%, as compared to 637.0% for the 2015 period. The unusually high effective tax rate in the 2015 period was primarily driven by (i) the reduction of operating income in the 2015 period as a result of the provision pursuant to the tax receivable agreement, and (ii) the release of substantially all of our valuation allowance related to deferred tax assets in the 2015 period. See Notes 14 and 16 of Notes to Condensed Consolidated Financial Statements and “Critical Accounting Policies—Income Taxes” below.</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decreased $4 million, as compared to the 2015 period.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right="62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20" w:firstLine="8"/>
        <w:spacing w:after="0" w:line="271" w:lineRule="auto"/>
        <w:tabs>
          <w:tab w:leader="none" w:pos="2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6"/>
        </w:trPr>
        <w:tc>
          <w:tcPr>
            <w:tcW w:w="3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M&amp;A and Other Advisory</w:t>
            </w:r>
          </w:p>
        </w:tc>
        <w:tc>
          <w:tcPr>
            <w:tcW w:w="21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281,649</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288,109</w:t>
            </w:r>
          </w:p>
        </w:tc>
        <w:tc>
          <w:tcPr>
            <w:tcW w:w="7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699,643</w:t>
            </w:r>
          </w:p>
        </w:tc>
        <w:tc>
          <w:tcPr>
            <w:tcW w:w="6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822,063</w:t>
            </w:r>
          </w:p>
        </w:tc>
        <w:tc>
          <w:tcPr>
            <w:tcW w:w="180" w:type="dxa"/>
            <w:vAlign w:val="bottom"/>
            <w:shd w:val="clear" w:color="auto" w:fill="CFF0FC"/>
          </w:tcPr>
          <w:p>
            <w:pPr>
              <w:spacing w:after="0"/>
              <w:rPr>
                <w:sz w:val="19"/>
                <w:szCs w:val="19"/>
                <w:color w:val="auto"/>
              </w:rPr>
            </w:pP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 Raising</w:t>
            </w:r>
          </w:p>
        </w:tc>
        <w:tc>
          <w:tcPr>
            <w:tcW w:w="18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10,567</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16,932</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30,737</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51,794</w:t>
            </w:r>
          </w:p>
        </w:tc>
        <w:tc>
          <w:tcPr>
            <w:tcW w:w="180" w:type="dxa"/>
            <w:vAlign w:val="bottom"/>
            <w:tcBorders>
              <w:bottom w:val="single" w:sz="8" w:color="CFF0FC"/>
            </w:tcBorders>
          </w:tcPr>
          <w:p>
            <w:pPr>
              <w:spacing w:after="0"/>
              <w:rPr>
                <w:sz w:val="19"/>
                <w:szCs w:val="19"/>
                <w:color w:val="auto"/>
              </w:rPr>
            </w:pPr>
          </w:p>
        </w:tc>
      </w:tr>
      <w:tr>
        <w:trPr>
          <w:trHeight w:val="223"/>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Strategic Advisory</w:t>
            </w:r>
          </w:p>
        </w:tc>
        <w:tc>
          <w:tcPr>
            <w:tcW w:w="1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292,216</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305,041</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730,380</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873,857</w:t>
            </w:r>
          </w:p>
        </w:tc>
        <w:tc>
          <w:tcPr>
            <w:tcW w:w="180" w:type="dxa"/>
            <w:vAlign w:val="bottom"/>
            <w:shd w:val="clear" w:color="auto" w:fill="CFF0FC"/>
          </w:tcPr>
          <w:p>
            <w:pPr>
              <w:spacing w:after="0"/>
              <w:rPr>
                <w:sz w:val="19"/>
                <w:szCs w:val="19"/>
                <w:color w:val="auto"/>
              </w:rPr>
            </w:pP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Restructuring</w:t>
            </w:r>
          </w:p>
        </w:tc>
        <w:tc>
          <w:tcPr>
            <w:tcW w:w="18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51,272</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25,791</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166,087</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74,878</w:t>
            </w:r>
          </w:p>
        </w:tc>
        <w:tc>
          <w:tcPr>
            <w:tcW w:w="180" w:type="dxa"/>
            <w:vAlign w:val="bottom"/>
            <w:tcBorders>
              <w:bottom w:val="single" w:sz="8" w:color="CFF0FC"/>
            </w:tcBorders>
          </w:tcPr>
          <w:p>
            <w:pPr>
              <w:spacing w:after="0"/>
              <w:rPr>
                <w:sz w:val="19"/>
                <w:szCs w:val="19"/>
                <w:color w:val="auto"/>
              </w:rPr>
            </w:pPr>
          </w:p>
        </w:tc>
      </w:tr>
      <w:tr>
        <w:trPr>
          <w:trHeight w:val="223"/>
        </w:trPr>
        <w:tc>
          <w:tcPr>
            <w:tcW w:w="3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w:t>
            </w:r>
          </w:p>
        </w:tc>
        <w:tc>
          <w:tcPr>
            <w:tcW w:w="1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343,488</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330,832</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896,467</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948,735</w:t>
            </w:r>
          </w:p>
        </w:tc>
        <w:tc>
          <w:tcPr>
            <w:tcW w:w="180" w:type="dxa"/>
            <w:vAlign w:val="bottom"/>
            <w:shd w:val="clear" w:color="auto" w:fill="CFF0FC"/>
          </w:tcPr>
          <w:p>
            <w:pPr>
              <w:spacing w:after="0"/>
              <w:rPr>
                <w:sz w:val="19"/>
                <w:szCs w:val="19"/>
                <w:color w:val="auto"/>
              </w:rPr>
            </w:pP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258,865</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261,952</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719,670</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758,108</w:t>
            </w:r>
          </w:p>
        </w:tc>
        <w:tc>
          <w:tcPr>
            <w:tcW w:w="180" w:type="dxa"/>
            <w:vAlign w:val="bottom"/>
            <w:tcBorders>
              <w:bottom w:val="single" w:sz="8" w:color="CFF0FC"/>
            </w:tcBorders>
          </w:tcPr>
          <w:p>
            <w:pPr>
              <w:spacing w:after="0"/>
              <w:rPr>
                <w:sz w:val="19"/>
                <w:szCs w:val="19"/>
                <w:color w:val="auto"/>
              </w:rPr>
            </w:pPr>
          </w:p>
        </w:tc>
      </w:tr>
      <w:tr>
        <w:trPr>
          <w:trHeight w:val="223"/>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84,623</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68,880</w:t>
            </w:r>
          </w:p>
        </w:tc>
        <w:tc>
          <w:tcPr>
            <w:tcW w:w="3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176,797</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190,627</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Operating Income, as a % of net revenue</w:t>
            </w:r>
          </w:p>
        </w:tc>
        <w:tc>
          <w:tcPr>
            <w:tcW w:w="1440" w:type="dxa"/>
            <w:vAlign w:val="bottom"/>
            <w:gridSpan w:val="4"/>
          </w:tcPr>
          <w:p>
            <w:pPr>
              <w:jc w:val="right"/>
              <w:ind w:right="160"/>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3"/>
          </w:tcPr>
          <w:p>
            <w:pPr>
              <w:ind w:left="440"/>
              <w:spacing w:after="0"/>
              <w:rPr>
                <w:sz w:val="20"/>
                <w:szCs w:val="20"/>
                <w:color w:val="auto"/>
              </w:rPr>
            </w:pPr>
            <w:r>
              <w:rPr>
                <w:rFonts w:ascii="Arial" w:cs="Arial" w:eastAsia="Arial" w:hAnsi="Arial"/>
                <w:sz w:val="18"/>
                <w:szCs w:val="18"/>
                <w:color w:val="auto"/>
              </w:rPr>
              <w:t>20.8%</w:t>
            </w:r>
          </w:p>
        </w:tc>
        <w:tc>
          <w:tcPr>
            <w:tcW w:w="1460" w:type="dxa"/>
            <w:vAlign w:val="bottom"/>
            <w:gridSpan w:val="4"/>
          </w:tcPr>
          <w:p>
            <w:pPr>
              <w:jc w:val="right"/>
              <w:ind w:right="160"/>
              <w:spacing w:after="0"/>
              <w:rPr>
                <w:sz w:val="20"/>
                <w:szCs w:val="20"/>
                <w:color w:val="auto"/>
              </w:rPr>
            </w:pPr>
            <w:r>
              <w:rPr>
                <w:rFonts w:ascii="Arial" w:cs="Arial" w:eastAsia="Arial" w:hAnsi="Arial"/>
                <w:sz w:val="18"/>
                <w:szCs w:val="18"/>
                <w:color w:val="auto"/>
              </w:rPr>
              <w:t>19.7%</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r>
      <w:tr>
        <w:trPr>
          <w:trHeight w:val="20"/>
        </w:trPr>
        <w:tc>
          <w:tcPr>
            <w:tcW w:w="57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7560" w:type="dxa"/>
            <w:vAlign w:val="bottom"/>
            <w:gridSpan w:val="7"/>
          </w:tcPr>
          <w:p>
            <w:pPr>
              <w:ind w:left="520"/>
              <w:spacing w:after="0"/>
              <w:rPr>
                <w:sz w:val="20"/>
                <w:szCs w:val="20"/>
                <w:color w:val="auto"/>
              </w:rPr>
            </w:pPr>
            <w:r>
              <w:rPr>
                <w:rFonts w:ascii="Arial" w:cs="Arial" w:eastAsia="Arial" w:hAnsi="Arial"/>
                <w:sz w:val="18"/>
                <w:szCs w:val="18"/>
                <w:color w:val="auto"/>
                <w:w w:val="96"/>
              </w:rPr>
              <w:t>Certain fee and transaction statistics for the Financial Advisory segment are set forth below:</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5"/>
        </w:trPr>
        <w:tc>
          <w:tcPr>
            <w:tcW w:w="5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27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Borders>
              <w:bottom w:val="single" w:sz="8" w:color="auto"/>
            </w:tcBorders>
            <w:gridSpan w:val="5"/>
          </w:tcPr>
          <w:p>
            <w:pPr>
              <w:jc w:val="center"/>
              <w:ind w:left="70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Borders>
              <w:bottom w:val="single" w:sz="8" w:color="auto"/>
            </w:tcBorders>
            <w:gridSpan w:val="4"/>
          </w:tcPr>
          <w:p>
            <w:pPr>
              <w:jc w:val="center"/>
              <w:ind w:left="68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Financial Advisory</w:t>
            </w:r>
          </w:p>
        </w:tc>
        <w:tc>
          <w:tcPr>
            <w:tcW w:w="1160" w:type="dxa"/>
            <w:vAlign w:val="bottom"/>
            <w:gridSpan w:val="3"/>
            <w:shd w:val="clear" w:color="auto" w:fill="CFF0FC"/>
          </w:tcPr>
          <w:p>
            <w:pPr>
              <w:ind w:left="980"/>
              <w:spacing w:after="0"/>
              <w:rPr>
                <w:sz w:val="20"/>
                <w:szCs w:val="20"/>
                <w:color w:val="auto"/>
              </w:rPr>
            </w:pPr>
            <w:r>
              <w:rPr>
                <w:rFonts w:ascii="Arial" w:cs="Arial" w:eastAsia="Arial" w:hAnsi="Arial"/>
                <w:sz w:val="18"/>
                <w:szCs w:val="18"/>
                <w:color w:val="auto"/>
                <w:w w:val="79"/>
              </w:rPr>
              <w:t>74</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w w:val="89"/>
              </w:rPr>
              <w:t>75</w:t>
            </w:r>
          </w:p>
        </w:tc>
        <w:tc>
          <w:tcPr>
            <w:tcW w:w="2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FF0FC"/>
          </w:tcPr>
          <w:p>
            <w:pPr>
              <w:spacing w:after="0"/>
              <w:rPr>
                <w:sz w:val="19"/>
                <w:szCs w:val="19"/>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M&amp;A and Other Advisory</w:t>
            </w:r>
          </w:p>
        </w:tc>
        <w:tc>
          <w:tcPr>
            <w:tcW w:w="1160" w:type="dxa"/>
            <w:vAlign w:val="bottom"/>
            <w:gridSpan w:val="3"/>
          </w:tcPr>
          <w:p>
            <w:pPr>
              <w:ind w:left="980"/>
              <w:spacing w:after="0"/>
              <w:rPr>
                <w:sz w:val="20"/>
                <w:szCs w:val="20"/>
                <w:color w:val="auto"/>
              </w:rPr>
            </w:pPr>
            <w:r>
              <w:rPr>
                <w:rFonts w:ascii="Arial" w:cs="Arial" w:eastAsia="Arial" w:hAnsi="Arial"/>
                <w:sz w:val="18"/>
                <w:szCs w:val="18"/>
                <w:color w:val="auto"/>
                <w:w w:val="79"/>
              </w:rPr>
              <w:t>58</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ind w:left="600"/>
              <w:spacing w:after="0"/>
              <w:rPr>
                <w:sz w:val="20"/>
                <w:szCs w:val="20"/>
                <w:color w:val="auto"/>
              </w:rPr>
            </w:pPr>
            <w:r>
              <w:rPr>
                <w:rFonts w:ascii="Arial" w:cs="Arial" w:eastAsia="Arial" w:hAnsi="Arial"/>
                <w:sz w:val="18"/>
                <w:szCs w:val="18"/>
                <w:color w:val="auto"/>
                <w:w w:val="89"/>
              </w:rPr>
              <w:t>62</w:t>
            </w:r>
          </w:p>
        </w:tc>
        <w:tc>
          <w:tcPr>
            <w:tcW w:w="28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r>
      <w:tr>
        <w:trPr>
          <w:trHeight w:val="215"/>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Percentage of total Financial Advisory net revenue from</w:t>
            </w: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top 10 clients</w:t>
            </w:r>
          </w:p>
        </w:tc>
        <w:tc>
          <w:tcPr>
            <w:tcW w:w="1440" w:type="dxa"/>
            <w:vAlign w:val="bottom"/>
            <w:gridSpan w:val="4"/>
            <w:shd w:val="clear" w:color="auto" w:fill="CFF0FC"/>
          </w:tcPr>
          <w:p>
            <w:pPr>
              <w:ind w:left="980"/>
              <w:spacing w:after="0"/>
              <w:rPr>
                <w:sz w:val="20"/>
                <w:szCs w:val="20"/>
                <w:color w:val="auto"/>
              </w:rPr>
            </w:pPr>
            <w:r>
              <w:rPr>
                <w:rFonts w:ascii="Arial" w:cs="Arial" w:eastAsia="Arial" w:hAnsi="Arial"/>
                <w:sz w:val="18"/>
                <w:szCs w:val="18"/>
                <w:color w:val="auto"/>
              </w:rPr>
              <w:t>43%</w:t>
            </w:r>
          </w:p>
        </w:tc>
        <w:tc>
          <w:tcPr>
            <w:tcW w:w="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rPr>
              <w:t>36%</w:t>
            </w:r>
          </w:p>
        </w:tc>
        <w:tc>
          <w:tcPr>
            <w:tcW w:w="146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than $500 million (a)</w:t>
            </w:r>
          </w:p>
        </w:tc>
        <w:tc>
          <w:tcPr>
            <w:tcW w:w="1160" w:type="dxa"/>
            <w:vAlign w:val="bottom"/>
            <w:gridSpan w:val="3"/>
          </w:tcPr>
          <w:p>
            <w:pPr>
              <w:ind w:left="980"/>
              <w:spacing w:after="0"/>
              <w:rPr>
                <w:sz w:val="20"/>
                <w:szCs w:val="20"/>
                <w:color w:val="auto"/>
              </w:rPr>
            </w:pPr>
            <w:r>
              <w:rPr>
                <w:rFonts w:ascii="Arial" w:cs="Arial" w:eastAsia="Arial" w:hAnsi="Arial"/>
                <w:sz w:val="18"/>
                <w:szCs w:val="18"/>
                <w:color w:val="auto"/>
                <w:w w:val="79"/>
              </w:rPr>
              <w:t>18</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ind w:left="600"/>
              <w:spacing w:after="0"/>
              <w:rPr>
                <w:sz w:val="20"/>
                <w:szCs w:val="20"/>
                <w:color w:val="auto"/>
              </w:rPr>
            </w:pPr>
            <w:r>
              <w:rPr>
                <w:rFonts w:ascii="Arial" w:cs="Arial" w:eastAsia="Arial" w:hAnsi="Arial"/>
                <w:sz w:val="18"/>
                <w:szCs w:val="18"/>
                <w:color w:val="auto"/>
                <w:w w:val="89"/>
              </w:rPr>
              <w:t>19</w:t>
            </w: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2090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October 4, 2016.</w:t>
      </w:r>
    </w:p>
    <w:p>
      <w:pPr>
        <w:spacing w:after="0" w:line="225"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The geographical distribution of Financial Advisory net revenue is set forth below in percentage terms and is based on the Lazard offices that generate Financial Advisory net revenue, which are located in North America, Europe (primarily in the U.K., France, Italy, Spain and Germany) and the rest of the world (primarily in Australia) and therefore may not be reflective of the geography in which the clients are located.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Rest of World</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ind w:right="140"/>
        <w:spacing w:after="0" w:line="264" w:lineRule="auto"/>
        <w:rPr>
          <w:sz w:val="20"/>
          <w:szCs w:val="20"/>
          <w:color w:val="auto"/>
        </w:rPr>
      </w:pPr>
      <w:r>
        <w:rPr>
          <w:rFonts w:ascii="Arial" w:cs="Arial" w:eastAsia="Arial" w:hAnsi="Arial"/>
          <w:sz w:val="18"/>
          <w:szCs w:val="18"/>
          <w:color w:val="auto"/>
        </w:rPr>
        <w:t>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4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September 30, 2015</w:t>
      </w:r>
    </w:p>
    <w:p>
      <w:pPr>
        <w:spacing w:after="0" w:line="11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Financial Advisory net revenue increased $13 million, or 4%, as compared to the 2015 period. Total Strategic Advisory net revenue, representing fees from our M&amp;A and Other Advisory and Capital Raising businesses, decreased $13 million, or 4%, and Restructuring revenue increased $26 million, or 99%, as compared to the 2015 period.</w:t>
      </w:r>
    </w:p>
    <w:p>
      <w:pPr>
        <w:spacing w:after="0" w:line="18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M&amp;A and Other Advisory revenue decreased $6 million, or 2%, while Capital Raising revenue decreased $6 million, or 38%, as compared to the 2015 period. The decrease in M&amp;A and Other Advisory revenue was primarily due to a lower number of M&amp;A transactions completed as compared to the 2015 period. Clients which in the aggregate represented a significant portion of our M&amp;A and Other Advisory revenue in the 2016 period included ARM Holdings, Columbia Pipeline Group, Dentsu Aegis Network, L’Oreal, Starwood Hotels &amp; Resorts Worldwide and Tyco International.</w:t>
      </w:r>
    </w:p>
    <w:p>
      <w:pPr>
        <w:spacing w:after="0" w:line="17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Restructuring revenue in the 2016 period primarily reflected a higher level of activity in the U.S energy sector in the 2016 period. Clients which in the aggregate represented a significant portion of our Restructuring revenue in the 2016 period included Horsehead Holding, Sabine Oil &amp; Gas and The Official Committee of Unsecured Creditors of Energy Future Holdings.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Operating expenses decreased $3 million, or 1%, as compared to the 2015 period, primarily due to a decrease in compensation and benefits expense.</w:t>
      </w:r>
    </w:p>
    <w:p>
      <w:pPr>
        <w:spacing w:after="0" w:line="24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Financial Advisory operating income was $85 million, an increase of $16 million, or 23%, as compared to operating income of $69 million in the 2015 period and, as a percentage of net revenue, was 24.6%, as compared to 20.8% in the 2015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versus September 30, 2015</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Financial Advisory net revenue decreased $52 million, or 6%, as compared to the 2015 period. Total Strategic Advisory net revenue, representing fees from our M&amp;A and Other Advisory and Capital Raising businesses, decreased $143 million, or 16%, and Restructuring revenue increased $91 million, or 122%, as compared to the 2015 period.</w:t>
      </w:r>
    </w:p>
    <w:p>
      <w:pPr>
        <w:spacing w:after="0" w:line="181" w:lineRule="exact"/>
        <w:rPr>
          <w:sz w:val="20"/>
          <w:szCs w:val="20"/>
          <w:color w:val="auto"/>
        </w:rPr>
      </w:pPr>
    </w:p>
    <w:p>
      <w:pPr>
        <w:jc w:val="both"/>
        <w:ind w:right="200" w:firstLine="518"/>
        <w:spacing w:after="0" w:line="312" w:lineRule="auto"/>
        <w:rPr>
          <w:sz w:val="20"/>
          <w:szCs w:val="20"/>
          <w:color w:val="auto"/>
        </w:rPr>
      </w:pPr>
      <w:r>
        <w:rPr>
          <w:rFonts w:ascii="Arial" w:cs="Arial" w:eastAsia="Arial" w:hAnsi="Arial"/>
          <w:sz w:val="16"/>
          <w:szCs w:val="16"/>
          <w:color w:val="auto"/>
        </w:rPr>
        <w:t>M&amp;A and Other Advisory revenue decreased $122 million, or 15%, and Capital Raising revenue decreased $21 million, or 41%, as compared to the 2015 period. The decrease in M&amp;A and Other Advisory revenue was primarily due to a lower number of M&amp;A transactions completed as compared to the 2015 period. Restructuring revenue in the 2016 period primarily reflected a higher level of activity in the U.S energy sector in the 2016 period.</w:t>
      </w:r>
    </w:p>
    <w:p>
      <w:pPr>
        <w:spacing w:after="0" w:line="14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Operating expenses decreased $38 million, or 5%, as compared to the 2015 period, primarily due to a decrease in discretionary compensation and benefits expense associated with decreased operating revenue.</w:t>
      </w:r>
    </w:p>
    <w:p>
      <w:pPr>
        <w:spacing w:after="0" w:line="170"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Financial Advisory operating income was $177 million, a decrease of $14 million, or 7%, as compared to operating income of $191 million in the 2015 period and, as a percentage of net revenue, was 19.7%, as compared to 20.1% in the 2015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2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43,624</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31,407</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34,415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31,354</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57,272</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52,531</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167,332</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14,378</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4,660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33,959</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30,387</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205,440</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186,380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Total AUM at September 30, 2016 was $205 billion, an increase of $19 billion, or 10%, as compared to total AUM of $186 billion at December 31, 2015, primarily due to market and foreign exchange appreciation and net inflows. Average AUM for the three month period ended September 30, 2016 increased 5% as compared to the three month period ended September 30, 2015, but decreased 3% for the nine month period ended September 30, 2016 as compared to the nine month period ended September 30, 2015.</w:t>
      </w:r>
    </w:p>
    <w:p>
      <w:pPr>
        <w:spacing w:after="0" w:line="18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As of September 30, 2016, approximately 88% of our AUM was managed on behalf of institutional clients, including corporations, labor unions, public pension funds, insurance companies and banks, and through sub-advisory relationships, mutual fund sponsors, broker-dealers and registered advisors, compared to approximately 89% as of December 31, 2015, and, as of September 30, 2016, approximately 12% of our AUM was managed on behalf of individual client relationships, which are principally with family offices and individuals, compared to approximately 11% at December 31, 2015.</w:t>
      </w:r>
    </w:p>
    <w:p>
      <w:pPr>
        <w:spacing w:after="0" w:line="154"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As of September 30, 2016 and December 31, 2015, AUM with foreign currency exposure represented approximately 72% of our total AUM.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is a summary of changes in AUM by asset class for the three month and nine month periods ended September 30, 2016 and 2015: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6"/>
              </w:rPr>
              <w:t>Three Months Ended September 30, 2016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Outflows (a)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0"/>
              </w:rPr>
              <w:t>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(6,773)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191,865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ind w:left="380" w:right="320" w:hanging="372"/>
        <w:spacing w:after="0" w:line="259"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9040" cy="8890"/>
                    </a:xfrm>
                    <a:prstGeom prst="rect">
                      <a:avLst/>
                    </a:prstGeom>
                    <a:noFill/>
                  </pic:spPr>
                </pic:pic>
              </a:graphicData>
            </a:graphic>
          </wp:anchor>
        </w:drawing>
        <w:t>Inflows in the Equity asset class were primarily attributable to the Multi-Regional, Emerging Markets and Local equity platforms, and inflows in the Fixed Income asset class were primarily attributable to the Emerging Markets and Multi-Regional platforms. Outflows in the Equity asset class were primarily attributable to the Emerging Markets, Multi-Regional and Global equity platforms, and outflows in the Fixed Income asset class were primarily attributable to the Emerging Markets and Multi-Regional platforms.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9"/>
          </w:tcPr>
          <w:p>
            <w:pPr>
              <w:jc w:val="right"/>
              <w:ind w:right="250"/>
              <w:spacing w:after="0"/>
              <w:rPr>
                <w:sz w:val="20"/>
                <w:szCs w:val="20"/>
                <w:color w:val="auto"/>
              </w:rPr>
            </w:pPr>
            <w:r>
              <w:rPr>
                <w:rFonts w:ascii="Arial" w:cs="Arial" w:eastAsia="Arial" w:hAnsi="Arial"/>
                <w:sz w:val="14"/>
                <w:szCs w:val="14"/>
                <w:b w:val="1"/>
                <w:bCs w:val="1"/>
                <w:color w:val="auto"/>
                <w:w w:val="98"/>
              </w:rPr>
              <w:t>Nine Months Ended September 30, 2016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9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Outflows (a)</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0"/>
              </w:rPr>
              <w:t>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(21,497)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60" w:hanging="372"/>
        <w:spacing w:after="0" w:line="259"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Multi-Regional, Emerging Markets and Global equity platforms, and inflows in the Fixed Income asset class were primarily attributable to the Emerging Markets and Multi-Regional platforms. Outflows in the Equity asset class were primarily attributable to the Emerging Markets, Multi-Regional and Global equity platforms, and outflows in the Fixed Income asset class were primarily attributable to the Emerging Markets and Multi-Regional platforms.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w w:val="99"/>
              </w:rPr>
              <w:t>Three Months Ended September 30, 2015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Outflows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0"/>
              </w:rPr>
              <w:t>in millions)</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166,402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(385)</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(15,430)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(3,795)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203,086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rPr>
              <w:t>Nine Months Ended September 30, 2015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5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Outflows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0"/>
              </w:rPr>
              <w:t>in millions)</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(21,453)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(6,140)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(7,865)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7,956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(2,432)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197,103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30,463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40" w:firstLine="518"/>
        <w:spacing w:after="0" w:line="308" w:lineRule="auto"/>
        <w:rPr>
          <w:sz w:val="20"/>
          <w:szCs w:val="20"/>
          <w:color w:val="auto"/>
        </w:rPr>
      </w:pPr>
      <w:r>
        <w:rPr>
          <w:rFonts w:ascii="Arial" w:cs="Arial" w:eastAsia="Arial" w:hAnsi="Arial"/>
          <w:sz w:val="17"/>
          <w:szCs w:val="17"/>
          <w:color w:val="auto"/>
        </w:rPr>
        <w:t>As of October 24, 2016, AUM was $202.6 billion, a $2.8 billion decrease since September 30, 2016. The decrease in AUM was due to foreign exchange depreciation of $2.8 billion and net outflows of $0.6 billion, partially offset by market appreciation of $0.6 billion.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3" w:name="page54"/>
    <w:bookmarkEnd w:id="53"/>
    <w:p>
      <w:pPr>
        <w:ind w:left="520"/>
        <w:spacing w:after="0"/>
        <w:rPr>
          <w:sz w:val="20"/>
          <w:szCs w:val="20"/>
          <w:color w:val="auto"/>
        </w:rPr>
      </w:pPr>
      <w:r>
        <w:rPr>
          <w:rFonts w:ascii="Arial" w:cs="Arial" w:eastAsia="Arial" w:hAnsi="Arial"/>
          <w:sz w:val="16"/>
          <w:szCs w:val="16"/>
          <w:color w:val="auto"/>
        </w:rPr>
        <w:t>Average AUM for the three month and nine month periods ended September 30, 2016 and 2015 for each significant asset class is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Average AUM generally represents the average of the monthly ending AUM balances for the period.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163,462</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155,116</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157,093</w:t>
            </w: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161,076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201,028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192,026</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192,989</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198,085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Management Fees</w:t>
            </w:r>
          </w:p>
        </w:tc>
        <w:tc>
          <w:tcPr>
            <w:tcW w:w="16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251,851</w:t>
            </w:r>
          </w:p>
        </w:tc>
        <w:tc>
          <w:tcPr>
            <w:tcW w:w="3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248,143</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716,368</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758,631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Incentive Fees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w:t>
            </w:r>
          </w:p>
        </w:tc>
        <w:tc>
          <w:tcPr>
            <w:tcW w:w="1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15,283</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Revenue</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267,725</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264,581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767,610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850,226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185,753</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179,155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543,616</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554,738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81,972</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85,426</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223,994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295,488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Rest of World</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September 30, 2015</w:t>
      </w:r>
    </w:p>
    <w:p>
      <w:pPr>
        <w:spacing w:after="0" w:line="117"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Asset Management net revenue increased $3 million, or 1%, as compared to the 2015 period. Management fees increased $4 million, or 1%, as compared to the 2015 period, primarily due to an increase in average AUM. Incentive fees decreased $2 million, or 78%, as compared to the 2015 period, primarily due to incentive fees related to traditional investment products. Other revenue increased $1 million, or 11%, as compared to the 2015 period.</w:t>
      </w:r>
    </w:p>
    <w:p>
      <w:pPr>
        <w:spacing w:after="0" w:line="14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Operating expenses increased $7 million, or 4%, as compared to the 2015 period, primarily due to increases in compensation and benefits expense related to an increase in discretionary compensation.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right="260" w:firstLine="518"/>
        <w:spacing w:after="0" w:line="277" w:lineRule="auto"/>
        <w:rPr>
          <w:sz w:val="20"/>
          <w:szCs w:val="20"/>
          <w:color w:val="auto"/>
        </w:rPr>
      </w:pPr>
      <w:r>
        <w:rPr>
          <w:rFonts w:ascii="Arial" w:cs="Arial" w:eastAsia="Arial" w:hAnsi="Arial"/>
          <w:sz w:val="18"/>
          <w:szCs w:val="18"/>
          <w:color w:val="auto"/>
        </w:rPr>
        <w:t>Asset Management operating income was $82 million, a decrease of $3 million, or 4%, as compared to operating income of $85 million in the 2015 period and, as a percentage of net revenue, was 30.6%, as compared to 32.3% in the 2015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versus September 30, 2015</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Asset Management net revenue decreased $83 million, or 10%, as compared to the 2015 period. Management fees decreased $42 million, or 6%, as compared to the 2015 period, primarily due to a decrease in average AUM primarily as a result of market depreciation and a change in the mix of AUM. Incentive fees decreased $12 million, or 78%, as compared to the 2015 period, primarily due to incentive fees related to traditional investment products and mutual funds. Other revenue decreased $29 million, or 37%, as compared to the 2015 period, principally due to a $24 million gain in 2015 on the disposal of the Company’s Australian private equity business (which relates primarily to the realization of carried interest at fair value).</w:t>
      </w:r>
    </w:p>
    <w:p>
      <w:pPr>
        <w:spacing w:after="0" w:line="173"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Operating expenses decreased $11 million, or 2%, as compared to the 2015 period, primarily due to decreases in (i) compensation and benefits expense and (ii) non-compensation expense related to fund administration and outsourced services.</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Asset Management operating income was $224 million, a decrease of $71 million, or 24%, as compared to operating income of $295 million in the 2015 period and, as a percentage of net revenue, was 29.2%, as compared to 34.8% in the 2015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(12,044)</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(11,787)</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(35,700)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(39,403)</w:t>
            </w:r>
          </w:p>
        </w:tc>
      </w:tr>
      <w:tr>
        <w:trPr>
          <w:trHeight w:val="223"/>
        </w:trPr>
        <w:tc>
          <w:tcPr>
            <w:tcW w:w="59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(11,312)</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(11,092)</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(33,463)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Other Revenue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(10,803)</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r>
      <w:tr>
        <w:trPr>
          <w:trHeight w:val="223"/>
        </w:trPr>
        <w:tc>
          <w:tcPr>
            <w:tcW w:w="59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(21,895)</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(22,271)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15,298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(438,333)</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603,482</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(40,186)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(642,084)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40" w:hanging="372"/>
        <w:spacing w:after="0" w:line="264"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(i) in the nine months ended September 30, 2015, $60,219 relating to the redemption of a significant portion of the Company’s 2017 Notes and (ii) in the three month and nine month periods ended September 30, 2015, $(420,792) and $547,691, respectively, relating to the provision (benefit) pursuant to the tax receivable agreement.</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versus September 30, 2015</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remained substantially unchanged as compared to the 2015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revenue increased $20 million as compared to the 2015 period, primarily due to higher gains attributable to investments held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LFI.</w:t>
      </w:r>
    </w:p>
    <w:p>
      <w:pPr>
        <w:spacing w:after="0" w:line="211"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Operating expenses increased $454 million as compared to the 2015 period, primarily due to a gain of $421 million related to the partial extinguishment of our tax receivable obligation in the 2015 period (see Note 16 of Notes to Condensed Consolidated Financial Statements). Excluding the impact of such charge, operating expenses increased $33 million compared to the 2015 period, primarily due to an increase in compensation and benefits expense, including an increase in charges pertaining to LFI.</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Nine Months Ended September 30, 2016 versus September 30, 2015</w:t>
      </w:r>
    </w:p>
    <w:p>
      <w:pPr>
        <w:spacing w:after="0" w:line="117"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Net interest expense decreased $4 million, or 10%, as compared to the 2015 period, primarily due to the redemption of $450 million of the 2017 Notes and the issuance of $400 million aggregate principal amount of 3.75% senior notes due 2025 (the “2025 Notes”) in the 2015 period.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revenue increased $13 million as compared to the 2015 period, primarily due to higher gains attributable to investments held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LFI.</w:t>
      </w:r>
    </w:p>
    <w:p>
      <w:pPr>
        <w:spacing w:after="0" w:line="211"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Operating expenses decreased $586 million as compared to the 2015 period, including, in the 2015 period, (i) a charge of $60 million related to the redemption of a significant portion of the Company’s 2017 Notes and (ii) $548 million related to the provision pursuant to the tax receivable agreement (see Note 16 of Notes to Condensed Consolidated Financial Statements). Excluding the impact of such charges, operating expenses increased $22 million compared to the 2015 period, primarily due to an increase in compensation and benefits expense, including an increase in charges pertaining to LFI.</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also were affected in the 2015 period by the redemption of $450 million of the 2017 Notes and the issuance of the 2025 Notes. M&amp;A and Other Advisory and Asset Management fees are generally collected within 60 days of billing, while Restructuring fee collections may extend beyond 60 days, particularly those that involve bankruptcies with court-ordered holdbacks. Fees from our Private Capital Advisory (which we historically referred to as Private Fund Advisory) activities are generally collected over a four-year period from billing and typically include an interest component.</w:t>
      </w:r>
    </w:p>
    <w:p>
      <w:pPr>
        <w:spacing w:after="0" w:line="178"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The Company makes cash payments for, or in respect of, a significant portion of its incentive compensation during the first three months of each calendar year with respect to the prior year’s results. The Company also paid a special dividend in February 2016 and February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3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Nine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40" w:type="dxa"/>
            <w:vAlign w:val="bottom"/>
            <w:gridSpan w:val="4"/>
          </w:tcPr>
          <w:p>
            <w:pPr>
              <w:jc w:val="right"/>
              <w:ind w:right="105"/>
              <w:spacing w:after="0" w:line="155" w:lineRule="exact"/>
              <w:rPr>
                <w:sz w:val="20"/>
                <w:szCs w:val="20"/>
                <w:color w:val="auto"/>
              </w:rPr>
            </w:pPr>
            <w:r>
              <w:rPr>
                <w:rFonts w:ascii="Arial" w:cs="Arial" w:eastAsia="Arial" w:hAnsi="Arial"/>
                <w:sz w:val="14"/>
                <w:szCs w:val="14"/>
                <w:b w:val="1"/>
                <w:bCs w:val="1"/>
                <w:color w:val="auto"/>
              </w:rPr>
              <w:t>($ in millions)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(317.9)</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Financing activities (c)</w:t>
            </w: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1,132.1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5620"/>
              <w:spacing w:after="0"/>
              <w:rPr>
                <w:sz w:val="20"/>
                <w:szCs w:val="20"/>
                <w:color w:val="auto"/>
              </w:rPr>
            </w:pPr>
            <w:r>
              <w:rPr>
                <w:rFonts w:ascii="Arial" w:cs="Arial" w:eastAsia="Arial" w:hAnsi="Arial"/>
                <w:sz w:val="18"/>
                <w:szCs w:val="18"/>
                <w:color w:val="auto"/>
              </w:rPr>
              <w:t>54</w:t>
            </w:r>
          </w:p>
        </w:tc>
        <w:tc>
          <w:tcPr>
            <w:tcW w:w="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56" w:name="page57"/>
    <w:bookmarkEnd w:id="56"/>
    <w:p>
      <w:pPr>
        <w:spacing w:after="0"/>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9040" cy="8890"/>
                    </a:xfrm>
                    <a:prstGeom prst="rect">
                      <a:avLst/>
                    </a:prstGeom>
                    <a:noFill/>
                  </pic:spPr>
                </pic:pic>
              </a:graphicData>
            </a:graphic>
          </wp:anchor>
        </w:drawing>
        <w:t>(a)</w:t>
      </w:r>
      <w:r>
        <w:rPr>
          <w:sz w:val="20"/>
          <w:szCs w:val="20"/>
          <w:color w:val="auto"/>
        </w:rPr>
        <w:tab/>
      </w:r>
      <w:r>
        <w:rPr>
          <w:rFonts w:ascii="Arial" w:cs="Arial" w:eastAsia="Arial" w:hAnsi="Arial"/>
          <w:sz w:val="16"/>
          <w:szCs w:val="16"/>
          <w:color w:val="auto"/>
        </w:rPr>
        <w:t>Consists of the following:</w:t>
      </w:r>
    </w:p>
    <w:p>
      <w:pPr>
        <w:spacing w:after="0" w:line="230"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Nine Months Ended</w:t>
      </w:r>
    </w:p>
    <w:p>
      <w:pPr>
        <w:jc w:val="center"/>
        <w:ind w:left="69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5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5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gridSpan w:val="4"/>
          </w:tcPr>
          <w:p>
            <w:pPr>
              <w:jc w:val="right"/>
              <w:ind w:right="65"/>
              <w:spacing w:after="0" w:line="155" w:lineRule="exact"/>
              <w:rPr>
                <w:sz w:val="20"/>
                <w:szCs w:val="20"/>
                <w:color w:val="auto"/>
              </w:rPr>
            </w:pPr>
            <w:r>
              <w:rPr>
                <w:rFonts w:ascii="Arial" w:cs="Arial" w:eastAsia="Arial" w:hAnsi="Arial"/>
                <w:sz w:val="14"/>
                <w:szCs w:val="14"/>
                <w:b w:val="1"/>
                <w:bCs w:val="1"/>
                <w:color w:val="auto"/>
              </w:rPr>
              <w:t>($ 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264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Amortization of deferred expenses and stock units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276.7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246.1</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17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(1,056.7)</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Amortization and other acquisition-related costs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Provision pursuant to tax receivable agreement</w:t>
            </w:r>
          </w:p>
        </w:tc>
        <w:tc>
          <w:tcPr>
            <w:tcW w:w="17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547.7</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Gain on disposal of subsidiaries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7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19"/>
                <w:szCs w:val="19"/>
                <w:color w:val="auto"/>
              </w:rPr>
            </w:pP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(199.4)</w:t>
            </w:r>
          </w:p>
        </w:tc>
      </w:tr>
      <w:tr>
        <w:trPr>
          <w:trHeight w:val="20"/>
        </w:trPr>
        <w:tc>
          <w:tcPr>
            <w:tcW w:w="5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17" w:lineRule="exact"/>
        <w:rPr>
          <w:rFonts w:ascii="Arial" w:cs="Arial" w:eastAsia="Arial" w:hAnsi="Arial"/>
          <w:sz w:val="18"/>
          <w:szCs w:val="18"/>
          <w:color w:val="auto"/>
        </w:rPr>
      </w:pPr>
    </w:p>
    <w:p>
      <w:pPr>
        <w:ind w:left="380" w:right="20" w:hanging="372"/>
        <w:spacing w:after="0" w:line="279" w:lineRule="auto"/>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Consists primarily of purchases of shares of Class A common stock, tax withholdings related to the settlement of vested restricted stock units (“RSUs”), vested restricted stock awards and vested PRSUs, Class A common stock dividends and distributions to noncontrolling interest holders, activity relating to borrowings, including, in 2015, the redemption of a majority of the Company’s 2017 Notes and issuance of the 2025 Notes, and payments made relating to the partial extinguishment of our obligations under the tax receivable agreement.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such amounts generally being recorded in “deposits with banks and short-term investments”. In the nine month period ended September 30, 2016, as reflected on the condensed consolidated statements of financial condition, both “deposits with banks and short-term investments” and “deposits and other customer payables” increased as compared to December 31, 2015, this being due to a higher level of LFB customer-related demand deposits, primarily from clients and funds managed by LFG.</w:t>
      </w:r>
    </w:p>
    <w:p>
      <w:pPr>
        <w:spacing w:after="0" w:line="1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September 30, 2016, Lazard had approximately $854 million of cash, with such amount including approximately $431 million held at Lazard’s operations outside the U.S. Since Lazard provides for U.S. income taxes on substantially all of its unrepatriated foreign earnings, we expect that no material amount of</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additional U.S. income taxes would be recognized upon receipt of dividends or distributions of such earnings from our foreign operations.</w:t>
      </w:r>
    </w:p>
    <w:p>
      <w:pPr>
        <w:spacing w:after="0" w:line="225"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September 30, 2016, Lazard had approximately $164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$11 million (at September 30, 2016 exchange rates).</w:t>
      </w:r>
    </w:p>
    <w:p>
      <w:pPr>
        <w:spacing w:after="0" w:line="187"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table below sets forth our corporate indebtedness as of September 30, 2016 and December 31, 2015. The agreements with respect to this indebtedness are discussed in more detail in our condensed consolidated financial statements and related notes included elsewhere in this Form 10-Q and in our Form 10-K. The table, as of December 31, 2015, reflects the retrospective application of new disclosure guidance on debt issuance costs. See Note 2 of Notes to Condensed Consolidated Financial Statements.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September 30, 2016</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jc w:val="right"/>
              <w:ind w:right="200"/>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1"/>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2017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54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r>
              <w:rPr>
                <w:rFonts w:ascii="Arial" w:cs="Arial" w:eastAsia="Arial" w:hAnsi="Arial"/>
                <w:sz w:val="18"/>
                <w:szCs w:val="18"/>
                <w:u w:val="single" w:color="auto"/>
                <w:color w:val="auto"/>
              </w:rPr>
              <w:t>4</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r>
              <w:rPr>
                <w:rFonts w:ascii="Arial" w:cs="Arial" w:eastAsia="Arial" w:hAnsi="Arial"/>
                <w:sz w:val="18"/>
                <w:szCs w:val="18"/>
                <w:u w:val="single" w:color="auto"/>
                <w:color w:val="auto"/>
              </w:rPr>
              <w:t>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r>
              <w:rPr>
                <w:rFonts w:ascii="Arial" w:cs="Arial" w:eastAsia="Arial" w:hAnsi="Arial"/>
                <w:sz w:val="18"/>
                <w:szCs w:val="18"/>
                <w:u w:val="single" w:color="auto"/>
                <w:color w:val="auto"/>
              </w:rPr>
              <w:t>4</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During February 2015, Lazard Group completed an offering of the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September 30, 2016, Lazard Group was in compliance with such ratios, with its Consolidated Leverage Ratio being 1.16 to 1.00 and its Consolidated Interest Coverage Ratio being 20.06 to 1.00. In any event, no amounts were outstanding under the Amended and Restated Credit Agreement as of September 30, 2016.</w:t>
      </w:r>
    </w:p>
    <w:p>
      <w:pPr>
        <w:spacing w:after="0" w:line="16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September 30, 2016,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At September 30, 2016, total stockholders’ equity was $1,301 million, as compared to $1,367 million at December 31, 2015, including $1,243 million and $1,313 million attributable to Lazard Ltd on the respective dates. The net activity in stockholders’ equity during the nine month period ended September 30, 2016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Stockholders’ Equity - January 1, 2016</w:t>
            </w:r>
          </w:p>
        </w:tc>
        <w:tc>
          <w:tcPr>
            <w:tcW w:w="70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Purchase of Class A common stock</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Class A common stock dividends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Stockholders’ Equity - September 30, 2016</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860" w:type="dxa"/>
            <w:vAlign w:val="bottom"/>
            <w:gridSpan w:val="2"/>
            <w:vMerge w:val="continue"/>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8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Shares</w:t>
            </w:r>
          </w:p>
        </w:tc>
        <w:tc>
          <w:tcPr>
            <w:tcW w:w="17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570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3,141,526</w:t>
            </w:r>
          </w:p>
        </w:tc>
        <w:tc>
          <w:tcPr>
            <w:tcW w:w="28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2016</w:t>
            </w:r>
          </w:p>
        </w:tc>
        <w:tc>
          <w:tcPr>
            <w:tcW w:w="57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6,656,250</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620" w:firstLine="518"/>
        <w:spacing w:after="0" w:line="277" w:lineRule="auto"/>
        <w:rPr>
          <w:sz w:val="20"/>
          <w:szCs w:val="20"/>
          <w:color w:val="auto"/>
        </w:rPr>
      </w:pPr>
      <w:r>
        <w:rPr>
          <w:rFonts w:ascii="Arial" w:cs="Arial" w:eastAsia="Arial" w:hAnsi="Arial"/>
          <w:sz w:val="18"/>
          <w:szCs w:val="18"/>
          <w:color w:val="auto"/>
        </w:rPr>
        <w:t>As of September 30, 2016, a total of $191 million of share repurchase authorization remained available under the Company’s share repurchase program, which will expire on December 31, 2017.</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During the nine month period ended September 30, 2016, the Company had in place trading plans under Rule 10b5-1 of the Securities Exchange Act of 1934, pursuant to which it effected stock repurchases in the open market.</w:t>
      </w:r>
    </w:p>
    <w:p>
      <w:pPr>
        <w:spacing w:after="0" w:line="17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stockholders’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1,227,504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141,337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561,875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(exclusive of $50,031 of 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851,579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76,226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142,231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126,955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 leases (including interest)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9,183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2,096,562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688,833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957,959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17" w:lineRule="exact"/>
        <w:rPr>
          <w:rFonts w:ascii="Arial" w:cs="Arial" w:eastAsia="Arial" w:hAnsi="Arial"/>
          <w:sz w:val="18"/>
          <w:szCs w:val="18"/>
          <w:color w:val="auto"/>
        </w:rPr>
      </w:pPr>
    </w:p>
    <w:p>
      <w:pPr>
        <w:ind w:left="380" w:right="100" w:hanging="372"/>
        <w:spacing w:after="0" w:line="264"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$6,724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73" w:lineRule="exact"/>
        <w:rPr>
          <w:rFonts w:ascii="Arial" w:cs="Arial" w:eastAsia="Arial" w:hAnsi="Arial"/>
          <w:sz w:val="18"/>
          <w:szCs w:val="18"/>
          <w:color w:val="auto"/>
        </w:rPr>
      </w:pPr>
    </w:p>
    <w:p>
      <w:pPr>
        <w:ind w:left="380" w:right="80" w:hanging="372"/>
        <w:spacing w:after="0" w:line="255"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table above excludes contingent obligations, as well as any possible payments for uncertain tax positions and payments pursuant to the Company’s tax receivable agreement, given the inability to make a reasonably reliable estimate of the timing of the amounts of any such payments. At September 30, 2016, a tax receivable agreement obligation of $513,623 was recorded on the consolidated statements of financial condition. See “Critical Accounting Policies and Estimates—Income Taxes” below. See also Notes 10, 12, 13, 14 and 16 of Notes to Condensed Consolidated Financial Statements regarding information in connection with commitments, incentive plans, employee benefit plans, income taxes and tax receivable agreement obligations,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9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225"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0" w:name="page61"/>
    <w:bookmarkEnd w:id="60"/>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2015, on a consolidated basis, we recorded gross deferred tax assets of approximately $1.28 billion, with such amount partially offset by a valuation allowance of approximately $89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1" w:name="page62"/>
    <w:bookmarkEnd w:id="61"/>
    <w:p>
      <w:pPr>
        <w:ind w:left="900" w:hanging="379"/>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Certain of our tax-paying entities have individually experienced losses on a cumulative three year basis or have not yet attained a sustained level of profitability.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$89 million of deferred tax assets held by these entities as of December 31, 2015.</w:t>
      </w:r>
    </w:p>
    <w:p>
      <w:pPr>
        <w:spacing w:after="0" w:line="158"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As of December 31, 2014, the Company had a valuation allowance on substantially all of our deferred tax assets at that time. Certain of our tax-paying entities at which we had historically recorded significant valuation allowances were profitable on a cumulative basis for the three year periods ended June 30, 2015. 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At that time, we concluded that there was a sufficient history of sustained profitability at these entities that it was more likely than not that these entities would be able to realize deferred tax assets. Accordingly, during the period ended June 30, 2015, we released substantially all of the valuation allowance against the deferred tax assets held by these entities.</w:t>
      </w:r>
    </w:p>
    <w:p>
      <w:pPr>
        <w:spacing w:after="0" w:line="192"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As a result, during the year ended December 31, 2015, we recorded a deferred tax benefit of approximately $878 million, including $821 million recorded in the second quarter of 2015. We also recorded a separate deferred tax benefit of $378 million in the second quarter of 2015 that reflected the tax deductibility of payments under the tax receivable agreement. In addition, in the third quarter of 2015, we recorded a deferred tax expense of approximately $161 million relating to the reduction of a deferred tax asset as a result of the partial extinguishment of our tax receivable agreement obligation. See “— Amended and Restated Tax Receivable Agreement” below for more information regarding our accrual under the tax receivable agreement in the second quarter of 2015 and the partial extinguishment of our tax receivable agreement obligation in the third quarter of 2015.</w:t>
      </w:r>
    </w:p>
    <w:p>
      <w:pPr>
        <w:spacing w:after="0" w:line="165"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As a result of the release of our valuation allowance during 2015, our effective tax rate in the 2016 period is significantly higher than our effective tax rate for the year ended December 31, 2014. We do not expect that this increase in our effective tax rate resulting from the reduction in the valuation allowance will impact the amount of cash income taxes we will be required to pay to taxing authorities. However, as described below, payments under the Amended and Restated Tax Receivable Agreement may be required.</w:t>
      </w:r>
    </w:p>
    <w:p>
      <w:pPr>
        <w:spacing w:after="0" w:line="18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See Item 1A, “Risk Factors” in our Form 10-K and our Form 10-Q for the quarter ended March 31, 2016 and Note 14 of Notes to Condensed Consolidated Financial Statements for additional information related to income taxes.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In addition, in the third quarter of 2015, we purchased a portion of our obligation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2" w:name="page63"/>
    <w:bookmarkEnd w:id="62"/>
    <w:p>
      <w:pPr>
        <w:ind w:right="660"/>
        <w:spacing w:after="0" w:line="308" w:lineRule="auto"/>
        <w:rPr>
          <w:sz w:val="20"/>
          <w:szCs w:val="20"/>
          <w:color w:val="auto"/>
        </w:rPr>
      </w:pPr>
      <w:r>
        <w:rPr>
          <w:rFonts w:ascii="Arial" w:cs="Arial" w:eastAsia="Arial" w:hAnsi="Arial"/>
          <w:sz w:val="17"/>
          <w:szCs w:val="17"/>
          <w:color w:val="auto"/>
        </w:rPr>
        <w:t>relating to the Amended and Restated Tax Receivable Agreement, which had the effect of reducing such liability. See Note 16 of Notes to Condensed Consolidated Financial Statements for additional information regarding the Amended and Restated Tax Receivable Agreement.</w:t>
      </w:r>
    </w:p>
    <w:p>
      <w:pPr>
        <w:spacing w:after="0" w:line="14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income tax expense.</w:t>
      </w:r>
    </w:p>
    <w:p>
      <w:pPr>
        <w:spacing w:after="0" w:line="158"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September 30, 2016 and December 31, 2015 was $514 million and $524 million, respectively, and is recorded in “tax receivable agreement obligation” on the condensed consolidated statements of financial condition.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70"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7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3"/>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3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Equities (a)</w:t>
            </w:r>
          </w:p>
        </w:tc>
        <w:tc>
          <w:tcPr>
            <w:tcW w:w="3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82,062</w:t>
            </w:r>
          </w:p>
        </w:tc>
        <w:tc>
          <w:tcPr>
            <w:tcW w:w="6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85,419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3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Alternative investments</w:t>
            </w:r>
          </w:p>
        </w:tc>
        <w:tc>
          <w:tcPr>
            <w:tcW w:w="3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3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123,719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157,343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Other investments owned:</w:t>
            </w: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3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110,076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Interest-bearing deposits (c)</w:t>
            </w: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 and other</w:t>
            </w:r>
          </w:p>
        </w:tc>
        <w:tc>
          <w:tcPr>
            <w:tcW w:w="3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investments owned</w:t>
            </w:r>
          </w:p>
        </w:tc>
        <w:tc>
          <w:tcPr>
            <w:tcW w:w="3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132,466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160,486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Subtotal</w:t>
            </w:r>
          </w:p>
        </w:tc>
        <w:tc>
          <w:tcPr>
            <w:tcW w:w="3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256,185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Add:</w:t>
            </w: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method (d)</w:t>
            </w:r>
          </w:p>
        </w:tc>
        <w:tc>
          <w:tcPr>
            <w:tcW w:w="3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Private equity consolidated, not owned (e)</w:t>
            </w: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LFI (f)</w:t>
            </w:r>
          </w:p>
        </w:tc>
        <w:tc>
          <w:tcPr>
            <w:tcW w:w="3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182,612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 investments</w:t>
            </w:r>
          </w:p>
        </w:tc>
        <w:tc>
          <w:tcPr>
            <w:tcW w:w="34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462,758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00" w:type="dxa"/>
            <w:vAlign w:val="bottom"/>
            <w:vMerge w:val="restart"/>
          </w:tcPr>
          <w:p>
            <w:pPr>
              <w:jc w:val="right"/>
              <w:ind w:right="1970"/>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63" w:name="page64"/>
    <w:bookmarkEnd w:id="63"/>
    <w:p>
      <w:pPr>
        <w:spacing w:after="0"/>
        <w:tabs>
          <w:tab w:leader="none" w:pos="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2090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9040" cy="8890"/>
                    </a:xfrm>
                    <a:prstGeom prst="rect">
                      <a:avLst/>
                    </a:prstGeom>
                    <a:noFill/>
                  </pic:spPr>
                </pic:pic>
              </a:graphicData>
            </a:graphic>
          </wp:anchor>
        </w:drawing>
        <w:t>(a)</w:t>
      </w:r>
      <w:r>
        <w:rPr>
          <w:sz w:val="20"/>
          <w:szCs w:val="20"/>
          <w:color w:val="auto"/>
        </w:rPr>
        <w:tab/>
      </w:r>
      <w:r>
        <w:rPr>
          <w:rFonts w:ascii="Arial" w:cs="Arial" w:eastAsia="Arial" w:hAnsi="Arial"/>
          <w:sz w:val="16"/>
          <w:szCs w:val="16"/>
          <w:color w:val="auto"/>
        </w:rPr>
        <w:t>At September 30, 2016 and December 31, 2015, seed investments in directly owned equity securities were invested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1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Financials</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Industrial</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right="300" w:hanging="372"/>
        <w:spacing w:after="0" w:line="342"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$34 million and $30 million as of September 30, 2016 and December 31, 2015, respectively.</w:t>
      </w:r>
    </w:p>
    <w:p>
      <w:pPr>
        <w:spacing w:after="0" w:line="15" w:lineRule="exact"/>
        <w:rPr>
          <w:rFonts w:ascii="Arial" w:cs="Arial" w:eastAsia="Arial" w:hAnsi="Arial"/>
          <w:sz w:val="16"/>
          <w:szCs w:val="16"/>
          <w:color w:val="auto"/>
        </w:rPr>
      </w:pPr>
    </w:p>
    <w:p>
      <w:pPr>
        <w:ind w:left="380" w:right="80" w:hanging="372"/>
        <w:spacing w:after="0" w:line="259"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Short to medium 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78" w:lineRule="exact"/>
        <w:rPr>
          <w:rFonts w:ascii="Arial" w:cs="Arial" w:eastAsia="Arial" w:hAnsi="Arial"/>
          <w:sz w:val="18"/>
          <w:szCs w:val="18"/>
          <w:color w:val="auto"/>
        </w:rPr>
      </w:pPr>
    </w:p>
    <w:p>
      <w:pPr>
        <w:ind w:left="380" w:hanging="372"/>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117" w:lineRule="exact"/>
        <w:rPr>
          <w:rFonts w:ascii="Arial" w:cs="Arial" w:eastAsia="Arial" w:hAnsi="Arial"/>
          <w:sz w:val="18"/>
          <w:szCs w:val="18"/>
          <w:color w:val="auto"/>
        </w:rPr>
      </w:pPr>
    </w:p>
    <w:p>
      <w:pPr>
        <w:jc w:val="both"/>
        <w:ind w:left="380" w:right="100" w:hanging="372"/>
        <w:spacing w:after="0" w:line="264"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73" w:lineRule="exact"/>
        <w:rPr>
          <w:rFonts w:ascii="Arial" w:cs="Arial" w:eastAsia="Arial" w:hAnsi="Arial"/>
          <w:sz w:val="18"/>
          <w:szCs w:val="18"/>
          <w:color w:val="auto"/>
        </w:rPr>
      </w:pPr>
    </w:p>
    <w:p>
      <w:pPr>
        <w:ind w:left="380" w:hanging="372"/>
        <w:spacing w:after="0" w:line="259"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At September 30, 2016 and December 31, 2015, total investments with a fair value of $455 million and $478 million, respectively, included $1 million at each such date, or less than 1%, respectively, of investments that were classified as Level 3 investments and $140 million and $123 million, respectively, or 31% and 26%,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18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 of September 30, 2016 and December 31, 2015, the Company held seed investments of approximately $124 million and $157 million, respectively. Seed investments held in entities in which the Company maintained a controlling interest were $36 million in nine entities as of September 30, 2016, as compared to $60 million in twelve entities as of December 31, 2015.</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of September 30, 2016 and December 31, 2015, the Company did not consolidate or deconsolidate any seed investment entities. As such, 100% of the recorded balance of seed investments as of September 30, 2016 and December 31, 2015 represented the Company’s economic interest in the seed investments. See “—Consolidation of Variable Interest Entities” below for more information on the Company’s policy regarding the consolidation of seed investment entities.</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4" w:name="page65"/>
    <w:bookmarkEnd w:id="64"/>
    <w:p>
      <w:pPr>
        <w:jc w:val="both"/>
        <w:ind w:right="14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100" w:hanging="379"/>
        <w:spacing w:after="0" w:line="286"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100" w:hanging="379"/>
        <w:spacing w:after="0" w:line="30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right="60"/>
        <w:spacing w:after="0" w:line="308" w:lineRule="auto"/>
        <w:rPr>
          <w:sz w:val="20"/>
          <w:szCs w:val="20"/>
          <w:color w:val="auto"/>
        </w:rPr>
      </w:pPr>
      <w:r>
        <w:rPr>
          <w:rFonts w:ascii="Arial" w:cs="Arial" w:eastAsia="Arial" w:hAnsi="Arial"/>
          <w:sz w:val="17"/>
          <w:szCs w:val="17"/>
          <w:color w:val="auto"/>
        </w:rPr>
        <w:t>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4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Equity Market Price Risk—At September 30, 2016 and December 31, 2015, the Company’s exposure to equity market price risk in its investment portfolio, which primarily relates to investments in equity securities, equity funds and hedge funds, was approximately $100 million and $129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$1.1 million and</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$1.8 million in the carrying value of such investments as of September 30, 2016 and December 31, 2015, respectively, including the effect of the hedging transactions.</w:t>
      </w:r>
    </w:p>
    <w:p>
      <w:pPr>
        <w:spacing w:after="0" w:line="18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Interest Rate/Credit Spread Risk—At both September 30, 2016 and December 31, 2015, the Company’s exposure to interest rate and credit spread risk in its investment portfolio related to investments in debt securities or funds which invest primarily in debt securities was $50 million.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$0.8 million in the carrying value of such investments as of both September 30, 2016 and December 31, 2015, including the effect of the hedging transactions.</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Foreign Exchange Rate Risk—At September 30, 2016 and December 31, 2015, the Company’s exposure to foreign exchange rate risk in its investment portfolio, which primarily relates to investments in foreign currency denominated equity and debt securities, was $57 million and $64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$1.5 million and $1.0 million in the carrying value of such investments as of September 30, 2016 and December 31, 2015, respectively, including the effect of the hedging transactions.</w:t>
      </w:r>
    </w:p>
    <w:p>
      <w:pPr>
        <w:spacing w:after="0" w:line="193" w:lineRule="exact"/>
        <w:rPr>
          <w:sz w:val="20"/>
          <w:szCs w:val="20"/>
          <w:color w:val="auto"/>
        </w:rPr>
      </w:pPr>
    </w:p>
    <w:p>
      <w:pPr>
        <w:ind w:right="260" w:firstLine="518"/>
        <w:spacing w:after="0" w:line="302"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September 30, 2016 and December 31, 2015, the Company’s exposure to changes in fair value of such investments was approximately $110 million and $84 million, respectively. The Company estimates that a hypothetical 10% adverse change in fair value would result in a decrease of approximately $11.0 million and $8.4 million in the carrying value of such investments as of September 30, 2016 and December 31, 2015, respectively.</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September 30, 2016, total receivables amounted to $538 million, net of an allowance for doubtful accounts of $13 million. As of that date, Financial Advisory and Asset Management fees, and customers and other receivables comprised 82% and 18% of total receivables, respectively. At December 31, 2015, total receivables amounted to $497 million, net of an allowance for doubtful accounts of $13 million. As of that date, Financial Advisory and Asset Management fees, and customers and other receivables comprised 85% and 15% of total receivables, respectively. At September 30, 2016 and December 31, 2015, the Company had receivables past due or deemed uncollectible of approximately $22 million and $20 million, respectively. See also “Critical Accounting Policies and Estimates—Revenue Recognition” above and Note 3 of Notes to Condensed Consolidated Financial Statements for additional information regarding receivables.</w:t>
      </w:r>
    </w:p>
    <w:p>
      <w:pPr>
        <w:spacing w:after="0" w:line="18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September 30, 2016 and December 31, 2015, customer receivables included $49 million and $38 million of LFB loans, respectively,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$2 million and $1 million at September 30, 2016 and December 31, 2015, respectively, and derivative liabilities, excluding the derivative liability arising from the Company’s obligation pertaining to LFI and other similar deferred compensation arrangements, amounted to $11 million and $2 million at such respective dates.</w:t>
      </w:r>
    </w:p>
    <w:p>
      <w:pPr>
        <w:spacing w:after="0" w:line="158"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$175 million and $194 million at September 30, 2016 and December 31, 2015,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September 30, 2016, Lazard estimates that its annual operating income relating to cash and cash equivalents would increase by approximately $9 million in the event interest rates were to increase by 1% and decrease by approximately $9 million if rates were to decrease by 1%.</w:t>
      </w:r>
    </w:p>
    <w:p>
      <w:pPr>
        <w:spacing w:after="0" w:line="147" w:lineRule="exact"/>
        <w:rPr>
          <w:sz w:val="20"/>
          <w:szCs w:val="20"/>
          <w:color w:val="auto"/>
        </w:rPr>
      </w:pPr>
    </w:p>
    <w:p>
      <w:pPr>
        <w:jc w:val="both"/>
        <w:ind w:right="40" w:firstLine="518"/>
        <w:spacing w:after="0" w:line="288" w:lineRule="auto"/>
        <w:rPr>
          <w:sz w:val="20"/>
          <w:szCs w:val="20"/>
          <w:color w:val="auto"/>
        </w:rPr>
      </w:pPr>
      <w:r>
        <w:rPr>
          <w:rFonts w:ascii="Arial" w:cs="Arial" w:eastAsia="Arial" w:hAnsi="Arial"/>
          <w:sz w:val="16"/>
          <w:szCs w:val="16"/>
          <w:color w:val="auto"/>
        </w:rPr>
        <w:t>As of September 30, 2016, the Company’s cash and cash equivalents totaled approximately $854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w:t>
      </w:r>
    </w:p>
    <w:p>
      <w:pPr>
        <w:ind w:right="280" w:firstLine="8"/>
        <w:spacing w:after="0" w:line="323" w:lineRule="auto"/>
        <w:tabs>
          <w:tab w:leader="none" w:pos="31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7" w:name="page68"/>
    <w:bookmarkEnd w:id="67"/>
    <w:p>
      <w:pPr>
        <w:ind w:right="420"/>
        <w:spacing w:after="0" w:line="277" w:lineRule="auto"/>
        <w:rPr>
          <w:sz w:val="20"/>
          <w:szCs w:val="20"/>
          <w:color w:val="auto"/>
        </w:rPr>
      </w:pPr>
      <w:r>
        <w:rPr>
          <w:rFonts w:ascii="Arial" w:cs="Arial" w:eastAsia="Arial" w:hAnsi="Arial"/>
          <w:sz w:val="18"/>
          <w:szCs w:val="18"/>
          <w:color w:val="auto"/>
        </w:rPr>
        <w:t>and forms, and that such information is accumulated and communicated to our management, including our Chief Executive Officer and Chief Financial Officer, as appropriate, to allow timely decisions regarding required disclosure.</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740" w:firstLine="518"/>
        <w:spacing w:after="0" w:line="308" w:lineRule="auto"/>
        <w:rPr>
          <w:sz w:val="20"/>
          <w:szCs w:val="20"/>
          <w:color w:val="auto"/>
        </w:rPr>
      </w:pPr>
      <w:r>
        <w:rPr>
          <w:rFonts w:ascii="Arial" w:cs="Arial" w:eastAsia="Arial" w:hAnsi="Arial"/>
          <w:sz w:val="17"/>
          <w:szCs w:val="17"/>
          <w:color w:val="auto"/>
        </w:rPr>
        <w:t>There were no material changes from the risk factors previously disclosed in the Company’s Annual Report on Form 10-K for the year ended December 31, 2015 and the Company’s Quarterly Report on Form 10-Q for the quarters ended March 31, 2016 and June 30, 2016.</w:t>
      </w:r>
    </w:p>
    <w:p>
      <w:pPr>
        <w:spacing w:after="0" w:line="25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Company transferred unregistered equity securities as part of a business acquisition in the third quarter of 2016. See Note 10 of Notes to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following table sets forth information regarding Lazard’s purchases of its Class A common stock on a monthly basis during the third quarter of 2016. Share repurchases are recorded on a trade date basis.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per Share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left="278"/>
              <w:spacing w:after="0"/>
              <w:rPr>
                <w:sz w:val="20"/>
                <w:szCs w:val="20"/>
                <w:color w:val="auto"/>
              </w:rPr>
            </w:pPr>
            <w:r>
              <w:rPr>
                <w:rFonts w:ascii="Arial" w:cs="Arial" w:eastAsia="Arial" w:hAnsi="Arial"/>
                <w:sz w:val="14"/>
                <w:szCs w:val="14"/>
                <w:b w:val="1"/>
                <w:bCs w:val="1"/>
                <w:color w:val="auto"/>
                <w:w w:val="91"/>
              </w:rPr>
              <w:t>Programs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July 1 – July 31, 2016</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450,000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31.73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450,000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210.3</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August 1 – August 31, 2016</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34.43</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162,958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204.7</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1,211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32.16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September 1 – September 30, 2016</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397,200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35.87</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397,200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190.5</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1,010,158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1,010,158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190.5</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38,085</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36.70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2090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380" w:right="20" w:hanging="372"/>
        <w:spacing w:after="0" w:line="277"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During the nine months ended September 30, 2016 and since 2013, the Board of Directors of Lazard authorized the repurchase of Class A common stock as set forth in the table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Date</w:t>
            </w: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Repurchase</w:t>
            </w:r>
          </w:p>
        </w:tc>
        <w:tc>
          <w:tcPr>
            <w:tcW w:w="21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Expiration</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Authorization</w:t>
            </w:r>
          </w:p>
        </w:tc>
        <w:tc>
          <w:tcPr>
            <w:tcW w:w="21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2013</w:t>
            </w:r>
          </w:p>
        </w:tc>
        <w:tc>
          <w:tcPr>
            <w:tcW w:w="23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December 31, 2015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April 2014</w:t>
            </w:r>
          </w:p>
        </w:tc>
        <w:tc>
          <w:tcPr>
            <w:tcW w:w="272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9"/>
                <w:szCs w:val="19"/>
                <w:color w:val="auto"/>
              </w:rPr>
            </w:pPr>
          </w:p>
        </w:tc>
        <w:tc>
          <w:tcPr>
            <w:tcW w:w="2100" w:type="dxa"/>
            <w:vAlign w:val="bottom"/>
          </w:tcPr>
          <w:p>
            <w:pPr>
              <w:ind w:left="680"/>
              <w:spacing w:after="0"/>
              <w:rPr>
                <w:sz w:val="20"/>
                <w:szCs w:val="20"/>
                <w:color w:val="auto"/>
              </w:rPr>
            </w:pPr>
            <w:r>
              <w:rPr>
                <w:rFonts w:ascii="Arial" w:cs="Arial" w:eastAsia="Arial" w:hAnsi="Arial"/>
                <w:sz w:val="18"/>
                <w:szCs w:val="18"/>
                <w:color w:val="auto"/>
                <w:w w:val="88"/>
              </w:rPr>
              <w:t>December 31, 2015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February 2015</w:t>
            </w:r>
          </w:p>
        </w:tc>
        <w:tc>
          <w:tcPr>
            <w:tcW w:w="27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10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December 31, 2016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January 2016</w:t>
            </w:r>
          </w:p>
        </w:tc>
        <w:tc>
          <w:tcPr>
            <w:tcW w:w="272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19"/>
                <w:szCs w:val="19"/>
                <w:color w:val="auto"/>
              </w:rPr>
            </w:pPr>
          </w:p>
        </w:tc>
        <w:tc>
          <w:tcPr>
            <w:tcW w:w="2100" w:type="dxa"/>
            <w:vAlign w:val="bottom"/>
          </w:tcPr>
          <w:p>
            <w:pPr>
              <w:ind w:left="680"/>
              <w:spacing w:after="0"/>
              <w:rPr>
                <w:sz w:val="20"/>
                <w:szCs w:val="20"/>
                <w:color w:val="auto"/>
              </w:rPr>
            </w:pPr>
            <w:r>
              <w:rPr>
                <w:rFonts w:ascii="Arial" w:cs="Arial" w:eastAsia="Arial" w:hAnsi="Arial"/>
                <w:sz w:val="18"/>
                <w:szCs w:val="18"/>
                <w:color w:val="auto"/>
                <w:w w:val="88"/>
              </w:rPr>
              <w:t>December 31, 2017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April 2016</w:t>
            </w:r>
          </w:p>
        </w:tc>
        <w:tc>
          <w:tcPr>
            <w:tcW w:w="27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240" w:type="dxa"/>
            <w:vAlign w:val="bottom"/>
            <w:shd w:val="clear" w:color="auto" w:fill="CFF0FC"/>
          </w:tcPr>
          <w:p>
            <w:pPr>
              <w:spacing w:after="0"/>
              <w:rPr>
                <w:sz w:val="19"/>
                <w:szCs w:val="19"/>
                <w:color w:val="auto"/>
              </w:rPr>
            </w:pPr>
          </w:p>
        </w:tc>
        <w:tc>
          <w:tcPr>
            <w:tcW w:w="210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December 31, 2017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9" w:name="page70"/>
    <w:bookmarkEnd w:id="69"/>
    <w:p>
      <w:pPr>
        <w:ind w:left="380" w:right="60"/>
        <w:spacing w:after="0" w:line="276" w:lineRule="auto"/>
        <w:rPr>
          <w:sz w:val="20"/>
          <w:szCs w:val="20"/>
          <w:color w:val="auto"/>
        </w:rPr>
      </w:pPr>
      <w:r>
        <w:rPr>
          <w:rFonts w:ascii="Arial" w:cs="Arial" w:eastAsia="Arial" w:hAnsi="Arial"/>
          <w:sz w:val="17"/>
          <w:szCs w:val="17"/>
          <w:color w:val="auto"/>
        </w:rPr>
        <w:t>The share repurchase program is used primarily to offset a portion of the shares that have been or will be issued under the 2008 Plan and the 2005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64" w:lineRule="exact"/>
        <w:rPr>
          <w:sz w:val="20"/>
          <w:szCs w:val="20"/>
          <w:color w:val="auto"/>
        </w:rPr>
      </w:pPr>
    </w:p>
    <w:p>
      <w:pPr>
        <w:ind w:left="380" w:right="20" w:hanging="372"/>
        <w:spacing w:after="0" w:line="257"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Under the terms of the 2008 Plan and the 2005 Plan, which expired in the second quarter of 2015, upon the vesting of RSUs, PRSUs and delivery of restricted Class A common stock, shares of Class A common stock may be withheld by the Company to meet the minimum statutory tax withholding requirements. During the three month period ended September 30, 2016, the Company satisfied such obligations in lieu of issuing (i) 34,490 shares of Class A common stock upon the vesting of 293,668 RSUs and (ii) 3,595 shares of Class A common stock upon the vesting of 72,819 shares of restricted Class A common stock.</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October 27, 2016, the Company entered into Amendment No.1 to the Amended and Restated Operating Agreement of Lazard Group, dated as of October, 26, 2015, to update certain provisions regarding the management of Lazard Group by the managing members of Lazard Group, which are controlled by Lazard Ltd.</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620" w:type="dxa"/>
            <w:vAlign w:val="bottom"/>
          </w:tcPr>
          <w:p>
            <w:pPr>
              <w:ind w:left="4540"/>
              <w:spacing w:after="0"/>
              <w:rPr>
                <w:sz w:val="20"/>
                <w:szCs w:val="20"/>
                <w:color w:val="auto"/>
              </w:rPr>
            </w:pPr>
            <w:r>
              <w:rPr>
                <w:rFonts w:ascii="Arial" w:cs="Arial" w:eastAsia="Arial" w:hAnsi="Arial"/>
                <w:sz w:val="18"/>
                <w:szCs w:val="18"/>
                <w:b w:val="1"/>
                <w:bCs w:val="1"/>
                <w:color w:val="auto"/>
              </w:rPr>
              <w:t>PART IV</w:t>
            </w:r>
          </w:p>
        </w:tc>
      </w:tr>
      <w:tr>
        <w:trPr>
          <w:trHeight w:val="324"/>
        </w:trPr>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Item 6.</w:t>
            </w:r>
          </w:p>
        </w:tc>
        <w:tc>
          <w:tcPr>
            <w:tcW w:w="10620" w:type="dxa"/>
            <w:vAlign w:val="bottom"/>
          </w:tcPr>
          <w:p>
            <w:pPr>
              <w:ind w:left="340"/>
              <w:spacing w:after="0"/>
              <w:rPr>
                <w:sz w:val="20"/>
                <w:szCs w:val="20"/>
                <w:color w:val="auto"/>
              </w:rPr>
            </w:pPr>
            <w:r>
              <w:rPr>
                <w:rFonts w:ascii="Arial" w:cs="Arial" w:eastAsia="Arial" w:hAnsi="Arial"/>
                <w:sz w:val="18"/>
                <w:szCs w:val="18"/>
                <w:b w:val="1"/>
                <w:bCs w:val="1"/>
                <w:color w:val="auto"/>
              </w:rPr>
              <w:t>Exhibits</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3.1</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Certificate of Incorporation and Memorandum of Association of the Registrant (incorporated by reference to Exhibit 3.1 to the Registrant’s</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Certificate of Incorporation in Change of Name of the Registrant (incorporated by reference to Exhibit 3.2 to the Registrant’s Registration</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Amended and Restated Bye-Laws of Lazard Ltd (incorporated by reference to Exhibit 3.3 to the Registrant’s Quarterly Report (File No. 001-</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32492) on Form 10-Q filed on June 16,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First Amendment to Amended and Restated Bye-Laws of Lazard Ltd (incorporated by reference to Exhibit 3.4 to the Registrant’s Quarterly</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10620" w:type="dxa"/>
            <w:vAlign w:val="bottom"/>
          </w:tcPr>
          <w:p>
            <w:pPr>
              <w:ind w:left="220"/>
              <w:spacing w:after="0"/>
              <w:rPr>
                <w:sz w:val="20"/>
                <w:szCs w:val="20"/>
                <w:color w:val="auto"/>
              </w:rPr>
            </w:pPr>
            <w:r>
              <w:rPr>
                <w:rFonts w:ascii="Arial" w:cs="Arial" w:eastAsia="Arial" w:hAnsi="Arial"/>
                <w:sz w:val="18"/>
                <w:szCs w:val="18"/>
                <w:color w:val="auto"/>
                <w:w w:val="96"/>
              </w:rPr>
              <w:t>Second Amendment to the Amended and Restated Bye-Laws of Lazard Ltd (incorporated by reference to Exhibit 3.5 to the Registrant’s</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4.1</w:t>
            </w: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Form of Specimen Certificate for Class A common stock (incorporated by reference to Exhibit 4.1 to the Registrant’s Registration Statement</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(File No. 333-121407) on Form S-1/A filed on April 11,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4.2</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Indenture, dated as of May 10, 2005, by and between Lazard Group LLC and The Bank of New York, as Trustee (incorporated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Fourth Supplemental Indenture, dated as of June 21, 2007, between Lazard Group LLC and The Bank of New York, as trustee (incorporated by</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Fifth Supplemental Indenture, dated as of November 14, 2013, between Lazard Group LLC and The Bank of New York Mellon, as trustee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4.1 to the Registrant’s Current Report on Form 8-K (File No. 001-32492) filed on November 14, 2013).</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4.5</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Sixth Supplemental Indenture, dated as of February 13, 2015, between Lazard Group LLC and The Bank of New York Mellon, as trustee</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(incorporated by reference to Exhibit 4.1 of the Registrant’s Current Report on Form 8-K (File No. 001-32492) filed on February 13, 2015).</w:t>
            </w:r>
          </w:p>
        </w:tc>
      </w:tr>
      <w:tr>
        <w:trPr>
          <w:trHeight w:val="338"/>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10620" w:type="dxa"/>
            <w:vAlign w:val="bottom"/>
          </w:tcPr>
          <w:p>
            <w:pPr>
              <w:ind w:left="220"/>
              <w:spacing w:after="0"/>
              <w:rPr>
                <w:sz w:val="20"/>
                <w:szCs w:val="20"/>
                <w:color w:val="auto"/>
              </w:rPr>
            </w:pPr>
            <w:r>
              <w:rPr>
                <w:rFonts w:ascii="Arial" w:cs="Arial" w:eastAsia="Arial" w:hAnsi="Arial"/>
                <w:sz w:val="18"/>
                <w:szCs w:val="18"/>
                <w:color w:val="auto"/>
              </w:rPr>
              <w:t>Form of Senior Note (included in Exhibits 4.3, 4.4 and 4.5).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Amended and Restated Operating Agreement of Lazard Group LLC, dated as of October 26, 2015 (incorporated by reference to Exhibit 10.1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Registrant’s Quarterly Report (File No. 001-32492) on Form 10-Q filed on October 28, 2015).</w:t>
            </w:r>
          </w:p>
        </w:tc>
      </w:tr>
      <w:tr>
        <w:trPr>
          <w:trHeight w:val="338"/>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10.2</w:t>
            </w:r>
          </w:p>
        </w:tc>
        <w:tc>
          <w:tcPr>
            <w:tcW w:w="10620" w:type="dxa"/>
            <w:vAlign w:val="bottom"/>
          </w:tcPr>
          <w:p>
            <w:pPr>
              <w:ind w:left="220"/>
              <w:spacing w:after="0"/>
              <w:rPr>
                <w:sz w:val="20"/>
                <w:szCs w:val="20"/>
                <w:color w:val="auto"/>
              </w:rPr>
            </w:pPr>
            <w:r>
              <w:rPr>
                <w:rFonts w:ascii="Arial" w:cs="Arial" w:eastAsia="Arial" w:hAnsi="Arial"/>
                <w:sz w:val="18"/>
                <w:szCs w:val="18"/>
                <w:color w:val="auto"/>
              </w:rPr>
              <w:t>Amendment No.1 to Amended and Restated Operating Agreement of Lazard Group LLC, dated as of October 27, 2016.</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10.3</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Second Amended and Restated Tax Receivable Agreement, dated as of October 26, 2015, by and among Ltd Sub A, Ltd Sub B and LTBP Trust</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10.2 to the Registrant’s Quarterly Report (File No. 001-32492) on Form 10-Q filed on October 28, 2015).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10.4</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Lease, dated as of January 27, 1994, by and between Rockefeller Center Properties and Lazard Frères &amp; Co. LLC (incorporated by reference to</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10.5</w:t>
            </w:r>
          </w:p>
        </w:tc>
        <w:tc>
          <w:tcPr>
            <w:tcW w:w="10620" w:type="dxa"/>
            <w:vAlign w:val="bottom"/>
          </w:tcPr>
          <w:p>
            <w:pPr>
              <w:ind w:left="220"/>
              <w:spacing w:after="0"/>
              <w:rPr>
                <w:sz w:val="20"/>
                <w:szCs w:val="20"/>
                <w:color w:val="auto"/>
              </w:rPr>
            </w:pPr>
            <w:r>
              <w:rPr>
                <w:rFonts w:ascii="Arial" w:cs="Arial" w:eastAsia="Arial" w:hAnsi="Arial"/>
                <w:sz w:val="18"/>
                <w:szCs w:val="18"/>
                <w:color w:val="auto"/>
                <w:w w:val="90"/>
              </w:rPr>
              <w:t>Amendment dated as of February 16, 2011, by and among RCPI Landmark Properties, L.L.C. (as the successor in interest to Rockefeller Center</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Properties), RCPI 30 Rock 22234849, L.L.C. and Lazard Group LLC (as the successor in interest to Lazard Frères &amp; Co. LLC), to the Lease</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dated as of January 27, 1994, by and among Rockefeller Center Properties and Lazard Frères &amp; Co. LLC (incorporated by reference to Exhibit</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23"/>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10.6</w:t>
            </w: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Occupational Lease, dated as of August 9, 2002, by and among Burford (Stratton) Nominee 1 Limited, Burford (Stratton) Nominee 2 Limited,</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Burford (Stratton) Limited, Lazard &amp; Co., Limited and Lazard LLC (incorporated by reference to Exhibit 10.21 to the Registrant’s Registration</w:t>
            </w:r>
          </w:p>
        </w:tc>
      </w:tr>
      <w:tr>
        <w:trPr>
          <w:trHeight w:val="216"/>
        </w:trPr>
        <w:tc>
          <w:tcPr>
            <w:tcW w:w="82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Statement (File No. 333-121407) on Form S-1/A filed on</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February 11, 2005).</w:t>
            </w:r>
          </w:p>
        </w:tc>
      </w:tr>
      <w:tr>
        <w:trPr>
          <w:trHeight w:val="323"/>
        </w:trPr>
        <w:tc>
          <w:tcPr>
            <w:tcW w:w="820" w:type="dxa"/>
            <w:vAlign w:val="bottom"/>
          </w:tcPr>
          <w:p>
            <w:pPr>
              <w:jc w:val="right"/>
              <w:ind w:right="230"/>
              <w:spacing w:after="0"/>
              <w:rPr>
                <w:sz w:val="20"/>
                <w:szCs w:val="20"/>
                <w:color w:val="auto"/>
              </w:rPr>
            </w:pPr>
            <w:r>
              <w:rPr>
                <w:rFonts w:ascii="Arial" w:cs="Arial" w:eastAsia="Arial" w:hAnsi="Arial"/>
                <w:sz w:val="18"/>
                <w:szCs w:val="18"/>
                <w:color w:val="auto"/>
              </w:rPr>
              <w:t>10.7*</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Lazard Ltd 2005 Equity Incentive Plan (incorporated by reference to Exhibit 10.21 to the Registrant’s Registration Statement (File No. 333-</w:t>
            </w:r>
          </w:p>
        </w:tc>
      </w:tr>
      <w:tr>
        <w:trPr>
          <w:trHeight w:val="230"/>
        </w:trPr>
        <w:tc>
          <w:tcPr>
            <w:tcW w:w="82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121407) on Form S-1/A filed on May 2, 2005).</w:t>
            </w:r>
          </w:p>
        </w:tc>
      </w:tr>
      <w:tr>
        <w:trPr>
          <w:trHeight w:val="554"/>
        </w:trPr>
        <w:tc>
          <w:tcPr>
            <w:tcW w:w="820" w:type="dxa"/>
            <w:vAlign w:val="bottom"/>
          </w:tcPr>
          <w:p>
            <w:pPr>
              <w:spacing w:after="0"/>
              <w:rPr>
                <w:sz w:val="24"/>
                <w:szCs w:val="24"/>
                <w:color w:val="auto"/>
              </w:rPr>
            </w:pPr>
          </w:p>
        </w:tc>
        <w:tc>
          <w:tcPr>
            <w:tcW w:w="10620" w:type="dxa"/>
            <w:vAlign w:val="bottom"/>
          </w:tcPr>
          <w:p>
            <w:pPr>
              <w:ind w:left="4800"/>
              <w:spacing w:after="0"/>
              <w:rPr>
                <w:sz w:val="20"/>
                <w:szCs w:val="20"/>
                <w:color w:val="auto"/>
              </w:rPr>
            </w:pPr>
            <w:r>
              <w:rPr>
                <w:rFonts w:ascii="Arial" w:cs="Arial" w:eastAsia="Arial" w:hAnsi="Arial"/>
                <w:sz w:val="18"/>
                <w:szCs w:val="18"/>
                <w:color w:val="auto"/>
              </w:rPr>
              <w:t>69</w:t>
            </w:r>
          </w:p>
        </w:tc>
      </w:tr>
      <w:tr>
        <w:trPr>
          <w:trHeight w:val="115"/>
        </w:trPr>
        <w:tc>
          <w:tcPr>
            <w:tcW w:w="820" w:type="dxa"/>
            <w:vAlign w:val="bottom"/>
            <w:tcBorders>
              <w:bottom w:val="single" w:sz="8" w:color="9A9A9A"/>
            </w:tcBorders>
          </w:tcPr>
          <w:p>
            <w:pPr>
              <w:spacing w:after="0"/>
              <w:rPr>
                <w:sz w:val="10"/>
                <w:szCs w:val="10"/>
                <w:color w:val="auto"/>
              </w:rPr>
            </w:pPr>
          </w:p>
        </w:tc>
        <w:tc>
          <w:tcPr>
            <w:tcW w:w="10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860" w:type="dxa"/>
            <w:vAlign w:val="bottom"/>
          </w:tcPr>
          <w:p>
            <w:pPr>
              <w:ind w:left="100"/>
              <w:spacing w:after="0"/>
              <w:rPr>
                <w:sz w:val="20"/>
                <w:szCs w:val="20"/>
                <w:color w:val="auto"/>
              </w:rPr>
            </w:pPr>
            <w:r>
              <w:rPr>
                <w:rFonts w:ascii="Arial" w:cs="Arial" w:eastAsia="Arial" w:hAnsi="Arial"/>
                <w:sz w:val="18"/>
                <w:szCs w:val="18"/>
                <w:color w:val="auto"/>
              </w:rPr>
              <w:t>10.8*</w:t>
            </w:r>
          </w:p>
        </w:tc>
        <w:tc>
          <w:tcPr>
            <w:tcW w:w="10580" w:type="dxa"/>
            <w:vAlign w:val="bottom"/>
          </w:tcPr>
          <w:p>
            <w:pPr>
              <w:ind w:left="180"/>
              <w:spacing w:after="0"/>
              <w:rPr>
                <w:sz w:val="20"/>
                <w:szCs w:val="20"/>
                <w:color w:val="auto"/>
              </w:rPr>
            </w:pPr>
            <w:r>
              <w:rPr>
                <w:rFonts w:ascii="Arial" w:cs="Arial" w:eastAsia="Arial" w:hAnsi="Arial"/>
                <w:sz w:val="18"/>
                <w:szCs w:val="18"/>
                <w:color w:val="auto"/>
                <w:w w:val="96"/>
              </w:rPr>
              <w:t>Lazard Ltd 2008 Incentive Compensation Plan (incorporated by reference to Annex B to the Registrant’s Definitive Proxy Statement on</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10.9*</w:t>
            </w:r>
          </w:p>
        </w:tc>
        <w:tc>
          <w:tcPr>
            <w:tcW w:w="10580" w:type="dxa"/>
            <w:vAlign w:val="bottom"/>
          </w:tcPr>
          <w:p>
            <w:pPr>
              <w:ind w:left="180"/>
              <w:spacing w:after="0"/>
              <w:rPr>
                <w:sz w:val="20"/>
                <w:szCs w:val="20"/>
                <w:color w:val="auto"/>
              </w:rPr>
            </w:pPr>
            <w:r>
              <w:rPr>
                <w:rFonts w:ascii="Arial" w:cs="Arial" w:eastAsia="Arial" w:hAnsi="Arial"/>
                <w:sz w:val="18"/>
                <w:szCs w:val="18"/>
                <w:color w:val="auto"/>
                <w:w w:val="92"/>
              </w:rPr>
              <w:t>Lazard Ltd 2016 French Sub-plan (incorporated by reference to Annex B to the Registrant’s Definitive Proxy Statement on Schedule 14A (File</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No. 001-32492) filed on March 10, 2016).</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10.10*</w:t>
            </w:r>
          </w:p>
        </w:tc>
        <w:tc>
          <w:tcPr>
            <w:tcW w:w="10580" w:type="dxa"/>
            <w:vAlign w:val="bottom"/>
          </w:tcPr>
          <w:p>
            <w:pPr>
              <w:ind w:left="18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60" w:type="dxa"/>
            <w:vAlign w:val="bottom"/>
          </w:tcPr>
          <w:p>
            <w:pPr>
              <w:spacing w:after="0"/>
              <w:rPr>
                <w:sz w:val="18"/>
                <w:szCs w:val="18"/>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w w:val="92"/>
              </w:rPr>
              <w:t>the Registrant, Lazard Group LLC and Kenneth M. Jacobs (incorporated by reference to Exhibit 10.9 to the Registrant’s Quarterly Report (File</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No. 001-32492) on Form 10-Q filed on April 27, 2016).</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10.11*</w:t>
            </w:r>
          </w:p>
        </w:tc>
        <w:tc>
          <w:tcPr>
            <w:tcW w:w="10580" w:type="dxa"/>
            <w:vAlign w:val="bottom"/>
          </w:tcPr>
          <w:p>
            <w:pPr>
              <w:ind w:left="18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60" w:type="dxa"/>
            <w:vAlign w:val="bottom"/>
          </w:tcPr>
          <w:p>
            <w:pPr>
              <w:spacing w:after="0"/>
              <w:rPr>
                <w:sz w:val="18"/>
                <w:szCs w:val="18"/>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w w:val="94"/>
              </w:rPr>
              <w:t>the Registrant, Lazard Group LLC and Ashish Bhutani (incorporated by reference to Exhibit 10.10 to the Registrant’s Quarterly Report (File</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No. 001-32492) on Form 10-Q filed on April 27, 2016).</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10.12*</w:t>
            </w:r>
          </w:p>
        </w:tc>
        <w:tc>
          <w:tcPr>
            <w:tcW w:w="10580" w:type="dxa"/>
            <w:vAlign w:val="bottom"/>
          </w:tcPr>
          <w:p>
            <w:pPr>
              <w:ind w:left="18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60" w:type="dxa"/>
            <w:vAlign w:val="bottom"/>
          </w:tcPr>
          <w:p>
            <w:pPr>
              <w:spacing w:after="0"/>
              <w:rPr>
                <w:sz w:val="18"/>
                <w:szCs w:val="18"/>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w w:val="92"/>
              </w:rPr>
              <w:t>the Registrant, Lazard Group LLC and Matthieu Bucaille (incorporated by reference to Exhibit 10.11 to the Registrant’s Quarterly Report (File</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No. 001-32492) on Form 10-Q filed on April 27, 2016).</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10.13*</w:t>
            </w:r>
          </w:p>
        </w:tc>
        <w:tc>
          <w:tcPr>
            <w:tcW w:w="10580" w:type="dxa"/>
            <w:vAlign w:val="bottom"/>
          </w:tcPr>
          <w:p>
            <w:pPr>
              <w:ind w:left="18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60" w:type="dxa"/>
            <w:vAlign w:val="bottom"/>
          </w:tcPr>
          <w:p>
            <w:pPr>
              <w:spacing w:after="0"/>
              <w:rPr>
                <w:sz w:val="18"/>
                <w:szCs w:val="18"/>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w w:val="92"/>
              </w:rPr>
              <w:t>the Registrant, Lazard Group LLC and Scott D. Hoffman (incorporated by reference to Exhibit 10.12 to the Registrant’s Quarterly Report (File</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No. 001-32492) on Form 10-Q filed on April 27, 2016).</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10.14*</w:t>
            </w:r>
          </w:p>
        </w:tc>
        <w:tc>
          <w:tcPr>
            <w:tcW w:w="10580" w:type="dxa"/>
            <w:vAlign w:val="bottom"/>
          </w:tcPr>
          <w:p>
            <w:pPr>
              <w:ind w:left="180"/>
              <w:spacing w:after="0"/>
              <w:rPr>
                <w:sz w:val="20"/>
                <w:szCs w:val="20"/>
                <w:color w:val="auto"/>
              </w:rPr>
            </w:pPr>
            <w:r>
              <w:rPr>
                <w:rFonts w:ascii="Arial" w:cs="Arial" w:eastAsia="Arial" w:hAnsi="Arial"/>
                <w:sz w:val="18"/>
                <w:szCs w:val="18"/>
                <w:color w:val="auto"/>
                <w:w w:val="91"/>
              </w:rPr>
              <w:t>Amended and Restated Agreement relating to Retention and Noncompetition and Other Covenants, dated as of March 9, 2016, by and among</w:t>
            </w:r>
          </w:p>
        </w:tc>
      </w:tr>
      <w:tr>
        <w:trPr>
          <w:trHeight w:val="216"/>
        </w:trPr>
        <w:tc>
          <w:tcPr>
            <w:tcW w:w="860" w:type="dxa"/>
            <w:vAlign w:val="bottom"/>
          </w:tcPr>
          <w:p>
            <w:pPr>
              <w:spacing w:after="0"/>
              <w:rPr>
                <w:sz w:val="18"/>
                <w:szCs w:val="18"/>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w w:val="91"/>
              </w:rPr>
              <w:t>the Registrant, Lazard Group LLC and Alexander F. Stern (incorporated by reference to Exhibit 10.13 to the Registrant’s Quarterly Report (File</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No. 001-32492) on Form 10-Q filed on April 27, 2016).</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10.15*</w:t>
            </w:r>
          </w:p>
        </w:tc>
        <w:tc>
          <w:tcPr>
            <w:tcW w:w="10580" w:type="dxa"/>
            <w:vAlign w:val="bottom"/>
          </w:tcPr>
          <w:p>
            <w:pPr>
              <w:ind w:left="18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 the</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10.16*</w:t>
            </w:r>
          </w:p>
        </w:tc>
        <w:tc>
          <w:tcPr>
            <w:tcW w:w="10580" w:type="dxa"/>
            <w:vAlign w:val="bottom"/>
          </w:tcPr>
          <w:p>
            <w:pPr>
              <w:ind w:left="180"/>
              <w:spacing w:after="0"/>
              <w:rPr>
                <w:sz w:val="20"/>
                <w:szCs w:val="20"/>
                <w:color w:val="auto"/>
              </w:rPr>
            </w:pPr>
            <w:r>
              <w:rPr>
                <w:rFonts w:ascii="Arial" w:cs="Arial" w:eastAsia="Arial" w:hAnsi="Arial"/>
                <w:sz w:val="18"/>
                <w:szCs w:val="18"/>
                <w:color w:val="auto"/>
                <w:w w:val="99"/>
              </w:rPr>
              <w:t>Form of Agreement evidencing a grant of Restricted Stock Units to Executive Officers under the 2008 Incentive Compensation Plan</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w w:val="95"/>
              </w:rPr>
              <w:t>(incorporated by reference to Exhibit 10.41 to the Registrant’s Annual Report (File No. 001-32492) on Form 10-K filed on March 2, 2009).</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10.17*</w:t>
            </w:r>
          </w:p>
        </w:tc>
        <w:tc>
          <w:tcPr>
            <w:tcW w:w="10580" w:type="dxa"/>
            <w:vAlign w:val="bottom"/>
          </w:tcPr>
          <w:p>
            <w:pPr>
              <w:ind w:left="180"/>
              <w:spacing w:after="0"/>
              <w:rPr>
                <w:sz w:val="20"/>
                <w:szCs w:val="20"/>
                <w:color w:val="auto"/>
              </w:rPr>
            </w:pPr>
            <w:r>
              <w:rPr>
                <w:rFonts w:ascii="Arial" w:cs="Arial" w:eastAsia="Arial" w:hAnsi="Arial"/>
                <w:sz w:val="18"/>
                <w:szCs w:val="18"/>
                <w:color w:val="auto"/>
                <w:w w:val="96"/>
              </w:rPr>
              <w:t>Form of Agreement evidencing a grant of Deferred Cash Award to Executive Officers (incorporated by reference to Exhibit 10.42 to the</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Registrant’s Annual Report (File No. 001-32492) on Form 10-K filed on March 2, 2009).</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10.18*</w:t>
            </w:r>
          </w:p>
        </w:tc>
        <w:tc>
          <w:tcPr>
            <w:tcW w:w="10580" w:type="dxa"/>
            <w:vAlign w:val="bottom"/>
          </w:tcPr>
          <w:p>
            <w:pPr>
              <w:ind w:left="180"/>
              <w:spacing w:after="0"/>
              <w:rPr>
                <w:sz w:val="20"/>
                <w:szCs w:val="20"/>
                <w:color w:val="auto"/>
              </w:rPr>
            </w:pPr>
            <w:r>
              <w:rPr>
                <w:rFonts w:ascii="Arial" w:cs="Arial" w:eastAsia="Arial" w:hAnsi="Arial"/>
                <w:sz w:val="18"/>
                <w:szCs w:val="18"/>
                <w:color w:val="auto"/>
                <w:w w:val="95"/>
              </w:rPr>
              <w:t>Directors’ Fee Deferral Unit Plan (incorporated by reference to Exhibit 10.39 to the Registrant’s Quarterly Report (File No. 001-32492) on</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Form 10-Q filed on May 11, 2006).</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10.19</w:t>
            </w:r>
          </w:p>
        </w:tc>
        <w:tc>
          <w:tcPr>
            <w:tcW w:w="10580" w:type="dxa"/>
            <w:vAlign w:val="bottom"/>
          </w:tcPr>
          <w:p>
            <w:pPr>
              <w:ind w:left="180"/>
              <w:spacing w:after="0"/>
              <w:rPr>
                <w:sz w:val="20"/>
                <w:szCs w:val="20"/>
                <w:color w:val="auto"/>
              </w:rPr>
            </w:pPr>
            <w:r>
              <w:rPr>
                <w:rFonts w:ascii="Arial" w:cs="Arial" w:eastAsia="Arial" w:hAnsi="Arial"/>
                <w:sz w:val="18"/>
                <w:szCs w:val="18"/>
                <w:color w:val="auto"/>
                <w:w w:val="93"/>
              </w:rPr>
              <w:t>Amended and Restated Credit Agreement, dated as of September 25, 2015, among Lazard Group LLC, the Banks from time to time parties</w:t>
            </w:r>
          </w:p>
        </w:tc>
      </w:tr>
      <w:tr>
        <w:trPr>
          <w:trHeight w:val="216"/>
        </w:trPr>
        <w:tc>
          <w:tcPr>
            <w:tcW w:w="860" w:type="dxa"/>
            <w:vAlign w:val="bottom"/>
          </w:tcPr>
          <w:p>
            <w:pPr>
              <w:spacing w:after="0"/>
              <w:rPr>
                <w:sz w:val="18"/>
                <w:szCs w:val="18"/>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w w:val="95"/>
              </w:rPr>
              <w:t>thereto, and Citibank, N.A., as Administrative Agent (incorporated by reference to Exhibit 10.27 to the Registrant’s Quarterly Report (File</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No. 001-32492) on Form 10-Q filed on October 28, 2015).</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10.20*</w:t>
            </w:r>
          </w:p>
        </w:tc>
        <w:tc>
          <w:tcPr>
            <w:tcW w:w="10580" w:type="dxa"/>
            <w:vAlign w:val="bottom"/>
          </w:tcPr>
          <w:p>
            <w:pPr>
              <w:ind w:left="180"/>
              <w:spacing w:after="0"/>
              <w:rPr>
                <w:sz w:val="20"/>
                <w:szCs w:val="20"/>
                <w:color w:val="auto"/>
              </w:rPr>
            </w:pPr>
            <w:r>
              <w:rPr>
                <w:rFonts w:ascii="Arial" w:cs="Arial" w:eastAsia="Arial" w:hAnsi="Arial"/>
                <w:sz w:val="18"/>
                <w:szCs w:val="18"/>
                <w:color w:val="auto"/>
                <w:w w:val="93"/>
              </w:rPr>
              <w:t>Form of Agreement evidencing a grant of Lazard Fund Interests to Named Executive Officers (incorporated by reference to Exhibit 10.55 to</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the Registrant’s Quarterly Report (File No. 001-32492) on Form 10-Q filed on May 1, 2013).</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10.21*</w:t>
            </w:r>
          </w:p>
        </w:tc>
        <w:tc>
          <w:tcPr>
            <w:tcW w:w="10580" w:type="dxa"/>
            <w:vAlign w:val="bottom"/>
          </w:tcPr>
          <w:p>
            <w:pPr>
              <w:ind w:left="180"/>
              <w:spacing w:after="0"/>
              <w:rPr>
                <w:sz w:val="20"/>
                <w:szCs w:val="20"/>
                <w:color w:val="auto"/>
              </w:rPr>
            </w:pPr>
            <w:r>
              <w:rPr>
                <w:rFonts w:ascii="Arial" w:cs="Arial" w:eastAsia="Arial" w:hAnsi="Arial"/>
                <w:sz w:val="18"/>
                <w:szCs w:val="18"/>
                <w:color w:val="auto"/>
                <w:w w:val="93"/>
              </w:rPr>
              <w:t>Form of Agreement evidencing a February 20, 2014 grant of Performance-Based Stock Units under the 2008 Incentive Compensation Plan</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w w:val="97"/>
              </w:rPr>
              <w:t>(incorporated by reference to Exhibit 10.55 to the Registrant’s Quarterly Report (File No. 001-32492) on Form 10-Q filed May 6, 2014).</w:t>
            </w:r>
          </w:p>
        </w:tc>
      </w:tr>
      <w:tr>
        <w:trPr>
          <w:trHeight w:val="323"/>
        </w:trPr>
        <w:tc>
          <w:tcPr>
            <w:tcW w:w="860" w:type="dxa"/>
            <w:vAlign w:val="bottom"/>
          </w:tcPr>
          <w:p>
            <w:pPr>
              <w:ind w:left="100"/>
              <w:spacing w:after="0"/>
              <w:rPr>
                <w:sz w:val="20"/>
                <w:szCs w:val="20"/>
                <w:color w:val="auto"/>
              </w:rPr>
            </w:pPr>
            <w:r>
              <w:rPr>
                <w:rFonts w:ascii="Arial" w:cs="Arial" w:eastAsia="Arial" w:hAnsi="Arial"/>
                <w:sz w:val="18"/>
                <w:szCs w:val="18"/>
                <w:color w:val="auto"/>
              </w:rPr>
              <w:t>10.22*</w:t>
            </w:r>
          </w:p>
        </w:tc>
        <w:tc>
          <w:tcPr>
            <w:tcW w:w="10580" w:type="dxa"/>
            <w:vAlign w:val="bottom"/>
          </w:tcPr>
          <w:p>
            <w:pPr>
              <w:ind w:left="180"/>
              <w:spacing w:after="0"/>
              <w:rPr>
                <w:sz w:val="20"/>
                <w:szCs w:val="20"/>
                <w:color w:val="auto"/>
              </w:rPr>
            </w:pPr>
            <w:r>
              <w:rPr>
                <w:rFonts w:ascii="Arial" w:cs="Arial" w:eastAsia="Arial" w:hAnsi="Arial"/>
                <w:sz w:val="18"/>
                <w:szCs w:val="18"/>
                <w:color w:val="auto"/>
                <w:w w:val="93"/>
              </w:rPr>
              <w:t>Agreement between the Company and Kenneth M. Jacobs, dated as of February 20, 2014, evidencing a grant of Performance-Based Stock</w:t>
            </w:r>
          </w:p>
        </w:tc>
      </w:tr>
      <w:tr>
        <w:trPr>
          <w:trHeight w:val="216"/>
        </w:trPr>
        <w:tc>
          <w:tcPr>
            <w:tcW w:w="860" w:type="dxa"/>
            <w:vAlign w:val="bottom"/>
          </w:tcPr>
          <w:p>
            <w:pPr>
              <w:spacing w:after="0"/>
              <w:rPr>
                <w:sz w:val="18"/>
                <w:szCs w:val="18"/>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w w:val="99"/>
              </w:rPr>
              <w:t>Units under the 2008 Incentive Compensation Plan (incorporated by reference to Exhibit 10.56 to the Registrant’s Quarterly Report</w:t>
            </w:r>
          </w:p>
        </w:tc>
      </w:tr>
      <w:tr>
        <w:trPr>
          <w:trHeight w:val="230"/>
        </w:trPr>
        <w:tc>
          <w:tcPr>
            <w:tcW w:w="860" w:type="dxa"/>
            <w:vAlign w:val="bottom"/>
          </w:tcPr>
          <w:p>
            <w:pPr>
              <w:spacing w:after="0"/>
              <w:rPr>
                <w:sz w:val="20"/>
                <w:szCs w:val="20"/>
                <w:color w:val="auto"/>
              </w:rPr>
            </w:pPr>
          </w:p>
        </w:tc>
        <w:tc>
          <w:tcPr>
            <w:tcW w:w="10580" w:type="dxa"/>
            <w:vAlign w:val="bottom"/>
          </w:tcPr>
          <w:p>
            <w:pPr>
              <w:ind w:left="180"/>
              <w:spacing w:after="0"/>
              <w:rPr>
                <w:sz w:val="20"/>
                <w:szCs w:val="20"/>
                <w:color w:val="auto"/>
              </w:rPr>
            </w:pPr>
            <w:r>
              <w:rPr>
                <w:rFonts w:ascii="Arial" w:cs="Arial" w:eastAsia="Arial" w:hAnsi="Arial"/>
                <w:sz w:val="18"/>
                <w:szCs w:val="18"/>
                <w:color w:val="auto"/>
              </w:rPr>
              <w:t>(File No. 001-32492) on Form 10-Q filed on May 6, 2014).</w:t>
            </w:r>
          </w:p>
        </w:tc>
      </w:tr>
      <w:tr>
        <w:trPr>
          <w:trHeight w:val="338"/>
        </w:trPr>
        <w:tc>
          <w:tcPr>
            <w:tcW w:w="860" w:type="dxa"/>
            <w:vAlign w:val="bottom"/>
          </w:tcPr>
          <w:p>
            <w:pPr>
              <w:ind w:left="100"/>
              <w:spacing w:after="0"/>
              <w:rPr>
                <w:sz w:val="20"/>
                <w:szCs w:val="20"/>
                <w:color w:val="auto"/>
              </w:rPr>
            </w:pPr>
            <w:r>
              <w:rPr>
                <w:rFonts w:ascii="Arial" w:cs="Arial" w:eastAsia="Arial" w:hAnsi="Arial"/>
                <w:sz w:val="18"/>
                <w:szCs w:val="18"/>
                <w:color w:val="auto"/>
              </w:rPr>
              <w:t>12.1</w:t>
            </w:r>
          </w:p>
        </w:tc>
        <w:tc>
          <w:tcPr>
            <w:tcW w:w="10580" w:type="dxa"/>
            <w:vAlign w:val="bottom"/>
          </w:tcPr>
          <w:p>
            <w:pPr>
              <w:ind w:left="180"/>
              <w:spacing w:after="0"/>
              <w:rPr>
                <w:sz w:val="20"/>
                <w:szCs w:val="20"/>
                <w:color w:val="auto"/>
              </w:rPr>
            </w:pPr>
            <w:r>
              <w:rPr>
                <w:rFonts w:ascii="Arial" w:cs="Arial" w:eastAsia="Arial" w:hAnsi="Arial"/>
                <w:sz w:val="18"/>
                <w:szCs w:val="18"/>
                <w:color w:val="auto"/>
              </w:rPr>
              <w:t>Computation of Ratio of Earnings to Fixed Charges.</w:t>
            </w:r>
          </w:p>
        </w:tc>
      </w:tr>
      <w:tr>
        <w:trPr>
          <w:trHeight w:val="338"/>
        </w:trPr>
        <w:tc>
          <w:tcPr>
            <w:tcW w:w="860" w:type="dxa"/>
            <w:vAlign w:val="bottom"/>
          </w:tcPr>
          <w:p>
            <w:pPr>
              <w:ind w:left="100"/>
              <w:spacing w:after="0"/>
              <w:rPr>
                <w:sz w:val="20"/>
                <w:szCs w:val="20"/>
                <w:color w:val="auto"/>
              </w:rPr>
            </w:pPr>
            <w:r>
              <w:rPr>
                <w:rFonts w:ascii="Arial" w:cs="Arial" w:eastAsia="Arial" w:hAnsi="Arial"/>
                <w:sz w:val="18"/>
                <w:szCs w:val="18"/>
                <w:color w:val="auto"/>
              </w:rPr>
              <w:t>31.1</w:t>
            </w:r>
          </w:p>
        </w:tc>
        <w:tc>
          <w:tcPr>
            <w:tcW w:w="10580" w:type="dxa"/>
            <w:vAlign w:val="bottom"/>
          </w:tcPr>
          <w:p>
            <w:pPr>
              <w:ind w:left="180"/>
              <w:spacing w:after="0"/>
              <w:rPr>
                <w:sz w:val="20"/>
                <w:szCs w:val="20"/>
                <w:color w:val="auto"/>
              </w:rPr>
            </w:pPr>
            <w:r>
              <w:rPr>
                <w:rFonts w:ascii="Arial" w:cs="Arial" w:eastAsia="Arial" w:hAnsi="Arial"/>
                <w:sz w:val="18"/>
                <w:szCs w:val="18"/>
                <w:color w:val="auto"/>
              </w:rPr>
              <w:t>Rule 13a-14(a) Certification of Kenneth M. Jacobs.</w:t>
            </w:r>
          </w:p>
        </w:tc>
      </w:tr>
      <w:tr>
        <w:trPr>
          <w:trHeight w:val="338"/>
        </w:trPr>
        <w:tc>
          <w:tcPr>
            <w:tcW w:w="860" w:type="dxa"/>
            <w:vAlign w:val="bottom"/>
          </w:tcPr>
          <w:p>
            <w:pPr>
              <w:ind w:left="100"/>
              <w:spacing w:after="0"/>
              <w:rPr>
                <w:sz w:val="20"/>
                <w:szCs w:val="20"/>
                <w:color w:val="auto"/>
              </w:rPr>
            </w:pPr>
            <w:r>
              <w:rPr>
                <w:rFonts w:ascii="Arial" w:cs="Arial" w:eastAsia="Arial" w:hAnsi="Arial"/>
                <w:sz w:val="18"/>
                <w:szCs w:val="18"/>
                <w:color w:val="auto"/>
              </w:rPr>
              <w:t>31.2</w:t>
            </w:r>
          </w:p>
        </w:tc>
        <w:tc>
          <w:tcPr>
            <w:tcW w:w="10580" w:type="dxa"/>
            <w:vAlign w:val="bottom"/>
          </w:tcPr>
          <w:p>
            <w:pPr>
              <w:ind w:left="180"/>
              <w:spacing w:after="0"/>
              <w:rPr>
                <w:sz w:val="20"/>
                <w:szCs w:val="20"/>
                <w:color w:val="auto"/>
              </w:rPr>
            </w:pPr>
            <w:r>
              <w:rPr>
                <w:rFonts w:ascii="Arial" w:cs="Arial" w:eastAsia="Arial" w:hAnsi="Arial"/>
                <w:sz w:val="18"/>
                <w:szCs w:val="18"/>
                <w:color w:val="auto"/>
              </w:rPr>
              <w:t>Rule 13a-14(a) Certification of Matthieu Bucaille.</w:t>
            </w:r>
          </w:p>
        </w:tc>
      </w:tr>
      <w:tr>
        <w:trPr>
          <w:trHeight w:val="338"/>
        </w:trPr>
        <w:tc>
          <w:tcPr>
            <w:tcW w:w="860" w:type="dxa"/>
            <w:vAlign w:val="bottom"/>
          </w:tcPr>
          <w:p>
            <w:pPr>
              <w:ind w:left="100"/>
              <w:spacing w:after="0"/>
              <w:rPr>
                <w:sz w:val="20"/>
                <w:szCs w:val="20"/>
                <w:color w:val="auto"/>
              </w:rPr>
            </w:pPr>
            <w:r>
              <w:rPr>
                <w:rFonts w:ascii="Arial" w:cs="Arial" w:eastAsia="Arial" w:hAnsi="Arial"/>
                <w:sz w:val="18"/>
                <w:szCs w:val="18"/>
                <w:color w:val="auto"/>
              </w:rPr>
              <w:t>32.1</w:t>
            </w:r>
          </w:p>
        </w:tc>
        <w:tc>
          <w:tcPr>
            <w:tcW w:w="10580" w:type="dxa"/>
            <w:vAlign w:val="bottom"/>
          </w:tcPr>
          <w:p>
            <w:pPr>
              <w:ind w:left="180"/>
              <w:spacing w:after="0"/>
              <w:rPr>
                <w:sz w:val="20"/>
                <w:szCs w:val="20"/>
                <w:color w:val="auto"/>
              </w:rPr>
            </w:pPr>
            <w:r>
              <w:rPr>
                <w:rFonts w:ascii="Arial" w:cs="Arial" w:eastAsia="Arial" w:hAnsi="Arial"/>
                <w:sz w:val="18"/>
                <w:szCs w:val="18"/>
                <w:color w:val="auto"/>
              </w:rPr>
              <w:t>Section 1350 Certification for Kenneth M. Jacobs.</w:t>
            </w:r>
          </w:p>
        </w:tc>
      </w:tr>
      <w:tr>
        <w:trPr>
          <w:trHeight w:val="338"/>
        </w:trPr>
        <w:tc>
          <w:tcPr>
            <w:tcW w:w="860" w:type="dxa"/>
            <w:vAlign w:val="bottom"/>
          </w:tcPr>
          <w:p>
            <w:pPr>
              <w:ind w:left="100"/>
              <w:spacing w:after="0"/>
              <w:rPr>
                <w:sz w:val="20"/>
                <w:szCs w:val="20"/>
                <w:color w:val="auto"/>
              </w:rPr>
            </w:pPr>
            <w:r>
              <w:rPr>
                <w:rFonts w:ascii="Arial" w:cs="Arial" w:eastAsia="Arial" w:hAnsi="Arial"/>
                <w:sz w:val="18"/>
                <w:szCs w:val="18"/>
                <w:color w:val="auto"/>
              </w:rPr>
              <w:t>32.2</w:t>
            </w:r>
          </w:p>
        </w:tc>
        <w:tc>
          <w:tcPr>
            <w:tcW w:w="10580" w:type="dxa"/>
            <w:vAlign w:val="bottom"/>
          </w:tcPr>
          <w:p>
            <w:pPr>
              <w:ind w:left="180"/>
              <w:spacing w:after="0"/>
              <w:rPr>
                <w:sz w:val="20"/>
                <w:szCs w:val="20"/>
                <w:color w:val="auto"/>
              </w:rPr>
            </w:pPr>
            <w:r>
              <w:rPr>
                <w:rFonts w:ascii="Arial" w:cs="Arial" w:eastAsia="Arial" w:hAnsi="Arial"/>
                <w:sz w:val="18"/>
                <w:szCs w:val="18"/>
                <w:color w:val="auto"/>
              </w:rPr>
              <w:t>Section 1350 Certification for Matthieu Bucaille.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5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8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554"/>
        </w:trPr>
        <w:tc>
          <w:tcPr>
            <w:tcW w:w="860" w:type="dxa"/>
            <w:vAlign w:val="bottom"/>
          </w:tcPr>
          <w:p>
            <w:pPr>
              <w:spacing w:after="0"/>
              <w:rPr>
                <w:sz w:val="24"/>
                <w:szCs w:val="24"/>
                <w:color w:val="auto"/>
              </w:rPr>
            </w:pPr>
          </w:p>
        </w:tc>
        <w:tc>
          <w:tcPr>
            <w:tcW w:w="10580" w:type="dxa"/>
            <w:vAlign w:val="bottom"/>
          </w:tcPr>
          <w:p>
            <w:pPr>
              <w:ind w:left="4760"/>
              <w:spacing w:after="0"/>
              <w:rPr>
                <w:sz w:val="20"/>
                <w:szCs w:val="20"/>
                <w:color w:val="auto"/>
              </w:rPr>
            </w:pPr>
            <w:r>
              <w:rPr>
                <w:rFonts w:ascii="Arial" w:cs="Arial" w:eastAsia="Arial" w:hAnsi="Arial"/>
                <w:sz w:val="18"/>
                <w:szCs w:val="18"/>
                <w:color w:val="auto"/>
              </w:rPr>
              <w:t>70</w:t>
            </w:r>
          </w:p>
        </w:tc>
      </w:tr>
      <w:tr>
        <w:trPr>
          <w:trHeight w:val="115"/>
        </w:trPr>
        <w:tc>
          <w:tcPr>
            <w:tcW w:w="860" w:type="dxa"/>
            <w:vAlign w:val="bottom"/>
            <w:tcBorders>
              <w:bottom w:val="single" w:sz="8" w:color="9A9A9A"/>
            </w:tcBorders>
          </w:tcPr>
          <w:p>
            <w:pPr>
              <w:spacing w:after="0"/>
              <w:rPr>
                <w:sz w:val="10"/>
                <w:szCs w:val="10"/>
                <w:color w:val="auto"/>
              </w:rPr>
            </w:pPr>
          </w:p>
        </w:tc>
        <w:tc>
          <w:tcPr>
            <w:tcW w:w="10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73" w:name="page74"/>
    <w:bookmarkEnd w:id="73"/>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52"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Financial Officer</w:t>
      </w:r>
    </w:p>
    <w:p>
      <w:pPr>
        <w:spacing w:after="0" w:line="238" w:lineRule="exact"/>
        <w:rPr>
          <w:sz w:val="20"/>
          <w:szCs w:val="20"/>
          <w:color w:val="auto"/>
        </w:rPr>
      </w:pPr>
    </w:p>
    <w:p>
      <w:pPr>
        <w:ind w:left="6860"/>
        <w:spacing w:after="0"/>
        <w:tabs>
          <w:tab w:leader="none" w:pos="7480" w:val="left"/>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Dominick Ragone</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Dominick Ragone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800"/>
          </w:cols>
          <w:pgMar w:left="240" w:top="337" w:right="85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AMENDED AND RESTATED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OPERATING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LAZARD GROUP LLC</w:t>
      </w:r>
    </w:p>
    <w:p>
      <w:pPr>
        <w:spacing w:after="0" w:line="145" w:lineRule="exact"/>
        <w:rPr>
          <w:sz w:val="20"/>
          <w:szCs w:val="20"/>
          <w:color w:val="auto"/>
        </w:rPr>
      </w:pPr>
    </w:p>
    <w:p>
      <w:pPr>
        <w:jc w:val="both"/>
        <w:ind w:right="160" w:firstLine="877"/>
        <w:spacing w:after="0"/>
        <w:rPr>
          <w:sz w:val="20"/>
          <w:szCs w:val="20"/>
          <w:color w:val="auto"/>
        </w:rPr>
      </w:pPr>
      <w:r>
        <w:rPr>
          <w:rFonts w:ascii="Arial" w:cs="Arial" w:eastAsia="Arial" w:hAnsi="Arial"/>
          <w:sz w:val="22"/>
          <w:szCs w:val="22"/>
          <w:color w:val="auto"/>
        </w:rPr>
        <w:t>This AMENDMENT NO. 1 (this “</w:t>
      </w:r>
      <w:r>
        <w:rPr>
          <w:rFonts w:ascii="Arial" w:cs="Arial" w:eastAsia="Arial" w:hAnsi="Arial"/>
          <w:sz w:val="22"/>
          <w:szCs w:val="22"/>
          <w:u w:val="single" w:color="auto"/>
          <w:color w:val="auto"/>
        </w:rPr>
        <w:t>Amendment</w:t>
      </w:r>
      <w:r>
        <w:rPr>
          <w:rFonts w:ascii="Arial" w:cs="Arial" w:eastAsia="Arial" w:hAnsi="Arial"/>
          <w:sz w:val="22"/>
          <w:szCs w:val="22"/>
          <w:color w:val="auto"/>
        </w:rPr>
        <w:t>”) to the Amended and Restated Operating Agreement of Lazard Group LLC, a Delaware limited liability company, dated as of October 26, 2015 (such agreement, the “</w:t>
      </w:r>
      <w:r>
        <w:rPr>
          <w:rFonts w:ascii="Arial" w:cs="Arial" w:eastAsia="Arial" w:hAnsi="Arial"/>
          <w:sz w:val="22"/>
          <w:szCs w:val="22"/>
          <w:u w:val="single" w:color="auto"/>
          <w:color w:val="auto"/>
        </w:rPr>
        <w:t>Amended and Restated Operating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October 27, 2016.</w:t>
      </w:r>
    </w:p>
    <w:p>
      <w:pPr>
        <w:spacing w:after="0" w:line="119"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Whereas, the Lazard Board (such term and all other capitalized terms used but not defined herein shall have the meanings ascribed thereto in the Amended and Restated Operating Agreement), each Managing Member, and the Lazard Ltd Board desire to amend the Amended and Restated Operating Agreement as set forth in this Amendment.</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NOW, THEREFORE, it is hereby agreed as follows:</w:t>
      </w:r>
    </w:p>
    <w:p>
      <w:pPr>
        <w:spacing w:after="0" w:line="139" w:lineRule="exact"/>
        <w:rPr>
          <w:sz w:val="20"/>
          <w:szCs w:val="20"/>
          <w:color w:val="auto"/>
        </w:rPr>
      </w:pPr>
    </w:p>
    <w:p>
      <w:pPr>
        <w:ind w:left="1100" w:hanging="215"/>
        <w:spacing w:after="0"/>
        <w:tabs>
          <w:tab w:leader="none" w:pos="11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139" w:lineRule="exact"/>
        <w:rPr>
          <w:sz w:val="20"/>
          <w:szCs w:val="20"/>
          <w:color w:val="auto"/>
        </w:rPr>
      </w:pPr>
    </w:p>
    <w:p>
      <w:pPr>
        <w:ind w:left="1180" w:hanging="295"/>
        <w:spacing w:after="0"/>
        <w:tabs>
          <w:tab w:leader="none" w:pos="11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Section 3.01 of the Amended and Restated Operating Agreement is hereby amended by deleting the last sentence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its entirety.</w:t>
      </w:r>
    </w:p>
    <w:p>
      <w:pPr>
        <w:spacing w:after="0" w:line="107" w:lineRule="exact"/>
        <w:rPr>
          <w:rFonts w:ascii="Arial" w:cs="Arial" w:eastAsia="Arial" w:hAnsi="Arial"/>
          <w:sz w:val="19"/>
          <w:szCs w:val="19"/>
          <w:color w:val="auto"/>
        </w:rPr>
      </w:pPr>
    </w:p>
    <w:p>
      <w:pPr>
        <w:ind w:right="600" w:firstLine="885"/>
        <w:spacing w:after="0" w:line="251" w:lineRule="auto"/>
        <w:tabs>
          <w:tab w:leader="none" w:pos="1183" w:val="left"/>
        </w:tabs>
        <w:numPr>
          <w:ilvl w:val="0"/>
          <w:numId w:val="64"/>
        </w:numPr>
        <w:rPr>
          <w:rFonts w:ascii="Arial" w:cs="Arial" w:eastAsia="Arial" w:hAnsi="Arial"/>
          <w:sz w:val="22"/>
          <w:szCs w:val="22"/>
          <w:color w:val="auto"/>
        </w:rPr>
      </w:pPr>
      <w:r>
        <w:rPr>
          <w:rFonts w:ascii="Arial" w:cs="Arial" w:eastAsia="Arial" w:hAnsi="Arial"/>
          <w:sz w:val="22"/>
          <w:szCs w:val="22"/>
          <w:color w:val="auto"/>
        </w:rPr>
        <w:t>Section 3.02(a) of the Amended and Restated Operating Agreement is hereby amended by (i) deleting the word “managers” in the first sentence and (ii) inserting “individuals” in place thereof.</w:t>
      </w:r>
    </w:p>
    <w:p>
      <w:pPr>
        <w:spacing w:after="0" w:line="105" w:lineRule="exact"/>
        <w:rPr>
          <w:rFonts w:ascii="Arial" w:cs="Arial" w:eastAsia="Arial" w:hAnsi="Arial"/>
          <w:sz w:val="22"/>
          <w:szCs w:val="22"/>
          <w:color w:val="auto"/>
        </w:rPr>
      </w:pPr>
    </w:p>
    <w:p>
      <w:pPr>
        <w:ind w:right="180" w:firstLine="885"/>
        <w:spacing w:after="0"/>
        <w:tabs>
          <w:tab w:leader="none" w:pos="1171" w:val="left"/>
        </w:tabs>
        <w:numPr>
          <w:ilvl w:val="0"/>
          <w:numId w:val="64"/>
        </w:numPr>
        <w:rPr>
          <w:rFonts w:ascii="Arial" w:cs="Arial" w:eastAsia="Arial" w:hAnsi="Arial"/>
          <w:sz w:val="22"/>
          <w:szCs w:val="22"/>
          <w:color w:val="auto"/>
        </w:rPr>
      </w:pPr>
      <w:r>
        <w:rPr>
          <w:rFonts w:ascii="Arial" w:cs="Arial" w:eastAsia="Arial" w:hAnsi="Arial"/>
          <w:sz w:val="22"/>
          <w:szCs w:val="22"/>
          <w:color w:val="auto"/>
        </w:rPr>
        <w:t>Section 4.02 of the Amended and Restated Operating Agreement is hereby amended by adding a sentence following the third sentence of the first paragraph thereof that reads as follows: “Each Managing Member shall be a “manager” of the Company within the meaning of the Act.”</w:t>
      </w:r>
    </w:p>
    <w:p>
      <w:pPr>
        <w:spacing w:after="0" w:line="118" w:lineRule="exact"/>
        <w:rPr>
          <w:rFonts w:ascii="Arial" w:cs="Arial" w:eastAsia="Arial" w:hAnsi="Arial"/>
          <w:sz w:val="22"/>
          <w:szCs w:val="22"/>
          <w:color w:val="auto"/>
        </w:rPr>
      </w:pPr>
    </w:p>
    <w:p>
      <w:pPr>
        <w:ind w:right="560" w:firstLine="885"/>
        <w:spacing w:after="0" w:line="251" w:lineRule="auto"/>
        <w:tabs>
          <w:tab w:leader="none" w:pos="1183" w:val="left"/>
        </w:tabs>
        <w:numPr>
          <w:ilvl w:val="0"/>
          <w:numId w:val="64"/>
        </w:numPr>
        <w:rPr>
          <w:rFonts w:ascii="Arial" w:cs="Arial" w:eastAsia="Arial" w:hAnsi="Arial"/>
          <w:sz w:val="22"/>
          <w:szCs w:val="22"/>
          <w:color w:val="auto"/>
        </w:rPr>
      </w:pPr>
      <w:r>
        <w:rPr>
          <w:rFonts w:ascii="Arial" w:cs="Arial" w:eastAsia="Arial" w:hAnsi="Arial"/>
          <w:sz w:val="22"/>
          <w:szCs w:val="22"/>
          <w:color w:val="auto"/>
        </w:rPr>
        <w:t>Section 4.05 of the Amended and Restated Operating Agreement is hereby amended by inserting “or Directors” following “solely by reason of being Members” in the first sentence thereof.</w:t>
      </w:r>
    </w:p>
    <w:p>
      <w:pPr>
        <w:spacing w:after="0" w:line="92" w:lineRule="exact"/>
        <w:rPr>
          <w:rFonts w:ascii="Arial" w:cs="Arial" w:eastAsia="Arial" w:hAnsi="Arial"/>
          <w:sz w:val="22"/>
          <w:szCs w:val="22"/>
          <w:color w:val="auto"/>
        </w:rPr>
      </w:pPr>
    </w:p>
    <w:p>
      <w:pPr>
        <w:ind w:right="740" w:firstLine="885"/>
        <w:spacing w:after="0" w:line="328" w:lineRule="auto"/>
        <w:tabs>
          <w:tab w:leader="none" w:pos="1171" w:val="left"/>
        </w:tabs>
        <w:numPr>
          <w:ilvl w:val="0"/>
          <w:numId w:val="64"/>
        </w:numPr>
        <w:rPr>
          <w:rFonts w:ascii="Arial" w:cs="Arial" w:eastAsia="Arial" w:hAnsi="Arial"/>
          <w:sz w:val="19"/>
          <w:szCs w:val="19"/>
          <w:color w:val="auto"/>
        </w:rPr>
      </w:pPr>
      <w:r>
        <w:rPr>
          <w:rFonts w:ascii="Arial" w:cs="Arial" w:eastAsia="Arial" w:hAnsi="Arial"/>
          <w:sz w:val="19"/>
          <w:szCs w:val="19"/>
          <w:color w:val="auto"/>
        </w:rPr>
        <w:t>Section 10.03 of the Amended and Restated Operating Agreement is hereby amended by (i) deleting the word “manager” in the third sentence and (ii) inserting “Director, Member or Managing Member” in place thereof.</w:t>
      </w:r>
    </w:p>
    <w:p>
      <w:pPr>
        <w:spacing w:after="0" w:line="37" w:lineRule="exact"/>
        <w:rPr>
          <w:rFonts w:ascii="Arial" w:cs="Arial" w:eastAsia="Arial" w:hAnsi="Arial"/>
          <w:sz w:val="19"/>
          <w:szCs w:val="19"/>
          <w:color w:val="auto"/>
        </w:rPr>
      </w:pPr>
    </w:p>
    <w:p>
      <w:pPr>
        <w:ind w:right="760" w:firstLine="885"/>
        <w:spacing w:after="0" w:line="274" w:lineRule="auto"/>
        <w:tabs>
          <w:tab w:leader="none" w:pos="1147" w:val="left"/>
        </w:tabs>
        <w:numPr>
          <w:ilvl w:val="0"/>
          <w:numId w:val="64"/>
        </w:numPr>
        <w:rPr>
          <w:rFonts w:ascii="Arial" w:cs="Arial" w:eastAsia="Arial" w:hAnsi="Arial"/>
          <w:sz w:val="21"/>
          <w:szCs w:val="21"/>
          <w:color w:val="auto"/>
        </w:rPr>
      </w:pPr>
      <w:r>
        <w:rPr>
          <w:rFonts w:ascii="Arial" w:cs="Arial" w:eastAsia="Arial" w:hAnsi="Arial"/>
          <w:sz w:val="21"/>
          <w:szCs w:val="21"/>
          <w:color w:val="auto"/>
        </w:rPr>
        <w:t>Section 10.09 of the Amended and Restated Operating Agreement is hereby amended by (i) deleting the word “manager” in the second sentence and (ii) inserting “, Managing Member or Director” in place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5" w:name="page76"/>
    <w:bookmarkEnd w:id="75"/>
    <w:p>
      <w:pPr>
        <w:ind w:left="-60" w:right="640" w:firstLine="885"/>
        <w:spacing w:after="0" w:line="251" w:lineRule="auto"/>
        <w:tabs>
          <w:tab w:leader="none" w:pos="1034"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Amendment shall be binding upon, and shall inure to the benefit of, all parties to the Amended and Restated Operating Agreement and their respective successors and assigns.</w:t>
      </w:r>
    </w:p>
    <w:p>
      <w:pPr>
        <w:spacing w:after="0" w:line="173" w:lineRule="exact"/>
        <w:rPr>
          <w:rFonts w:ascii="Arial" w:cs="Arial" w:eastAsia="Arial" w:hAnsi="Arial"/>
          <w:sz w:val="22"/>
          <w:szCs w:val="22"/>
          <w:color w:val="auto"/>
        </w:rPr>
      </w:pPr>
    </w:p>
    <w:p>
      <w:pPr>
        <w:ind w:left="-60" w:right="500" w:firstLine="885"/>
        <w:spacing w:after="0" w:line="251" w:lineRule="auto"/>
        <w:tabs>
          <w:tab w:leader="none" w:pos="1034"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Amendment may be executed in counterparts, each of which shall be deemed an original, but all of which shall constitute one and the same instrument.</w:t>
      </w:r>
    </w:p>
    <w:p>
      <w:pPr>
        <w:spacing w:after="0" w:line="173" w:lineRule="exact"/>
        <w:rPr>
          <w:rFonts w:ascii="Arial" w:cs="Arial" w:eastAsia="Arial" w:hAnsi="Arial"/>
          <w:sz w:val="22"/>
          <w:szCs w:val="22"/>
          <w:color w:val="auto"/>
        </w:rPr>
      </w:pPr>
    </w:p>
    <w:p>
      <w:pPr>
        <w:ind w:left="-60" w:right="20" w:firstLine="885"/>
        <w:spacing w:after="0" w:line="279" w:lineRule="auto"/>
        <w:tabs>
          <w:tab w:leader="none" w:pos="1034"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INVADILITY OF PROVISIONS</w:t>
      </w:r>
      <w:r>
        <w:rPr>
          <w:rFonts w:ascii="Arial" w:cs="Arial" w:eastAsia="Arial" w:hAnsi="Arial"/>
          <w:sz w:val="19"/>
          <w:szCs w:val="19"/>
          <w:color w:val="auto"/>
        </w:rPr>
        <w:t>. If any provision of this Amendment is declared or found to be illegal, unenforceable or void, in whole or in part, then the parties shall be relieved of all obligations arising under such provision, but only to the extent that it is illegal, unenforceable or void, it being the intent and agreement of the parties that this Amendment shall be deemed amended by modifying such provision to the extent necessary to make it legal and enforceable while preserving its intent or, if that is not possible, by substituting therefor another provision that is legal and enforceable and achieves the same objectives, and the validity or enforceability of any other provision hereof shall not be affected thereby.</w:t>
      </w:r>
    </w:p>
    <w:p>
      <w:pPr>
        <w:spacing w:after="0" w:line="150" w:lineRule="exact"/>
        <w:rPr>
          <w:rFonts w:ascii="Arial" w:cs="Arial" w:eastAsia="Arial" w:hAnsi="Arial"/>
          <w:sz w:val="19"/>
          <w:szCs w:val="19"/>
          <w:color w:val="auto"/>
        </w:rPr>
      </w:pPr>
    </w:p>
    <w:p>
      <w:pPr>
        <w:ind w:left="-60" w:right="240" w:firstLine="885"/>
        <w:spacing w:after="0" w:line="328" w:lineRule="auto"/>
        <w:tabs>
          <w:tab w:leader="none" w:pos="1034"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AGREEMENT IN EFFECT; EFFECTIVENESS</w:t>
      </w:r>
      <w:r>
        <w:rPr>
          <w:rFonts w:ascii="Arial" w:cs="Arial" w:eastAsia="Arial" w:hAnsi="Arial"/>
          <w:sz w:val="19"/>
          <w:szCs w:val="19"/>
          <w:color w:val="auto"/>
        </w:rPr>
        <w:t>. Except as hereby amended, the Amended and Restated Operating Agreement shall remain in full force and effect. This Amendment shall be effective as of the date first written above.</w:t>
      </w:r>
    </w:p>
    <w:p>
      <w:pPr>
        <w:spacing w:after="0" w:line="105" w:lineRule="exact"/>
        <w:rPr>
          <w:rFonts w:ascii="Arial" w:cs="Arial" w:eastAsia="Arial" w:hAnsi="Arial"/>
          <w:sz w:val="19"/>
          <w:szCs w:val="19"/>
          <w:color w:val="auto"/>
        </w:rPr>
      </w:pPr>
    </w:p>
    <w:p>
      <w:pPr>
        <w:ind w:left="-60" w:firstLine="885"/>
        <w:spacing w:after="0" w:line="328" w:lineRule="auto"/>
        <w:tabs>
          <w:tab w:leader="none" w:pos="1034"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governed by, and interpreted in accordance with, the laws of the State of Delaware, all rights and remedies being governed by such laws without regard to principles of conflicts of laws.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637540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361" w:right="279" w:bottom="1440" w:gutter="0" w:footer="0" w:header="0"/>
        </w:sectPr>
      </w:pPr>
    </w:p>
    <w:bookmarkStart w:id="76" w:name="page77"/>
    <w:bookmarkEnd w:id="76"/>
    <w:p>
      <w:pPr>
        <w:ind w:right="340" w:firstLine="877"/>
        <w:spacing w:after="0" w:line="251" w:lineRule="auto"/>
        <w:rPr>
          <w:sz w:val="20"/>
          <w:szCs w:val="20"/>
          <w:color w:val="auto"/>
        </w:rPr>
      </w:pPr>
      <w:r>
        <w:rPr>
          <w:rFonts w:ascii="Arial" w:cs="Arial" w:eastAsia="Arial" w:hAnsi="Arial"/>
          <w:sz w:val="22"/>
          <w:szCs w:val="22"/>
          <w:color w:val="auto"/>
        </w:rPr>
        <w:t>IN WITNESS WHEREOF, the undersigned, acting pursuant to the resolutions of the Lazard Board, has duly executed this Agreement to reflect approval by the Lazard Board as of the date first above written.</w:t>
      </w:r>
    </w:p>
    <w:p>
      <w:pPr>
        <w:spacing w:after="0" w:line="200" w:lineRule="exact"/>
        <w:rPr>
          <w:sz w:val="20"/>
          <w:szCs w:val="20"/>
          <w:color w:val="auto"/>
        </w:rPr>
      </w:pPr>
    </w:p>
    <w:p>
      <w:pPr>
        <w:spacing w:after="0" w:line="243" w:lineRule="exact"/>
        <w:rPr>
          <w:sz w:val="20"/>
          <w:szCs w:val="20"/>
          <w:color w:val="auto"/>
        </w:rPr>
      </w:pPr>
    </w:p>
    <w:tbl>
      <w:tblPr>
        <w:tblLayout w:type="fixed"/>
        <w:tblInd w:w="7040" w:type="dxa"/>
        <w:tblCellMar>
          <w:top w:w="0" w:type="dxa"/>
          <w:left w:w="0" w:type="dxa"/>
          <w:bottom w:w="0" w:type="dxa"/>
          <w:right w:w="0" w:type="dxa"/>
        </w:tblCellMar>
      </w:tblPr>
      <w:tr>
        <w:trPr>
          <w:trHeight w:val="26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Matthieu Bucaille</w:t>
            </w:r>
          </w:p>
        </w:tc>
      </w:tr>
      <w:tr>
        <w:trPr>
          <w:trHeight w:val="215"/>
        </w:trPr>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spacing w:after="0" w:line="216" w:lineRule="exact"/>
              <w:rPr>
                <w:sz w:val="20"/>
                <w:szCs w:val="20"/>
                <w:color w:val="auto"/>
              </w:rPr>
            </w:pPr>
            <w:r>
              <w:rPr>
                <w:rFonts w:ascii="Arial" w:cs="Arial" w:eastAsia="Arial" w:hAnsi="Arial"/>
                <w:sz w:val="22"/>
                <w:szCs w:val="22"/>
                <w:color w:val="auto"/>
              </w:rPr>
              <w:t>Matthieu Bucaille</w:t>
            </w:r>
          </w:p>
        </w:tc>
      </w:tr>
      <w:tr>
        <w:trPr>
          <w:trHeight w:val="275"/>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5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55" w:lineRule="exact"/>
        <w:rPr>
          <w:sz w:val="20"/>
          <w:szCs w:val="20"/>
          <w:color w:val="auto"/>
        </w:rPr>
      </w:pPr>
    </w:p>
    <w:p>
      <w:pPr>
        <w:ind w:right="800" w:firstLine="877"/>
        <w:spacing w:after="0" w:line="274" w:lineRule="auto"/>
        <w:rPr>
          <w:sz w:val="20"/>
          <w:szCs w:val="20"/>
          <w:color w:val="auto"/>
        </w:rPr>
      </w:pPr>
      <w:r>
        <w:rPr>
          <w:rFonts w:ascii="Arial" w:cs="Arial" w:eastAsia="Arial" w:hAnsi="Arial"/>
          <w:sz w:val="21"/>
          <w:szCs w:val="21"/>
          <w:color w:val="auto"/>
        </w:rPr>
        <w:t>IN WITNESS WHEREOF, the undersigned, acting pursuant to the resolutions of the Lazard Ltd Board, has duly executed this Agreement to reflect approval by the Lazard Ltd Board as of the date first above written.</w:t>
      </w:r>
    </w:p>
    <w:p>
      <w:pPr>
        <w:spacing w:after="0" w:line="200" w:lineRule="exact"/>
        <w:rPr>
          <w:sz w:val="20"/>
          <w:szCs w:val="20"/>
          <w:color w:val="auto"/>
        </w:rPr>
      </w:pPr>
    </w:p>
    <w:p>
      <w:pPr>
        <w:spacing w:after="0" w:line="221" w:lineRule="exact"/>
        <w:rPr>
          <w:sz w:val="20"/>
          <w:szCs w:val="20"/>
          <w:color w:val="auto"/>
        </w:rPr>
      </w:pPr>
    </w:p>
    <w:tbl>
      <w:tblPr>
        <w:tblLayout w:type="fixed"/>
        <w:tblInd w:w="7040" w:type="dxa"/>
        <w:tblCellMar>
          <w:top w:w="0" w:type="dxa"/>
          <w:left w:w="0" w:type="dxa"/>
          <w:bottom w:w="0" w:type="dxa"/>
          <w:right w:w="0" w:type="dxa"/>
        </w:tblCellMar>
      </w:tblPr>
      <w:tr>
        <w:trPr>
          <w:trHeight w:val="26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Matthieu Bucaille</w:t>
            </w:r>
          </w:p>
        </w:tc>
      </w:tr>
      <w:tr>
        <w:trPr>
          <w:trHeight w:val="215"/>
        </w:trPr>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spacing w:after="0" w:line="216" w:lineRule="exact"/>
              <w:rPr>
                <w:sz w:val="20"/>
                <w:szCs w:val="20"/>
                <w:color w:val="auto"/>
              </w:rPr>
            </w:pPr>
            <w:r>
              <w:rPr>
                <w:rFonts w:ascii="Arial" w:cs="Arial" w:eastAsia="Arial" w:hAnsi="Arial"/>
                <w:sz w:val="22"/>
                <w:szCs w:val="22"/>
                <w:color w:val="auto"/>
              </w:rPr>
              <w:t>Matthieu Bucaille</w:t>
            </w:r>
          </w:p>
        </w:tc>
      </w:tr>
      <w:tr>
        <w:trPr>
          <w:trHeight w:val="275"/>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560" w:type="dxa"/>
            <w:vAlign w:val="bottom"/>
          </w:tcPr>
          <w:p>
            <w:pPr>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5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 WITNESS WHEREOF, the Managing Members have duly executed this Agreement as of the date first above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15" w:lineRule="exact"/>
        <w:rPr>
          <w:sz w:val="20"/>
          <w:szCs w:val="20"/>
          <w:color w:val="auto"/>
        </w:rPr>
      </w:pPr>
    </w:p>
    <w:p>
      <w:pPr>
        <w:ind w:left="7040"/>
        <w:spacing w:after="0"/>
        <w:rPr>
          <w:sz w:val="20"/>
          <w:szCs w:val="20"/>
          <w:color w:val="auto"/>
        </w:rPr>
      </w:pPr>
      <w:r>
        <w:rPr>
          <w:rFonts w:ascii="Arial" w:cs="Arial" w:eastAsia="Arial" w:hAnsi="Arial"/>
          <w:sz w:val="22"/>
          <w:szCs w:val="22"/>
          <w:color w:val="auto"/>
        </w:rPr>
        <w:t>LAZARD LTD SUB A</w:t>
      </w:r>
    </w:p>
    <w:p>
      <w:pPr>
        <w:spacing w:after="0" w:line="200" w:lineRule="exact"/>
        <w:rPr>
          <w:sz w:val="20"/>
          <w:szCs w:val="20"/>
          <w:color w:val="auto"/>
        </w:rPr>
      </w:pPr>
    </w:p>
    <w:p>
      <w:pPr>
        <w:spacing w:after="0" w:line="276" w:lineRule="exact"/>
        <w:rPr>
          <w:sz w:val="20"/>
          <w:szCs w:val="20"/>
          <w:color w:val="auto"/>
        </w:rPr>
      </w:pPr>
    </w:p>
    <w:tbl>
      <w:tblPr>
        <w:tblLayout w:type="fixed"/>
        <w:tblInd w:w="7040" w:type="dxa"/>
        <w:tblCellMar>
          <w:top w:w="0" w:type="dxa"/>
          <w:left w:w="0" w:type="dxa"/>
          <w:bottom w:w="0" w:type="dxa"/>
          <w:right w:w="0" w:type="dxa"/>
        </w:tblCellMar>
      </w:tblPr>
      <w:tr>
        <w:trPr>
          <w:trHeight w:val="26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Matthieu Bucaille</w:t>
            </w:r>
          </w:p>
        </w:tc>
      </w:tr>
      <w:tr>
        <w:trPr>
          <w:trHeight w:val="215"/>
        </w:trPr>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spacing w:after="0" w:line="216" w:lineRule="exact"/>
              <w:rPr>
                <w:sz w:val="20"/>
                <w:szCs w:val="20"/>
                <w:color w:val="auto"/>
              </w:rPr>
            </w:pPr>
            <w:r>
              <w:rPr>
                <w:rFonts w:ascii="Arial" w:cs="Arial" w:eastAsia="Arial" w:hAnsi="Arial"/>
                <w:sz w:val="22"/>
                <w:szCs w:val="22"/>
                <w:color w:val="auto"/>
              </w:rPr>
              <w:t>Matthieu Bucaille</w:t>
            </w:r>
          </w:p>
        </w:tc>
      </w:tr>
      <w:tr>
        <w:trPr>
          <w:trHeight w:val="275"/>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560" w:type="dxa"/>
            <w:vAlign w:val="bottom"/>
          </w:tcPr>
          <w:p>
            <w:pPr>
              <w:spacing w:after="0"/>
              <w:rPr>
                <w:sz w:val="20"/>
                <w:szCs w:val="20"/>
                <w:color w:val="auto"/>
              </w:rPr>
            </w:pPr>
            <w:r>
              <w:rPr>
                <w:rFonts w:ascii="Arial" w:cs="Arial" w:eastAsia="Arial" w:hAnsi="Arial"/>
                <w:sz w:val="22"/>
                <w:szCs w:val="22"/>
                <w:color w:val="auto"/>
              </w:rPr>
              <w:t>Manager</w:t>
            </w:r>
          </w:p>
        </w:tc>
      </w:tr>
    </w:tbl>
    <w:p>
      <w:pPr>
        <w:spacing w:after="0" w:line="200" w:lineRule="exact"/>
        <w:rPr>
          <w:sz w:val="20"/>
          <w:szCs w:val="20"/>
          <w:color w:val="auto"/>
        </w:rPr>
      </w:pPr>
    </w:p>
    <w:p>
      <w:pPr>
        <w:spacing w:after="0" w:line="255" w:lineRule="exact"/>
        <w:rPr>
          <w:sz w:val="20"/>
          <w:szCs w:val="20"/>
          <w:color w:val="auto"/>
        </w:rPr>
      </w:pPr>
    </w:p>
    <w:p>
      <w:pPr>
        <w:ind w:left="7040"/>
        <w:spacing w:after="0"/>
        <w:rPr>
          <w:sz w:val="20"/>
          <w:szCs w:val="20"/>
          <w:color w:val="auto"/>
        </w:rPr>
      </w:pPr>
      <w:r>
        <w:rPr>
          <w:rFonts w:ascii="Arial" w:cs="Arial" w:eastAsia="Arial" w:hAnsi="Arial"/>
          <w:sz w:val="22"/>
          <w:szCs w:val="22"/>
          <w:color w:val="auto"/>
        </w:rPr>
        <w:t>LAZARD LTD SUB A</w:t>
      </w:r>
    </w:p>
    <w:p>
      <w:pPr>
        <w:spacing w:after="0" w:line="200" w:lineRule="exact"/>
        <w:rPr>
          <w:sz w:val="20"/>
          <w:szCs w:val="20"/>
          <w:color w:val="auto"/>
        </w:rPr>
      </w:pPr>
    </w:p>
    <w:p>
      <w:pPr>
        <w:spacing w:after="0" w:line="276" w:lineRule="exact"/>
        <w:rPr>
          <w:sz w:val="20"/>
          <w:szCs w:val="20"/>
          <w:color w:val="auto"/>
        </w:rPr>
      </w:pPr>
    </w:p>
    <w:tbl>
      <w:tblPr>
        <w:tblLayout w:type="fixed"/>
        <w:tblInd w:w="7040" w:type="dxa"/>
        <w:tblCellMar>
          <w:top w:w="0" w:type="dxa"/>
          <w:left w:w="0" w:type="dxa"/>
          <w:bottom w:w="0" w:type="dxa"/>
          <w:right w:w="0" w:type="dxa"/>
        </w:tblCellMar>
      </w:tblPr>
      <w:tr>
        <w:trPr>
          <w:trHeight w:val="26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Rountree</w:t>
            </w:r>
          </w:p>
        </w:tc>
      </w:tr>
      <w:tr>
        <w:trPr>
          <w:trHeight w:val="215"/>
        </w:trPr>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spacing w:after="0" w:line="216" w:lineRule="exact"/>
              <w:rPr>
                <w:sz w:val="20"/>
                <w:szCs w:val="20"/>
                <w:color w:val="auto"/>
              </w:rPr>
            </w:pPr>
            <w:r>
              <w:rPr>
                <w:rFonts w:ascii="Arial" w:cs="Arial" w:eastAsia="Arial" w:hAnsi="Arial"/>
                <w:sz w:val="22"/>
                <w:szCs w:val="22"/>
                <w:color w:val="auto"/>
              </w:rPr>
              <w:t>Robert Rountree</w:t>
            </w:r>
          </w:p>
        </w:tc>
      </w:tr>
      <w:tr>
        <w:trPr>
          <w:trHeight w:val="275"/>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560" w:type="dxa"/>
            <w:vAlign w:val="bottom"/>
          </w:tcPr>
          <w:p>
            <w:pPr>
              <w:spacing w:after="0"/>
              <w:rPr>
                <w:sz w:val="20"/>
                <w:szCs w:val="20"/>
                <w:color w:val="auto"/>
              </w:rPr>
            </w:pPr>
            <w:r>
              <w:rPr>
                <w:rFonts w:ascii="Arial" w:cs="Arial" w:eastAsia="Arial" w:hAnsi="Arial"/>
                <w:sz w:val="22"/>
                <w:szCs w:val="22"/>
                <w:color w:val="auto"/>
              </w:rPr>
              <w:t>Manager</w:t>
            </w:r>
          </w:p>
        </w:tc>
      </w:tr>
    </w:tbl>
    <w:p>
      <w:pPr>
        <w:spacing w:after="0" w:line="200" w:lineRule="exact"/>
        <w:rPr>
          <w:sz w:val="20"/>
          <w:szCs w:val="20"/>
          <w:color w:val="auto"/>
        </w:rPr>
      </w:pPr>
    </w:p>
    <w:p>
      <w:pPr>
        <w:spacing w:after="0" w:line="255" w:lineRule="exact"/>
        <w:rPr>
          <w:sz w:val="20"/>
          <w:szCs w:val="20"/>
          <w:color w:val="auto"/>
        </w:rPr>
      </w:pPr>
    </w:p>
    <w:p>
      <w:pPr>
        <w:ind w:left="7040"/>
        <w:spacing w:after="0"/>
        <w:rPr>
          <w:sz w:val="20"/>
          <w:szCs w:val="20"/>
          <w:color w:val="auto"/>
        </w:rPr>
      </w:pPr>
      <w:r>
        <w:rPr>
          <w:rFonts w:ascii="Arial" w:cs="Arial" w:eastAsia="Arial" w:hAnsi="Arial"/>
          <w:sz w:val="22"/>
          <w:szCs w:val="22"/>
          <w:color w:val="auto"/>
        </w:rPr>
        <w:t>LAZARD LTD SUB B</w:t>
      </w:r>
    </w:p>
    <w:p>
      <w:pPr>
        <w:spacing w:after="0" w:line="200" w:lineRule="exact"/>
        <w:rPr>
          <w:sz w:val="20"/>
          <w:szCs w:val="20"/>
          <w:color w:val="auto"/>
        </w:rPr>
      </w:pPr>
    </w:p>
    <w:p>
      <w:pPr>
        <w:spacing w:after="0" w:line="276" w:lineRule="exact"/>
        <w:rPr>
          <w:sz w:val="20"/>
          <w:szCs w:val="20"/>
          <w:color w:val="auto"/>
        </w:rPr>
      </w:pPr>
    </w:p>
    <w:tbl>
      <w:tblPr>
        <w:tblLayout w:type="fixed"/>
        <w:tblInd w:w="7040" w:type="dxa"/>
        <w:tblCellMar>
          <w:top w:w="0" w:type="dxa"/>
          <w:left w:w="0" w:type="dxa"/>
          <w:bottom w:w="0" w:type="dxa"/>
          <w:right w:w="0" w:type="dxa"/>
        </w:tblCellMar>
      </w:tblPr>
      <w:tr>
        <w:trPr>
          <w:trHeight w:val="265"/>
        </w:trPr>
        <w:tc>
          <w:tcPr>
            <w:tcW w:w="820" w:type="dxa"/>
            <w:vAlign w:val="bottom"/>
          </w:tcPr>
          <w:p>
            <w:pPr>
              <w:spacing w:after="0"/>
              <w:rPr>
                <w:sz w:val="20"/>
                <w:szCs w:val="20"/>
                <w:color w:val="auto"/>
              </w:rPr>
            </w:pPr>
            <w:r>
              <w:rPr>
                <w:rFonts w:ascii="Arial" w:cs="Arial" w:eastAsia="Arial" w:hAnsi="Arial"/>
                <w:sz w:val="22"/>
                <w:szCs w:val="22"/>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Scott D. Hoffman</w:t>
            </w:r>
          </w:p>
        </w:tc>
      </w:tr>
      <w:tr>
        <w:trPr>
          <w:trHeight w:val="215"/>
        </w:trPr>
        <w:tc>
          <w:tcPr>
            <w:tcW w:w="8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560" w:type="dxa"/>
            <w:vAlign w:val="bottom"/>
          </w:tcPr>
          <w:p>
            <w:pPr>
              <w:spacing w:after="0" w:line="216" w:lineRule="exact"/>
              <w:rPr>
                <w:sz w:val="20"/>
                <w:szCs w:val="20"/>
                <w:color w:val="auto"/>
              </w:rPr>
            </w:pPr>
            <w:r>
              <w:rPr>
                <w:rFonts w:ascii="Arial" w:cs="Arial" w:eastAsia="Arial" w:hAnsi="Arial"/>
                <w:sz w:val="22"/>
                <w:szCs w:val="22"/>
                <w:color w:val="auto"/>
              </w:rPr>
              <w:t>Scott D. Hoffman</w:t>
            </w:r>
          </w:p>
        </w:tc>
      </w:tr>
      <w:tr>
        <w:trPr>
          <w:trHeight w:val="275"/>
        </w:trPr>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3560" w:type="dxa"/>
            <w:vAlign w:val="bottom"/>
          </w:tcPr>
          <w:p>
            <w:pPr>
              <w:spacing w:after="0"/>
              <w:rPr>
                <w:sz w:val="20"/>
                <w:szCs w:val="20"/>
                <w:color w:val="auto"/>
              </w:rPr>
            </w:pPr>
            <w:r>
              <w:rPr>
                <w:rFonts w:ascii="Arial" w:cs="Arial" w:eastAsia="Arial" w:hAnsi="Arial"/>
                <w:sz w:val="22"/>
                <w:szCs w:val="22"/>
                <w:color w:val="auto"/>
              </w:rPr>
              <w:t>Secretary</w:t>
            </w:r>
          </w:p>
        </w:tc>
      </w:tr>
    </w:tbl>
    <w:p>
      <w:pPr>
        <w:sectPr>
          <w:pgSz w:w="11900" w:h="16838" w:orient="portrait"/>
          <w:cols w:equalWidth="0" w:num="1">
            <w:col w:w="11420"/>
          </w:cols>
          <w:pgMar w:left="240" w:top="36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Nine Months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30, 2016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gridSpan w:val="5"/>
          </w:tcPr>
          <w:p>
            <w:pPr>
              <w:jc w:val="right"/>
              <w:ind w:right="17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360,605</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(16,620)</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519,465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216,807</w:t>
            </w:r>
          </w:p>
        </w:tc>
        <w:tc>
          <w:tcPr>
            <w:tcW w:w="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123,885</w:t>
            </w:r>
          </w:p>
        </w:tc>
        <w:tc>
          <w:tcPr>
            <w:tcW w:w="3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Add—Fixed charges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75,109</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86,066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103,668</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106,470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(loss) before fixed charges</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414,134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58,489</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605,531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320,475</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230,355</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(b)</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36,054</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51,159</w:t>
            </w: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79,381</w:t>
            </w:r>
          </w:p>
        </w:tc>
        <w:tc>
          <w:tcPr>
            <w:tcW w:w="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81,565</w:t>
            </w:r>
          </w:p>
        </w:tc>
        <w:tc>
          <w:tcPr>
            <w:tcW w:w="3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23,950</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24,287</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53,529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75,109</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86,066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103,668</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106,470</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w w:val="90"/>
              </w:rPr>
              <w:t>(d)</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(e)</w:t>
            </w: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ind w:left="120"/>
              <w:spacing w:after="0"/>
              <w:rPr>
                <w:sz w:val="20"/>
                <w:szCs w:val="20"/>
                <w:color w:val="auto"/>
              </w:rPr>
            </w:pPr>
            <w:r>
              <w:rPr>
                <w:rFonts w:ascii="Arial" w:cs="Arial" w:eastAsia="Arial" w:hAnsi="Arial"/>
                <w:sz w:val="18"/>
                <w:szCs w:val="18"/>
                <w:color w:val="auto"/>
                <w:w w:val="93"/>
              </w:rPr>
              <w:t>(f)</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rPr>
              <w:t>Deficiency in the coverage of operating income</w:t>
            </w: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(loss) before fixed charges to total fixed charges</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16,620</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17"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w:t>
      </w:r>
    </w:p>
    <w:p>
      <w:pPr>
        <w:spacing w:after="0" w:line="46" w:lineRule="exact"/>
        <w:rPr>
          <w:rFonts w:ascii="Arial" w:cs="Arial" w:eastAsia="Arial" w:hAnsi="Arial"/>
          <w:sz w:val="16"/>
          <w:szCs w:val="16"/>
          <w:color w:val="auto"/>
        </w:rPr>
      </w:pPr>
    </w:p>
    <w:p>
      <w:pPr>
        <w:ind w:left="520"/>
        <w:spacing w:after="0" w:line="252" w:lineRule="auto"/>
        <w:rPr>
          <w:rFonts w:ascii="Arial" w:cs="Arial" w:eastAsia="Arial" w:hAnsi="Arial"/>
          <w:sz w:val="16"/>
          <w:szCs w:val="16"/>
          <w:color w:val="auto"/>
        </w:rPr>
      </w:pPr>
      <w:r>
        <w:rPr>
          <w:rFonts w:ascii="Arial" w:cs="Arial" w:eastAsia="Arial" w:hAnsi="Arial"/>
          <w:sz w:val="18"/>
          <w:szCs w:val="18"/>
          <w:color w:val="auto"/>
        </w:rPr>
        <w:t>$450 million of the 2017 Notes, (ii) $2,655 excess interest expense due to the period of time between the issuance of the 2025 Notes and the settlement of the redemption of the 2017 Notes, (iii) $12,203 relating to a private equity revenue adjustment and, (iv) $542,270 relating to the provision pursuant to the tax receivable agreement. Excluding the impact of such items, the ratio of earnings to fixed charges would have been 8.95. The Company’s net income for the year ended December 31, 2015, which was affected by a significant income tax benefit during such period, was $992,932. See the Company’s Annual Report on Form 10-K for the year ended December 31, 2015 for additional information regarding the Company’s operating income and net income for the year ended December 31, 2015.</w:t>
      </w:r>
    </w:p>
    <w:p>
      <w:pPr>
        <w:spacing w:after="0" w:line="86" w:lineRule="exact"/>
        <w:rPr>
          <w:rFonts w:ascii="Arial" w:cs="Arial" w:eastAsia="Arial" w:hAnsi="Arial"/>
          <w:sz w:val="16"/>
          <w:szCs w:val="16"/>
          <w:color w:val="auto"/>
        </w:rPr>
      </w:pPr>
    </w:p>
    <w:p>
      <w:pPr>
        <w:ind w:left="520" w:hanging="512"/>
        <w:spacing w:after="0" w:line="259"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 (iii) $12,203 relating to private equity incentive compensation. Excluding the impact of such charges, the ratio of earnings to fixed charges would have been 4.35.</w:t>
      </w:r>
    </w:p>
    <w:p>
      <w:pPr>
        <w:spacing w:after="0" w:line="78" w:lineRule="exact"/>
        <w:rPr>
          <w:rFonts w:ascii="Arial" w:cs="Arial" w:eastAsia="Arial" w:hAnsi="Arial"/>
          <w:sz w:val="18"/>
          <w:szCs w:val="18"/>
          <w:color w:val="auto"/>
        </w:rPr>
      </w:pPr>
    </w:p>
    <w:p>
      <w:pPr>
        <w:ind w:left="520" w:right="100" w:hanging="512"/>
        <w:spacing w:after="0" w:line="257"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3.36.</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2016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33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Matthieu Bucaille, certify that:</w:t>
      </w:r>
    </w:p>
    <w:p>
      <w:pPr>
        <w:spacing w:after="0" w:line="117" w:lineRule="exact"/>
        <w:rPr>
          <w:sz w:val="20"/>
          <w:szCs w:val="20"/>
          <w:color w:val="auto"/>
        </w:rPr>
      </w:pPr>
    </w:p>
    <w:p>
      <w:pPr>
        <w:ind w:left="700" w:hanging="174"/>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2016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28,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28,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September 30, 2016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decimal"/>
      <w:start w:val="2"/>
    </w:lvl>
  </w:abstractNum>
  <w:abstractNum w:abstractNumId="6">
    <w:nsid w:val="7724C67E"/>
    <w:multiLevelType w:val="hybridMultilevel"/>
    <w:lvl w:ilvl="0">
      <w:lvlJc w:val="left"/>
      <w:lvlText w:val="%1."/>
      <w:numFmt w:val="decimal"/>
      <w:start w:val="3"/>
    </w:lvl>
  </w:abstractNum>
  <w:abstractNum w:abstractNumId="7">
    <w:nsid w:val="5C482A97"/>
    <w:multiLevelType w:val="hybridMultilevel"/>
    <w:lvl w:ilvl="0">
      <w:lvlJc w:val="left"/>
      <w:lvlText w:val="%1."/>
      <w:numFmt w:val="decimal"/>
      <w:start w:val="4"/>
    </w:lvl>
  </w:abstractNum>
  <w:abstractNum w:abstractNumId="8">
    <w:nsid w:val="2463B9EA"/>
    <w:multiLevelType w:val="hybridMultilevel"/>
    <w:lvl w:ilvl="0">
      <w:lvlJc w:val="left"/>
      <w:lvlText w:val="(%1)"/>
      <w:numFmt w:val="lowerLetter"/>
      <w:start w:val="1"/>
    </w:lvl>
  </w:abstractNum>
  <w:abstractNum w:abstractNumId="9">
    <w:nsid w:val="5E884ADC"/>
    <w:multiLevelType w:val="hybridMultilevel"/>
    <w:lvl w:ilvl="0">
      <w:lvlJc w:val="left"/>
      <w:lvlText w:val="%1."/>
      <w:numFmt w:val="decimal"/>
      <w:start w:val="5"/>
    </w:lvl>
  </w:abstractNum>
  <w:abstractNum w:abstractNumId="10">
    <w:nsid w:val="51EAD36B"/>
    <w:multiLevelType w:val="hybridMultilevel"/>
    <w:lvl w:ilvl="0">
      <w:lvlJc w:val="left"/>
      <w:lvlText w:val="(%1)"/>
      <w:numFmt w:val="lowerLetter"/>
      <w:start w:val="1"/>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1)"/>
      <w:numFmt w:val="lowerLetter"/>
      <w:start w:val="1"/>
    </w:lvl>
  </w:abstractNum>
  <w:abstractNum w:abstractNumId="13">
    <w:nsid w:val="153EA438"/>
    <w:multiLevelType w:val="hybridMultilevel"/>
    <w:lvl w:ilvl="0">
      <w:lvlJc w:val="left"/>
      <w:lvlText w:val="(%1)"/>
      <w:numFmt w:val="lowerLetter"/>
      <w:start w:val="1"/>
    </w:lvl>
  </w:abstractNum>
  <w:abstractNum w:abstractNumId="14">
    <w:nsid w:val="3855585C"/>
    <w:multiLevelType w:val="hybridMultilevel"/>
    <w:lvl w:ilvl="0">
      <w:lvlJc w:val="left"/>
      <w:lvlText w:val="%1."/>
      <w:numFmt w:val="decimal"/>
      <w:start w:val="6"/>
    </w:lvl>
  </w:abstractNum>
  <w:abstractNum w:abstractNumId="15">
    <w:nsid w:val="70A64E2A"/>
    <w:multiLevelType w:val="hybridMultilevel"/>
    <w:lvl w:ilvl="0">
      <w:lvlJc w:val="left"/>
      <w:lvlText w:val="(%1)"/>
      <w:numFmt w:val="lowerLetter"/>
      <w:start w:val="1"/>
    </w:lvl>
  </w:abstractNum>
  <w:abstractNum w:abstractNumId="16">
    <w:nsid w:val="6A2342EC"/>
    <w:multiLevelType w:val="hybridMultilevel"/>
    <w:lvl w:ilvl="0">
      <w:lvlJc w:val="left"/>
      <w:lvlText w:val="%1."/>
      <w:numFmt w:val="decimal"/>
      <w:start w:val="7"/>
    </w:lvl>
  </w:abstractNum>
  <w:abstractNum w:abstractNumId="17">
    <w:nsid w:val="2A487CB0"/>
    <w:multiLevelType w:val="hybridMultilevel"/>
    <w:lvl w:ilvl="0">
      <w:lvlJc w:val="left"/>
      <w:lvlText w:val="%1."/>
      <w:numFmt w:val="decimal"/>
      <w:start w:val="8"/>
    </w:lvl>
  </w:abstractNum>
  <w:abstractNum w:abstractNumId="18">
    <w:nsid w:val="1D4ED43B"/>
    <w:multiLevelType w:val="hybridMultilevel"/>
    <w:lvl w:ilvl="0">
      <w:lvlJc w:val="left"/>
      <w:lvlText w:val="%1"/>
      <w:numFmt w:val="decimal"/>
      <w:start w:val="1"/>
    </w:lvl>
    <w:lvl w:ilvl="1">
      <w:lvlJc w:val="left"/>
      <w:lvlText w:val="(%2)"/>
      <w:numFmt w:val="lowerLetter"/>
      <w:start w:val="1"/>
    </w:lvl>
  </w:abstractNum>
  <w:abstractNum w:abstractNumId="19">
    <w:nsid w:val="725A06FB"/>
    <w:multiLevelType w:val="hybridMultilevel"/>
    <w:lvl w:ilvl="0">
      <w:lvlJc w:val="left"/>
      <w:lvlText w:val="%1."/>
      <w:numFmt w:val="decimal"/>
      <w:start w:val="9"/>
    </w:lvl>
    <w:lvl w:ilvl="1">
      <w:lvlJc w:val="left"/>
      <w:lvlText w:val="%2"/>
      <w:numFmt w:val="lowerLetter"/>
      <w:start w:val="1"/>
    </w:lvl>
  </w:abstractNum>
  <w:abstractNum w:abstractNumId="20">
    <w:nsid w:val="2CD89A32"/>
    <w:multiLevelType w:val="hybridMultilevel"/>
    <w:lvl w:ilvl="0">
      <w:lvlJc w:val="left"/>
      <w:lvlText w:val="(%1)"/>
      <w:numFmt w:val="lowerLetter"/>
      <w:start w:val="1"/>
    </w:lvl>
  </w:abstractNum>
  <w:abstractNum w:abstractNumId="21">
    <w:nsid w:val="57E4CCAF"/>
    <w:multiLevelType w:val="hybridMultilevel"/>
    <w:lvl w:ilvl="0">
      <w:lvlJc w:val="left"/>
      <w:lvlText w:val="%1."/>
      <w:numFmt w:val="decimal"/>
      <w:start w:val="10"/>
    </w:lvl>
  </w:abstractNum>
  <w:abstractNum w:abstractNumId="22">
    <w:nsid w:val="7A6D8D3C"/>
    <w:multiLevelType w:val="hybridMultilevel"/>
    <w:lvl w:ilvl="0">
      <w:lvlJc w:val="left"/>
      <w:lvlText w:val="%1."/>
      <w:numFmt w:val="decimal"/>
      <w:start w:val="11"/>
    </w:lvl>
  </w:abstractNum>
  <w:abstractNum w:abstractNumId="23">
    <w:nsid w:val="4B588F54"/>
    <w:multiLevelType w:val="hybridMultilevel"/>
    <w:lvl w:ilvl="0">
      <w:lvlJc w:val="left"/>
      <w:lvlText w:val="(%1)"/>
      <w:numFmt w:val="lowerLetter"/>
      <w:start w:val="1"/>
    </w:lvl>
  </w:abstractNum>
  <w:abstractNum w:abstractNumId="24">
    <w:nsid w:val="542289EC"/>
    <w:multiLevelType w:val="hybridMultilevel"/>
    <w:lvl w:ilvl="0">
      <w:lvlJc w:val="left"/>
      <w:lvlText w:val="%1."/>
      <w:numFmt w:val="decimal"/>
      <w:start w:val="12"/>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decimal"/>
      <w:start w:val="13"/>
    </w:lvl>
  </w:abstractNum>
  <w:abstractNum w:abstractNumId="27">
    <w:nsid w:val="7644A45C"/>
    <w:multiLevelType w:val="hybridMultilevel"/>
    <w:lvl w:ilvl="0">
      <w:lvlJc w:val="left"/>
      <w:lvlText w:val="%1."/>
      <w:numFmt w:val="decimal"/>
      <w:start w:val="14"/>
    </w:lvl>
  </w:abstractNum>
  <w:abstractNum w:abstractNumId="28">
    <w:nsid w:val="32FFF902"/>
    <w:multiLevelType w:val="hybridMultilevel"/>
    <w:lvl w:ilvl="0">
      <w:lvlJc w:val="left"/>
      <w:lvlText w:val="%1."/>
      <w:numFmt w:val="decimal"/>
      <w:start w:val="15"/>
    </w:lvl>
  </w:abstractNum>
  <w:abstractNum w:abstractNumId="29">
    <w:nsid w:val="684A481A"/>
    <w:multiLevelType w:val="hybridMultilevel"/>
    <w:lvl w:ilvl="0">
      <w:lvlJc w:val="left"/>
      <w:lvlText w:val="%1."/>
      <w:numFmt w:val="decimal"/>
      <w:start w:val="16"/>
    </w:lvl>
  </w:abstractNum>
  <w:abstractNum w:abstractNumId="30">
    <w:nsid w:val="579478FE"/>
    <w:multiLevelType w:val="hybridMultilevel"/>
    <w:lvl w:ilvl="0">
      <w:lvlJc w:val="left"/>
      <w:lvlText w:val="(%1)"/>
      <w:numFmt w:val="lowerRoman"/>
      <w:start w:val="1"/>
    </w:lvl>
  </w:abstractNum>
  <w:abstractNum w:abstractNumId="31">
    <w:nsid w:val="749ABB43"/>
    <w:multiLevelType w:val="hybridMultilevel"/>
    <w:lvl w:ilvl="0">
      <w:lvlJc w:val="left"/>
      <w:lvlText w:val="%1."/>
      <w:numFmt w:val="decimal"/>
      <w:start w:val="17"/>
    </w:lvl>
  </w:abstractNum>
  <w:abstractNum w:abstractNumId="32">
    <w:nsid w:val="3DC240FB"/>
    <w:multiLevelType w:val="hybridMultilevel"/>
    <w:lvl w:ilvl="0">
      <w:lvlJc w:val="left"/>
      <w:lvlText w:val="%1."/>
      <w:numFmt w:val="decimal"/>
      <w:start w:val="18"/>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lowerRoman"/>
      <w:start w:val="4"/>
    </w:lvl>
  </w:abstractNum>
  <w:abstractNum w:abstractNumId="42">
    <w:nsid w:val="649BB77C"/>
    <w:multiLevelType w:val="hybridMultilevel"/>
    <w:lvl w:ilvl="0">
      <w:lvlJc w:val="left"/>
      <w:lvlText w:val="•"/>
      <w:numFmt w:val="bullet"/>
      <w:start w:val="1"/>
    </w:lvl>
    <w:lvl w:ilvl="1">
      <w:lvlJc w:val="left"/>
      <w:lvlText w:val="(%2)"/>
      <w:numFmt w:val="lowerRoman"/>
      <w:start w:val="1"/>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lowerLetter"/>
      <w:start w:val="1"/>
    </w:lvl>
  </w:abstractNum>
  <w:abstractNum w:abstractNumId="45">
    <w:nsid w:val="1CF10FD8"/>
    <w:multiLevelType w:val="hybridMultilevel"/>
    <w:lvl w:ilvl="0">
      <w:lvlJc w:val="left"/>
      <w:lvlText w:val="(%1)"/>
      <w:numFmt w:val="lowerLetter"/>
      <w:start w:val="1"/>
    </w:lvl>
  </w:abstractNum>
  <w:abstractNum w:abstractNumId="46">
    <w:nsid w:val="180115BE"/>
    <w:multiLevelType w:val="hybridMultilevel"/>
    <w:lvl w:ilvl="0">
      <w:lvlJc w:val="left"/>
      <w:lvlText w:val="(%1)"/>
      <w:numFmt w:val="lowerRoman"/>
      <w:start w:val="2"/>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lowerLetter"/>
      <w:start w:val="1"/>
    </w:lvl>
  </w:abstractNum>
  <w:abstractNum w:abstractNumId="50">
    <w:nsid w:val="15B5AF5C"/>
    <w:multiLevelType w:val="hybridMultilevel"/>
    <w:lvl w:ilvl="0">
      <w:lvlJc w:val="left"/>
      <w:lvlText w:val="(%1)"/>
      <w:numFmt w:val="lowerLetter"/>
      <w:start w:val="2"/>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1)"/>
      <w:numFmt w:val="lowerLetter"/>
      <w:start w:val="2"/>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lowerRoman"/>
      <w:start w:val="3"/>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1)"/>
      <w:numFmt w:val="decimal"/>
      <w:start w:val="2"/>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2"/>
    </w:lvl>
  </w:abstractNum>
  <w:abstractNum w:abstractNumId="65">
    <w:nsid w:val="1F48EAA1"/>
    <w:multiLevelType w:val="hybridMultilevel"/>
    <w:lvl w:ilvl="0">
      <w:lvlJc w:val="left"/>
      <w:lvlText w:val="(%1)"/>
      <w:numFmt w:val="lowerLetter"/>
      <w:start w:val="1"/>
    </w:lvl>
    <w:lvl w:ilvl="1">
      <w:lvlJc w:val="left"/>
      <w:lvlText w:val="•"/>
      <w:numFmt w:val="bullet"/>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2019-12-29T10:30:27Z</dcterms:created>
  <dcterms:modified xsi:type="dcterms:W3CDTF">2019-12-29T10:30:27Z</dcterms:modified>
</cp:coreProperties>
</file>