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5"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2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4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357"/>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339"/>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230"/>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3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351"/>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129"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3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July 22, 2016, there were 129,766,091 shares of the Registrant’s Class A common stock outstanding (including 5,545,541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June 30, 2016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9">
              <w:r>
                <w:rPr>
                  <w:rFonts w:ascii="Arial" w:cs="Arial" w:eastAsia="Arial" w:hAnsi="Arial"/>
                  <w:sz w:val="18"/>
                  <w:szCs w:val="18"/>
                  <w:b w:val="1"/>
                  <w:bCs w:val="1"/>
                  <w:color w:val="0000EE"/>
                  <w:w w:val="94"/>
                </w:rPr>
                <w:t>Part II. Other Information</w:t>
              </w:r>
            </w:hyperlink>
          </w:p>
        </w:tc>
        <w:tc>
          <w:tcPr>
            <w:tcW w:w="90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3"/>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6"/>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2016 and December 31, 2015</w:t>
              </w:r>
            </w:hyperlink>
          </w:p>
        </w:tc>
        <w:tc>
          <w:tcPr>
            <w:tcW w:w="37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6"/>
            <w:vMerge w:val="continue"/>
          </w:tcPr>
          <w:p>
            <w:pPr>
              <w:spacing w:after="0"/>
              <w:rPr>
                <w:sz w:val="13"/>
                <w:szCs w:val="13"/>
                <w:color w:val="auto"/>
              </w:rPr>
            </w:pPr>
          </w:p>
        </w:tc>
        <w:tc>
          <w:tcPr>
            <w:tcW w:w="370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0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w:t>
              </w:r>
            </w:hyperlink>
          </w:p>
        </w:tc>
        <w:tc>
          <w:tcPr>
            <w:tcW w:w="40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June 30, 2016 and 2015</w:t>
              </w:r>
            </w:hyperlink>
          </w:p>
        </w:tc>
        <w:tc>
          <w:tcPr>
            <w:tcW w:w="9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2016 and 2015</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2016 and 2015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4"/>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six month periods ended June 30, 2016 and 2015</w:t>
              </w:r>
            </w:hyperlink>
          </w:p>
        </w:tc>
        <w:tc>
          <w:tcPr>
            <w:tcW w:w="1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140" w:type="dxa"/>
            <w:vAlign w:val="bottom"/>
          </w:tcPr>
          <w:p>
            <w:pPr>
              <w:jc w:val="right"/>
              <w:ind w:right="11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646,454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$ 1,132,083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667,313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33,522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34,948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$13,569 and $12,882 at June 30, 2016 and December 31, 2015,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402,986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495,316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497,213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491,346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541,911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0"/>
              </w:rPr>
              <w:t>Property (net of accumulated amortization and depreciation of $282,732 and $265,506 at June 30, 2016 and December 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2015,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201,929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207,165</w:t>
            </w:r>
          </w:p>
        </w:tc>
        <w:tc>
          <w:tcPr>
            <w:tcW w:w="0" w:type="dxa"/>
            <w:vAlign w:val="bottom"/>
          </w:tcPr>
          <w:p>
            <w:pPr>
              <w:spacing w:after="0"/>
              <w:rPr>
                <w:sz w:val="1"/>
                <w:szCs w:val="1"/>
                <w:color w:val="auto"/>
              </w:rPr>
            </w:pPr>
          </w:p>
        </w:tc>
      </w:tr>
      <w:tr>
        <w:trPr>
          <w:trHeight w:val="316"/>
        </w:trPr>
        <w:tc>
          <w:tcPr>
            <w:tcW w:w="8920" w:type="dxa"/>
            <w:vAlign w:val="bottom"/>
            <w:gridSpan w:val="2"/>
          </w:tcPr>
          <w:p>
            <w:pPr>
              <w:spacing w:after="0"/>
              <w:rPr>
                <w:sz w:val="20"/>
                <w:szCs w:val="20"/>
                <w:color w:val="auto"/>
              </w:rPr>
            </w:pPr>
            <w:r>
              <w:rPr>
                <w:rFonts w:ascii="Arial" w:cs="Arial" w:eastAsia="Arial" w:hAnsi="Arial"/>
                <w:sz w:val="18"/>
                <w:szCs w:val="18"/>
                <w:color w:val="auto"/>
                <w:w w:val="96"/>
              </w:rPr>
              <w:t>Goodwill and other intangible assets (net of accumulated amortization of $58,534 and $57,561 at June 30, 2016 and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December 31, 2015,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328,181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326,976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1,123,369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4,215,621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$ 4,477,774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721,171</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990,111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receivable agreement obligation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3,011,277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3,110,468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June 30, 2016 and December 31, 2015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w w:val="88"/>
              </w:rPr>
              <w:t>Class A, par value $.01 per share (500,000,000 shares authorized; 129,766,091 shares issued at June 30, 2016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December 31, 2015, including shares held by subsidiaries as indicated below)</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998,132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1,123,728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(237,030)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(234,356)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1,331,554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1,490,704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held by subsidiaries, at cost (5,210,619 and 4,253,381 shares at June 30, 2016 and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2015, respectively)</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(185,353)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(177,249)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Lazard Ltd Stockholders’ Equity</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1,146,201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1,313,455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1,204,344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1,367,306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4,215,621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4,477,774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6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4"/>
                <w:szCs w:val="14"/>
                <w:color w:val="auto"/>
              </w:rPr>
            </w:pPr>
          </w:p>
        </w:tc>
        <w:tc>
          <w:tcPr>
            <w:tcW w:w="22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16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314,277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060" w:type="dxa"/>
            <w:vAlign w:val="bottom"/>
          </w:tcPr>
          <w:p>
            <w:pPr>
              <w:jc w:val="right"/>
              <w:spacing w:after="0"/>
              <w:rPr>
                <w:sz w:val="20"/>
                <w:szCs w:val="20"/>
                <w:color w:val="auto"/>
              </w:rPr>
            </w:pPr>
            <w:r>
              <w:rPr>
                <w:rFonts w:ascii="Arial" w:cs="Arial" w:eastAsia="Arial" w:hAnsi="Arial"/>
                <w:sz w:val="18"/>
                <w:szCs w:val="18"/>
                <w:color w:val="auto"/>
              </w:rPr>
              <w:t>241,397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268,754</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475,128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tcPr>
          <w:p>
            <w:pPr>
              <w:jc w:val="right"/>
              <w:spacing w:after="0"/>
              <w:rPr>
                <w:sz w:val="20"/>
                <w:szCs w:val="20"/>
                <w:color w:val="auto"/>
              </w:rPr>
            </w:pPr>
            <w:r>
              <w:rPr>
                <w:rFonts w:ascii="Arial" w:cs="Arial" w:eastAsia="Arial" w:hAnsi="Arial"/>
                <w:sz w:val="18"/>
                <w:szCs w:val="18"/>
                <w:color w:val="auto"/>
              </w:rPr>
              <w:t>17,468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36,196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1,056,758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11,962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609,092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1,032,898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1,186,841</w:t>
            </w: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336,719</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60" w:type="dxa"/>
            <w:vAlign w:val="bottom"/>
          </w:tcPr>
          <w:p>
            <w:pPr>
              <w:jc w:val="right"/>
              <w:spacing w:after="0"/>
              <w:rPr>
                <w:sz w:val="20"/>
                <w:szCs w:val="20"/>
                <w:color w:val="auto"/>
              </w:rPr>
            </w:pPr>
            <w:r>
              <w:rPr>
                <w:rFonts w:ascii="Arial" w:cs="Arial" w:eastAsia="Arial" w:hAnsi="Arial"/>
                <w:sz w:val="18"/>
                <w:szCs w:val="18"/>
                <w:color w:val="auto"/>
              </w:rPr>
              <w:t>27,163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27,272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18,324</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60" w:type="dxa"/>
            <w:vAlign w:val="bottom"/>
          </w:tcPr>
          <w:p>
            <w:pPr>
              <w:jc w:val="right"/>
              <w:spacing w:after="0"/>
              <w:rPr>
                <w:sz w:val="20"/>
                <w:szCs w:val="20"/>
                <w:color w:val="auto"/>
              </w:rPr>
            </w:pPr>
            <w:r>
              <w:rPr>
                <w:rFonts w:ascii="Arial" w:cs="Arial" w:eastAsia="Arial" w:hAnsi="Arial"/>
                <w:sz w:val="18"/>
                <w:szCs w:val="18"/>
                <w:color w:val="auto"/>
              </w:rPr>
              <w:t>24,296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23,034</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13,883</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60" w:type="dxa"/>
            <w:vAlign w:val="bottom"/>
          </w:tcPr>
          <w:p>
            <w:pPr>
              <w:jc w:val="right"/>
              <w:spacing w:after="0"/>
              <w:rPr>
                <w:sz w:val="20"/>
                <w:szCs w:val="20"/>
                <w:color w:val="auto"/>
              </w:rPr>
            </w:pPr>
            <w:r>
              <w:rPr>
                <w:rFonts w:ascii="Arial" w:cs="Arial" w:eastAsia="Arial" w:hAnsi="Arial"/>
                <w:sz w:val="18"/>
                <w:szCs w:val="18"/>
                <w:color w:val="auto"/>
              </w:rPr>
              <w:t>15,895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17,493</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961,948</w:t>
            </w:r>
          </w:p>
        </w:tc>
        <w:tc>
          <w:tcPr>
            <w:tcW w:w="3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421,444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1,410,468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821,285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1,913,554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(801,376)</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(726,713)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31,872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(1,176,531)</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59,526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(1,164,514)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437,801</w:t>
            </w:r>
          </w:p>
        </w:tc>
        <w:tc>
          <w:tcPr>
            <w:tcW w:w="0" w:type="dxa"/>
            <w:vAlign w:val="bottom"/>
          </w:tcPr>
          <w:p>
            <w:pPr>
              <w:spacing w:after="0"/>
              <w:rPr>
                <w:sz w:val="1"/>
                <w:szCs w:val="1"/>
                <w:color w:val="auto"/>
              </w:rPr>
            </w:pPr>
          </w:p>
        </w:tc>
      </w:tr>
      <w:tr>
        <w:trPr>
          <w:trHeight w:val="31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060" w:type="dxa"/>
            <w:vAlign w:val="bottom"/>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430,066</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1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125,461,948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126,212,645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125,751,195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124,934,167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spacing w:after="0"/>
              <w:rPr>
                <w:sz w:val="20"/>
                <w:szCs w:val="20"/>
                <w:color w:val="auto"/>
              </w:rPr>
            </w:pPr>
            <w:r>
              <w:rPr>
                <w:rFonts w:ascii="Arial" w:cs="Arial" w:eastAsia="Arial" w:hAnsi="Arial"/>
                <w:sz w:val="18"/>
                <w:szCs w:val="18"/>
                <w:color w:val="auto"/>
              </w:rPr>
              <w:t>132,341,522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132,806,045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132,616,403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133,270,996</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6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$ 81,364</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375,155</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152,087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437,801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Currency translation adjustments (including a tax benefit of $1,723 for the three months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ended June 30, 2016 and $2,869 for the six months ended June 30, 2016)</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(16,104)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(22,342)</w:t>
            </w: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Actuarial loss (net of tax benefit of $228 and $8,121 for the three months ended June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30, 2016 and 2015, respectively, and $298 and $8,006 for the six months ended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June 30, 2016 and 2015, respectively)</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(14,836)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(14,617)</w:t>
            </w:r>
          </w:p>
        </w:tc>
      </w:tr>
      <w:tr>
        <w:trPr>
          <w:trHeight w:val="208"/>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w w:val="93"/>
              </w:rPr>
              <w:t>Adjustment for items reclassified to earnings (net of tax expense of $403 and $538 for</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w w:val="91"/>
              </w:rPr>
              <w:t>the three months ended June 30, 2016 and 2015, respectively, and $796 and $1,101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rPr>
              <w:t>for the six months ended June 30, 2016 and 2015, respectively)</w:t>
            </w: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8"/>
              </w:rPr>
              <w:t>(15,458)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w:t>
            </w:r>
          </w:p>
        </w:tc>
      </w:tr>
      <w:tr>
        <w:trPr>
          <w:trHeight w:val="221"/>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65,906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373,300</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403,218</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2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CEEFF"/>
          </w:tcPr>
          <w:p>
            <w:pPr>
              <w:spacing w:after="0"/>
              <w:rPr>
                <w:sz w:val="20"/>
                <w:szCs w:val="20"/>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$ 64,899</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372,258</w:t>
            </w:r>
          </w:p>
        </w:tc>
        <w:tc>
          <w:tcPr>
            <w:tcW w:w="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144,506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395,483</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152,087</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437,801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16,630</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and share-based incentive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199,217</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974</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25,159</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(1,195,319)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Provision pursuant to tax receivable agreement</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968,483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Gain on disposal of subsidiaries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(271,010)</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51,342</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(52,586)</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207,503</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(312,862)</w:t>
            </w: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(213,892)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520" w:type="dxa"/>
            <w:vAlign w:val="bottom"/>
          </w:tcPr>
          <w:p>
            <w:pPr>
              <w:ind w:left="12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18,271</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(11,118)</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52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4"/>
                <w:szCs w:val="14"/>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(10,959)</w:t>
            </w:r>
          </w:p>
        </w:tc>
        <w:tc>
          <w:tcPr>
            <w:tcW w:w="540" w:type="dxa"/>
            <w:vAlign w:val="bottom"/>
          </w:tcPr>
          <w:p>
            <w:pPr>
              <w:spacing w:after="0"/>
              <w:rPr>
                <w:sz w:val="14"/>
                <w:szCs w:val="14"/>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396,272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2,340</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8,004</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Senior debt</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(509,098)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(708)</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Payments under tax receivable agreement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(10,086)</w:t>
            </w: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(194,729)</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(242,085)</w:t>
            </w: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(54,164)</w:t>
            </w:r>
          </w:p>
        </w:tc>
        <w:tc>
          <w:tcPr>
            <w:tcW w:w="5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(2,327)</w:t>
            </w: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3"/>
              </w:rPr>
              <w:t>(494,497)</w:t>
            </w:r>
          </w:p>
        </w:tc>
        <w:tc>
          <w:tcPr>
            <w:tcW w:w="54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(540,838)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(22,770)</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3"/>
              </w:rPr>
              <w:t>(485,629)</w:t>
            </w:r>
          </w:p>
        </w:tc>
        <w:tc>
          <w:tcPr>
            <w:tcW w:w="54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(365,408)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1,132,083</w:t>
            </w:r>
          </w:p>
        </w:tc>
        <w:tc>
          <w:tcPr>
            <w:tcW w:w="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1,066,580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EQUIVALENTS—June 30</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646,454</w:t>
            </w:r>
          </w:p>
        </w:tc>
        <w:tc>
          <w:tcPr>
            <w:tcW w:w="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701,172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740" w:type="dxa"/>
            <w:vAlign w:val="bottom"/>
            <w:gridSpan w:val="4"/>
            <w:vMerge w:val="restart"/>
          </w:tcPr>
          <w:p>
            <w:pPr>
              <w:ind w:left="240"/>
              <w:spacing w:after="0" w:line="149" w:lineRule="exact"/>
              <w:rPr>
                <w:sz w:val="20"/>
                <w:szCs w:val="20"/>
                <w:color w:val="auto"/>
              </w:rPr>
            </w:pPr>
            <w:r>
              <w:rPr>
                <w:rFonts w:ascii="Arial" w:cs="Arial" w:eastAsia="Arial" w:hAnsi="Arial"/>
                <w:sz w:val="14"/>
                <w:szCs w:val="14"/>
                <w:b w:val="1"/>
                <w:bCs w:val="1"/>
                <w:color w:val="auto"/>
                <w:w w:val="85"/>
              </w:rPr>
              <w:t>Series A</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4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86"/>
              </w:rPr>
              <w:t>Preferred Stock</w:t>
            </w:r>
          </w:p>
        </w:tc>
        <w:tc>
          <w:tcPr>
            <w:tcW w:w="140" w:type="dxa"/>
            <w:vAlign w:val="bottom"/>
          </w:tcPr>
          <w:p>
            <w:pPr>
              <w:spacing w:after="0"/>
              <w:rPr>
                <w:sz w:val="4"/>
                <w:szCs w:val="4"/>
                <w:color w:val="auto"/>
              </w:rPr>
            </w:pPr>
          </w:p>
        </w:tc>
        <w:tc>
          <w:tcPr>
            <w:tcW w:w="1240" w:type="dxa"/>
            <w:vAlign w:val="bottom"/>
            <w:gridSpan w:val="3"/>
            <w:vMerge w:val="restart"/>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4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9"/>
                <w:szCs w:val="9"/>
                <w:color w:val="auto"/>
              </w:rPr>
            </w:pPr>
          </w:p>
        </w:tc>
        <w:tc>
          <w:tcPr>
            <w:tcW w:w="7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4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4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2015</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129,766,091</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$1,298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702,800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$ 464,655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(200,766)</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7,450,745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$(261,243)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706,744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63,313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770,057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430,066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430,066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7,735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437,801</w:t>
            </w:r>
          </w:p>
        </w:tc>
        <w:tc>
          <w:tcPr>
            <w:tcW w:w="0" w:type="dxa"/>
            <w:vAlign w:val="bottom"/>
          </w:tcPr>
          <w:p>
            <w:pPr>
              <w:spacing w:after="0"/>
              <w:rPr>
                <w:sz w:val="1"/>
                <w:szCs w:val="1"/>
                <w:color w:val="auto"/>
              </w:rPr>
            </w:pPr>
          </w:p>
        </w:tc>
      </w:tr>
      <w:tr>
        <w:trPr>
          <w:trHeight w:val="138"/>
        </w:trPr>
        <w:tc>
          <w:tcPr>
            <w:tcW w:w="2040" w:type="dxa"/>
            <w:vAlign w:val="bottom"/>
          </w:tcPr>
          <w:p>
            <w:pPr>
              <w:ind w:left="220"/>
              <w:spacing w:after="0" w:line="138" w:lineRule="exact"/>
              <w:rPr>
                <w:sz w:val="20"/>
                <w:szCs w:val="20"/>
                <w:color w:val="auto"/>
              </w:rPr>
            </w:pPr>
            <w:r>
              <w:rPr>
                <w:rFonts w:ascii="Arial" w:cs="Arial" w:eastAsia="Arial" w:hAnsi="Arial"/>
                <w:sz w:val="14"/>
                <w:szCs w:val="14"/>
                <w:color w:val="auto"/>
                <w:w w:val="92"/>
              </w:rPr>
              <w:t>Other comprehensive loss - net</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440"/>
              <w:spacing w:after="0" w:line="159" w:lineRule="exact"/>
              <w:rPr>
                <w:sz w:val="20"/>
                <w:szCs w:val="20"/>
                <w:color w:val="auto"/>
              </w:rPr>
            </w:pPr>
            <w:r>
              <w:rPr>
                <w:rFonts w:ascii="Arial" w:cs="Arial" w:eastAsia="Arial" w:hAnsi="Arial"/>
                <w:sz w:val="14"/>
                <w:szCs w:val="14"/>
                <w:color w:val="auto"/>
              </w:rPr>
              <w:t>of tax</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(34,583)</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(34,583)</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122,793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122,793</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122,793</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26,461</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(28,085)</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(1,624)</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Class A common stock dividends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(202,635)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(202,635)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(202,635)</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w w:val="91"/>
              </w:rPr>
              <w:t>Purchase of Class A common stock</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2,306,694</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(117,733)</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(117,733)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(117,733)</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Delivery of Class A common stock</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in connection with share-based</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related tax benefit of $9,495</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(323,588)</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(6,051,262)</w:t>
            </w:r>
          </w:p>
        </w:tc>
        <w:tc>
          <w:tcPr>
            <w:tcW w:w="8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230,449</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(93,139)</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(93,139)</w:t>
            </w:r>
          </w:p>
        </w:tc>
        <w:tc>
          <w:tcPr>
            <w:tcW w:w="0" w:type="dxa"/>
            <w:vAlign w:val="bottom"/>
          </w:tcPr>
          <w:p>
            <w:pPr>
              <w:spacing w:after="0"/>
              <w:rPr>
                <w:sz w:val="1"/>
                <w:szCs w:val="1"/>
                <w:color w:val="auto"/>
              </w:rPr>
            </w:pPr>
          </w:p>
        </w:tc>
      </w:tr>
      <w:tr>
        <w:trPr>
          <w:trHeight w:val="138"/>
        </w:trPr>
        <w:tc>
          <w:tcPr>
            <w:tcW w:w="2040" w:type="dxa"/>
            <w:vAlign w:val="bottom"/>
          </w:tcPr>
          <w:p>
            <w:pPr>
              <w:spacing w:after="0" w:line="138" w:lineRule="exact"/>
              <w:rPr>
                <w:sz w:val="20"/>
                <w:szCs w:val="20"/>
                <w:color w:val="auto"/>
              </w:rPr>
            </w:pPr>
            <w:r>
              <w:rPr>
                <w:rFonts w:ascii="Arial" w:cs="Arial" w:eastAsia="Arial" w:hAnsi="Arial"/>
                <w:sz w:val="14"/>
                <w:szCs w:val="14"/>
                <w:color w:val="auto"/>
                <w:w w:val="97"/>
              </w:rPr>
              <w:t>Business acquisitions and related</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1"/>
              </w:rPr>
              <w:t>Class A common stock issuable</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amortization)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315</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38"/>
        </w:trPr>
        <w:tc>
          <w:tcPr>
            <w:tcW w:w="2040" w:type="dxa"/>
            <w:vAlign w:val="bottom"/>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440"/>
              <w:spacing w:after="0" w:line="159" w:lineRule="exact"/>
              <w:rPr>
                <w:sz w:val="20"/>
                <w:szCs w:val="20"/>
                <w:color w:val="auto"/>
              </w:rPr>
            </w:pPr>
            <w:r>
              <w:rPr>
                <w:rFonts w:ascii="Arial" w:cs="Arial" w:eastAsia="Arial" w:hAnsi="Arial"/>
                <w:sz w:val="14"/>
                <w:szCs w:val="14"/>
                <w:color w:val="auto"/>
              </w:rPr>
              <w:t>stock</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(1,327)</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(27,316)</w:t>
            </w:r>
          </w:p>
        </w:tc>
        <w:tc>
          <w:tcPr>
            <w:tcW w:w="8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1,327</w:t>
            </w: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 net</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(11,883)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Balance – June 30, 2015</w:t>
            </w: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ind w:left="16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129,766,091</w:t>
            </w: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527,454</w:t>
            </w:r>
          </w:p>
        </w:tc>
        <w:tc>
          <w:tcPr>
            <w:tcW w:w="76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3"/>
              </w:rPr>
              <w:t>$ 664,001</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(235,349)</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6"/>
              </w:rPr>
              <w:t>3,678,861</w:t>
            </w:r>
          </w:p>
        </w:tc>
        <w:tc>
          <w:tcPr>
            <w:tcW w:w="82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(147,200)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810,204</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59,165</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869,369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720" w:type="dxa"/>
            <w:vAlign w:val="bottom"/>
            <w:gridSpan w:val="3"/>
            <w:vMerge w:val="restart"/>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Series A</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4"/>
                <w:szCs w:val="4"/>
                <w:color w:val="auto"/>
              </w:rPr>
            </w:pPr>
          </w:p>
        </w:tc>
        <w:tc>
          <w:tcPr>
            <w:tcW w:w="13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Held By Subsidiaries</w:t>
            </w:r>
          </w:p>
        </w:tc>
        <w:tc>
          <w:tcPr>
            <w:tcW w:w="10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Paid-In-</w:t>
            </w:r>
          </w:p>
        </w:tc>
        <w:tc>
          <w:tcPr>
            <w:tcW w:w="8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Retained</w:t>
            </w:r>
          </w:p>
        </w:tc>
        <w:tc>
          <w:tcPr>
            <w:tcW w:w="10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20" w:type="dxa"/>
            <w:vAlign w:val="bottom"/>
            <w:gridSpan w:val="4"/>
            <w:vMerge w:val="continue"/>
          </w:tcPr>
          <w:p>
            <w:pPr>
              <w:spacing w:after="0"/>
              <w:rPr>
                <w:sz w:val="9"/>
                <w:szCs w:val="9"/>
                <w:color w:val="auto"/>
              </w:rPr>
            </w:pPr>
          </w:p>
        </w:tc>
        <w:tc>
          <w:tcPr>
            <w:tcW w:w="10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02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jc w:val="right"/>
              <w:ind w:right="118"/>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Equity</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1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2016</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2"/>
              </w:rPr>
              <w:t>129,766,091</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w w:val="79"/>
              </w:rPr>
              <w:t>$1,298</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$600,034</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$1,123,728</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$(234,356)</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4,253,381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$(177,249)</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$1,313,455</w:t>
            </w: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$53,851</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$1,367,306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147,180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147,180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4,907</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152,087</w:t>
            </w:r>
          </w:p>
        </w:tc>
        <w:tc>
          <w:tcPr>
            <w:tcW w:w="0" w:type="dxa"/>
            <w:vAlign w:val="bottom"/>
          </w:tcPr>
          <w:p>
            <w:pPr>
              <w:spacing w:after="0"/>
              <w:rPr>
                <w:sz w:val="1"/>
                <w:szCs w:val="1"/>
                <w:color w:val="auto"/>
              </w:rPr>
            </w:pPr>
          </w:p>
        </w:tc>
      </w:tr>
      <w:tr>
        <w:trPr>
          <w:trHeight w:val="138"/>
        </w:trPr>
        <w:tc>
          <w:tcPr>
            <w:tcW w:w="1880" w:type="dxa"/>
            <w:vAlign w:val="bottom"/>
          </w:tcPr>
          <w:p>
            <w:pPr>
              <w:ind w:left="220"/>
              <w:spacing w:after="0" w:line="138" w:lineRule="exact"/>
              <w:rPr>
                <w:sz w:val="20"/>
                <w:szCs w:val="20"/>
                <w:color w:val="auto"/>
              </w:rPr>
            </w:pPr>
            <w:r>
              <w:rPr>
                <w:rFonts w:ascii="Arial" w:cs="Arial" w:eastAsia="Arial" w:hAnsi="Arial"/>
                <w:sz w:val="14"/>
                <w:szCs w:val="14"/>
                <w:color w:val="auto"/>
                <w:w w:val="95"/>
              </w:rPr>
              <w:t>Other comprehensive loss -</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440"/>
              <w:spacing w:after="0" w:line="159" w:lineRule="exact"/>
              <w:rPr>
                <w:sz w:val="20"/>
                <w:szCs w:val="20"/>
                <w:color w:val="auto"/>
              </w:rPr>
            </w:pPr>
            <w:r>
              <w:rPr>
                <w:rFonts w:ascii="Arial" w:cs="Arial" w:eastAsia="Arial" w:hAnsi="Arial"/>
                <w:sz w:val="14"/>
                <w:szCs w:val="14"/>
                <w:color w:val="auto"/>
              </w:rPr>
              <w:t>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(2,674)</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(2,674)</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155,325</w:t>
            </w: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155,325</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155,325</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28,364</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(30,691)</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(2,327)</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Class A common stock dividends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(242,085)</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(242,085)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(242,085)</w:t>
            </w:r>
          </w:p>
        </w:tc>
        <w:tc>
          <w:tcPr>
            <w:tcW w:w="0" w:type="dxa"/>
            <w:vAlign w:val="bottom"/>
          </w:tcPr>
          <w:p>
            <w:pPr>
              <w:spacing w:after="0"/>
              <w:rPr>
                <w:sz w:val="1"/>
                <w:szCs w:val="1"/>
                <w:color w:val="auto"/>
              </w:rPr>
            </w:pPr>
          </w:p>
        </w:tc>
      </w:tr>
      <w:tr>
        <w:trPr>
          <w:trHeight w:val="138"/>
        </w:trPr>
        <w:tc>
          <w:tcPr>
            <w:tcW w:w="1880" w:type="dxa"/>
            <w:vAlign w:val="bottom"/>
          </w:tcPr>
          <w:p>
            <w:pPr>
              <w:spacing w:after="0" w:line="138" w:lineRule="exact"/>
              <w:rPr>
                <w:sz w:val="20"/>
                <w:szCs w:val="20"/>
                <w:color w:val="auto"/>
              </w:rPr>
            </w:pPr>
            <w:r>
              <w:rPr>
                <w:rFonts w:ascii="Arial" w:cs="Arial" w:eastAsia="Arial" w:hAnsi="Arial"/>
                <w:sz w:val="14"/>
                <w:szCs w:val="14"/>
                <w:color w:val="auto"/>
              </w:rPr>
              <w:t>Purchase of Class A common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220"/>
              <w:spacing w:after="0" w:line="159" w:lineRule="exact"/>
              <w:rPr>
                <w:sz w:val="20"/>
                <w:szCs w:val="20"/>
                <w:color w:val="auto"/>
              </w:rPr>
            </w:pPr>
            <w:r>
              <w:rPr>
                <w:rFonts w:ascii="Arial" w:cs="Arial" w:eastAsia="Arial" w:hAnsi="Arial"/>
                <w:sz w:val="14"/>
                <w:szCs w:val="14"/>
                <w:color w:val="auto"/>
              </w:rPr>
              <w:t>stock</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9"/>
              </w:rPr>
              <w:t>5,646,092</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(194,729)</w:t>
            </w:r>
          </w:p>
        </w:tc>
        <w:tc>
          <w:tcPr>
            <w:tcW w:w="10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(194,729)</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(194,729)</w:t>
            </w: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in connection with</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share-based incentive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9"/>
              </w:rPr>
              <w:t>compensation and related tax</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benefit of $7,090</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(203,406)</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(3,889,417)</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156,332</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(47,074)</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(47,074)</w:t>
            </w:r>
          </w:p>
        </w:tc>
        <w:tc>
          <w:tcPr>
            <w:tcW w:w="0" w:type="dxa"/>
            <w:vAlign w:val="bottom"/>
          </w:tcPr>
          <w:p>
            <w:pPr>
              <w:spacing w:after="0"/>
              <w:rPr>
                <w:sz w:val="1"/>
                <w:szCs w:val="1"/>
                <w:color w:val="auto"/>
              </w:rPr>
            </w:pPr>
          </w:p>
        </w:tc>
      </w:tr>
      <w:tr>
        <w:trPr>
          <w:trHeight w:val="138"/>
        </w:trPr>
        <w:tc>
          <w:tcPr>
            <w:tcW w:w="1880" w:type="dxa"/>
            <w:vAlign w:val="bottom"/>
          </w:tcPr>
          <w:p>
            <w:pPr>
              <w:spacing w:after="0" w:line="138" w:lineRule="exact"/>
              <w:rPr>
                <w:sz w:val="20"/>
                <w:szCs w:val="20"/>
                <w:color w:val="auto"/>
              </w:rPr>
            </w:pPr>
            <w:r>
              <w:rPr>
                <w:rFonts w:ascii="Arial" w:cs="Arial" w:eastAsia="Arial" w:hAnsi="Arial"/>
                <w:sz w:val="14"/>
                <w:szCs w:val="14"/>
                <w:color w:val="auto"/>
                <w:w w:val="89"/>
              </w:rPr>
              <w:t>Business acquisitions and related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3"/>
              </w:rPr>
              <w:t>Delivery of Class A common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and related tax</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benefit of $11,126</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(19,167)</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(799,437)</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30,293</w:t>
            </w:r>
          </w:p>
        </w:tc>
        <w:tc>
          <w:tcPr>
            <w:tcW w:w="10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11,126</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11,126</w:t>
            </w:r>
          </w:p>
        </w:tc>
        <w:tc>
          <w:tcPr>
            <w:tcW w:w="0" w:type="dxa"/>
            <w:vAlign w:val="bottom"/>
          </w:tcPr>
          <w:p>
            <w:pPr>
              <w:spacing w:after="0"/>
              <w:rPr>
                <w:sz w:val="1"/>
                <w:szCs w:val="1"/>
                <w:color w:val="auto"/>
              </w:rPr>
            </w:pPr>
          </w:p>
        </w:tc>
      </w:tr>
      <w:tr>
        <w:trPr>
          <w:trHeight w:val="138"/>
        </w:trPr>
        <w:tc>
          <w:tcPr>
            <w:tcW w:w="18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(615)</w:t>
            </w:r>
          </w:p>
        </w:tc>
        <w:tc>
          <w:tcPr>
            <w:tcW w:w="8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8,004</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8,004</w:t>
            </w:r>
          </w:p>
        </w:tc>
        <w:tc>
          <w:tcPr>
            <w:tcW w:w="2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June 30, 2016</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w w:val="97"/>
              </w:rPr>
              <w:t>129,766,091</w:t>
            </w:r>
          </w:p>
        </w:tc>
        <w:tc>
          <w:tcPr>
            <w:tcW w:w="540" w:type="dxa"/>
            <w:vAlign w:val="bottom"/>
            <w:gridSpan w:val="2"/>
          </w:tcPr>
          <w:p>
            <w:pPr>
              <w:ind w:left="6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$569,154</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  998,132</w:t>
            </w:r>
          </w:p>
        </w:tc>
        <w:tc>
          <w:tcPr>
            <w:tcW w:w="14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$(237,030)</w:t>
            </w: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9"/>
              </w:rPr>
              <w:t>5,210,619</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(185,353)</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$1,146,201</w:t>
            </w:r>
          </w:p>
        </w:tc>
        <w:tc>
          <w:tcPr>
            <w:tcW w:w="200" w:type="dxa"/>
            <w:vAlign w:val="bottom"/>
          </w:tcPr>
          <w:p>
            <w:pPr>
              <w:spacing w:after="0"/>
              <w:rPr>
                <w:sz w:val="13"/>
                <w:szCs w:val="13"/>
                <w:color w:val="auto"/>
              </w:rPr>
            </w:pPr>
          </w:p>
        </w:tc>
        <w:tc>
          <w:tcPr>
            <w:tcW w:w="10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$58,143</w:t>
            </w: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$1,204,344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40" w:firstLine="8"/>
        <w:spacing w:after="0" w:line="344" w:lineRule="auto"/>
        <w:tabs>
          <w:tab w:leader="none" w:pos="44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2016 and December 31, 2015. Lazard Ltd, through its control of the managing members of Lazard Group, controls Lazard Group, which is governed by an Amended and Restated Operating Agreement dated as of October 26, 2015 (the “Operating Agreement”).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51" w:lineRule="exact"/>
        <w:rPr>
          <w:sz w:val="20"/>
          <w:szCs w:val="20"/>
          <w:color w:val="auto"/>
        </w:rPr>
      </w:pPr>
    </w:p>
    <w:p>
      <w:pPr>
        <w:jc w:val="both"/>
        <w:ind w:left="900" w:right="1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2015 (the “Form 10-K”). The accompanying December 31, 2015 unaudited condensed consolidated statement of financial condition data was derived from audited consolidated financial statements, but does not include all disclosures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4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2016 are not indicative of the results to be expected for any future interim or annual period.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90" w:lineRule="exact"/>
        <w:rPr>
          <w:rFonts w:ascii="Arial" w:cs="Arial" w:eastAsia="Arial" w:hAnsi="Arial"/>
          <w:sz w:val="18"/>
          <w:szCs w:val="18"/>
          <w:color w:val="auto"/>
        </w:rPr>
      </w:pPr>
    </w:p>
    <w:p>
      <w:pPr>
        <w:ind w:left="900" w:right="5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40"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Certain prior period amounts have been reclassified to conform to the current period presentation, primarily as a result of the adoption of the current guidance on classification of debt issuance costs and the impact of such guidance on the condensed consolidated statements of financial condition.</w:t>
      </w:r>
    </w:p>
    <w:p>
      <w:pPr>
        <w:spacing w:after="0" w:line="18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—In May 2014, the Financial Accounting Standards Board (the “FASB”) issued comprehensive new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guidance. The guidance requires a company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During 2016, the FASB issued additional clarifications for certain aspects of the new revenue recognition guidance. The Company is currently evaluating the new guidance.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Amendments to the Consolidation Analysis</w:t>
      </w:r>
      <w:r>
        <w:rPr>
          <w:rFonts w:ascii="Arial" w:cs="Arial" w:eastAsia="Arial" w:hAnsi="Arial"/>
          <w:sz w:val="16"/>
          <w:szCs w:val="16"/>
          <w:color w:val="auto"/>
        </w:rPr>
        <w:t>—In February 2015, the FASB issued updated guidance for the consolidation of certain legal entities.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updated guidance eliminates the deferral of certain consolidation standards for entities considered to be investment companies and modifies the evaluation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limited partnerships and similar legal entities are VIEs or VOEs. The new guidance is effective for annual reporting periods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2015, with early adoption permitted. The Company adopted this guidance using the modified retrospective method with an effective adoption date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January 1, 2016. The adoption of this guidance did not have a material impact on our consolidated financial statements or related disclosures.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—In April 2015, the FASB issued updated guidance which requires a company to classify debt issuance costs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and is to be applied on a retrospective basis. The adoption of this guidance by the Company in the first quarter of 2016 resulted in a reclassification as of December 31, 2015 of $8,992 from “other assets” to “senior debt” on our condensed consolidated statements of financial condition.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w:t>
      </w:r>
      <w:r>
        <w:rPr>
          <w:rFonts w:ascii="Arial" w:cs="Arial" w:eastAsia="Arial" w:hAnsi="Arial"/>
          <w:sz w:val="16"/>
          <w:szCs w:val="16"/>
          <w:i w:val="1"/>
          <w:iCs w:val="1"/>
          <w:color w:val="auto"/>
        </w:rPr>
        <w:t xml:space="preserve"> Customers Accounting for Fees Paid in a Cloud Computing Arrangement</w:t>
      </w:r>
      <w:r>
        <w:rPr>
          <w:rFonts w:ascii="Arial" w:cs="Arial" w:eastAsia="Arial" w:hAnsi="Arial"/>
          <w:sz w:val="16"/>
          <w:szCs w:val="16"/>
          <w:color w:val="auto"/>
        </w:rPr>
        <w:t>—In April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issued updated guidance providing clarification on whether a cloud computing arrangement that contains a software license should be accounted for as internal-use software. The new guidance is effective for annual and interim periods beginning after December 15, 2015, with early adoption permitted. The adoption of this guidance by the Company in the first quarter of 2016 did not have a material impact on our consolidated financial statements.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 lease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In March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and early adoption is permitted. The Company is currently evaluating the new guidance.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—In June 2016, the FASB issued new guidance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23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six month periods ended June 30, 2016 and 2015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5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5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$11,230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$18,459</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$ 23,540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2,065</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2,579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13,569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21,071</w:t>
            </w: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13,569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$ 21,071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condensed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2016 and December 31, 2015, the Company had receivables past due or deemed uncollectible of $19,839 and $19,923, respectively.</w:t>
      </w:r>
    </w:p>
    <w:p>
      <w:pPr>
        <w:spacing w:after="0" w:line="194"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Of the Company’s fee receivables at June 30, 2016 and December 31, 2015, $82,244 and $81,774,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$413,072 and $415,439 at June 30, 2016 and December 31, 2015, respectively, approximates fair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2016 and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30,631</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3"/>
          </w:tcPr>
          <w:p>
            <w:pPr>
              <w:spacing w:after="0"/>
              <w:rPr>
                <w:sz w:val="20"/>
                <w:szCs w:val="20"/>
                <w:color w:val="auto"/>
              </w:rPr>
            </w:pPr>
            <w:r>
              <w:rPr>
                <w:rFonts w:ascii="Arial" w:cs="Arial" w:eastAsia="Arial" w:hAnsi="Arial"/>
                <w:sz w:val="18"/>
                <w:szCs w:val="18"/>
                <w:color w:val="auto"/>
              </w:rPr>
              <w:t>Funds: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75,463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171,252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105,561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402,509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491,346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482,108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gridSpan w:val="3"/>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33,791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280" w:hanging="572"/>
        <w:spacing w:after="0" w:line="255"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$15,834, $38,350 and $131,204, respectively, at June 30, 2016 and $10,996, $31,598 and $156,081, respectively, at December 31, 2015,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Investments in debt securities and securities sold, not yet purchased (included in “other liabilities”) at June 30, 2016 primarily consist of convertible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three month and six month periods ended June 30, 2015.</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During the three month and six month periods ended June 30, 2016 and 2015, the Company reported in “revenue-other” on its condensed consolidated statements of operations net unrealized investment gains and losses pertaining to “trading” securities still held as of the reporting date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5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5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2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$ 859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(3,308)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fair value into a three-level fair value hierarchy as follows:</w:t>
      </w:r>
    </w:p>
    <w:p>
      <w:pPr>
        <w:spacing w:after="0" w:line="51"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9" w:lineRule="exact"/>
        <w:rPr>
          <w:sz w:val="20"/>
          <w:szCs w:val="20"/>
          <w:color w:val="auto"/>
        </w:rPr>
      </w:pPr>
    </w:p>
    <w:p>
      <w:pPr>
        <w:ind w:left="920" w:right="2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investments in debt securities and securities sold, not yet purchased are classified as Level 1 when their respective fair values are based on unadjusted quoted prices in active markets and are classified as Level 2 when their fair values are based on inputs that generally can be corroborated by observable market data.</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fair value of investments in private equity funds were classified as Level 3 for certain investments that were valued based on a potential transaction value as of June 30, 2015.</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44"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The following tables present, as of June 30, 2016 and December 31, 2015, the classification of (i) investments and certain other assets and liabilities measured at fair value on a recurring basis within the fair value hierarchy and (ii) investments measured at NAV or its equivalent as a practical expedient: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47,670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48,968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27,379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50,233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75,457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75,463</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171,213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171,252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105,561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321,719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31,347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482,824</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185,893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185,893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216,524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219,684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67,134</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197,745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197,787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100,219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354,101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479,157</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195,689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195,689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198,928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78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2 for additional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7"/>
              </w:rPr>
              <w:t>Three Months Ended June 30, 2016</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3"/>
              </w:rPr>
              <w:t>Acquisitions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1,301</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6"/>
              </w:rPr>
              <w:t>Six Months Ended June 30, 2016</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3"/>
              </w:rPr>
              <w:t>Acquisitions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8"/>
              </w:rPr>
              <w:t>Three Months Ended June 30, 2015 (a)</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3"/>
              </w:rPr>
              <w:t>Acquisitions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$ 23,414</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7"/>
              </w:rPr>
              <w:t>Six Months Ended June 30, 2015 (a)</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Transfers (c)</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1,315</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2,781</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19,887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64"/>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580" w:right="80" w:hanging="572"/>
        <w:spacing w:after="0" w:line="332"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tables for the three month and six month periods ended June 30, 2015 reflect the retrospective application of new disclosure guidance adopted by the Company for investments using NAV or its equivalent as a practical expedient when measuring fair value. See Note 2.</w:t>
      </w:r>
    </w:p>
    <w:p>
      <w:pPr>
        <w:spacing w:after="0" w:line="4" w:lineRule="exact"/>
        <w:rPr>
          <w:rFonts w:ascii="Arial" w:cs="Arial" w:eastAsia="Arial" w:hAnsi="Arial"/>
          <w:sz w:val="16"/>
          <w:szCs w:val="16"/>
          <w:color w:val="auto"/>
        </w:rPr>
      </w:pPr>
    </w:p>
    <w:p>
      <w:pPr>
        <w:ind w:left="580" w:right="38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2016 and the three month and six month periods ended June 30, 2015 include net unrealized gains of $2, $5, $150 and $2,781, respectively.</w:t>
      </w:r>
    </w:p>
    <w:p>
      <w:pPr>
        <w:spacing w:after="0" w:line="50"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2014 of $19,255 were transferred to Level 3 from the NAV category in the six months ended June 30, 2015 as these investments were valued based on potential transaction value as of June 30, 2015.</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2016 and 2015.</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tables present, at June 30, 2016 and December 31, 2015, certain investments that are valued using NAV or its equivalent as a practical expedient in determining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2016</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gridSpan w:val="6"/>
          </w:tcPr>
          <w:p>
            <w:pPr>
              <w:ind w:left="22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2560" w:type="dxa"/>
            <w:vAlign w:val="bottom"/>
            <w:gridSpan w:val="6"/>
          </w:tcPr>
          <w:p>
            <w:pPr>
              <w:ind w:left="320"/>
              <w:spacing w:after="0"/>
              <w:rPr>
                <w:sz w:val="20"/>
                <w:szCs w:val="20"/>
                <w:color w:val="auto"/>
              </w:rPr>
            </w:pPr>
            <w:r>
              <w:rPr>
                <w:rFonts w:ascii="Arial" w:cs="Arial" w:eastAsia="Arial" w:hAnsi="Arial"/>
                <w:sz w:val="14"/>
                <w:szCs w:val="14"/>
                <w:b w:val="1"/>
                <w:bCs w:val="1"/>
                <w:color w:val="auto"/>
              </w:rPr>
              <w:t>Investments Not Redeemable</w:t>
            </w:r>
          </w:p>
        </w:tc>
        <w:tc>
          <w:tcPr>
            <w:tcW w:w="1860" w:type="dxa"/>
            <w:vAlign w:val="bottom"/>
            <w:gridSpan w:val="3"/>
          </w:tcPr>
          <w:p>
            <w:pPr>
              <w:ind w:left="220"/>
              <w:spacing w:after="0"/>
              <w:rPr>
                <w:sz w:val="20"/>
                <w:szCs w:val="20"/>
                <w:color w:val="auto"/>
              </w:rPr>
            </w:pPr>
            <w:r>
              <w:rPr>
                <w:rFonts w:ascii="Arial" w:cs="Arial" w:eastAsia="Arial" w:hAnsi="Arial"/>
                <w:sz w:val="14"/>
                <w:szCs w:val="14"/>
                <w:b w:val="1"/>
                <w:bCs w:val="1"/>
                <w:color w:val="auto"/>
                <w:w w:val="96"/>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Unfunded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Years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680" w:type="dxa"/>
            <w:vAlign w:val="bottom"/>
          </w:tcPr>
          <w:p>
            <w:pPr>
              <w:jc w:val="right"/>
              <w:spacing w:after="0"/>
              <w:rPr>
                <w:sz w:val="20"/>
                <w:szCs w:val="20"/>
                <w:color w:val="auto"/>
              </w:rPr>
            </w:pPr>
            <w:r>
              <w:rPr>
                <w:rFonts w:ascii="Arial" w:cs="Arial" w:eastAsia="Arial" w:hAnsi="Arial"/>
                <w:sz w:val="18"/>
                <w:szCs w:val="18"/>
                <w:color w:val="auto"/>
              </w:rPr>
              <w:t>$21,806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1"/>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7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1"/>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680" w:type="dxa"/>
            <w:vAlign w:val="bottom"/>
          </w:tcPr>
          <w:p>
            <w:pPr>
              <w:jc w:val="right"/>
              <w:spacing w:after="0"/>
              <w:rPr>
                <w:sz w:val="20"/>
                <w:szCs w:val="20"/>
                <w:color w:val="auto"/>
              </w:rPr>
            </w:pPr>
            <w:r>
              <w:rPr>
                <w:rFonts w:ascii="Arial" w:cs="Arial" w:eastAsia="Arial" w:hAnsi="Arial"/>
                <w:sz w:val="18"/>
                <w:szCs w:val="18"/>
                <w:color w:val="auto"/>
              </w:rPr>
              <w:t>72,187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9,183(f)</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2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128,460</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9,183</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(44%), monthly (46%) and quarterly (10%)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(4%) and monthly (96%)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(19%), monthly (52%) and quarterly (29%)</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$6,890 are excluded. Such commitments are required to be funded by capital contributions from noncontrolling interest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gridSpan w:val="6"/>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26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Investments Not Redeemable</w:t>
            </w:r>
          </w:p>
        </w:tc>
        <w:tc>
          <w:tcPr>
            <w:tcW w:w="198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Unfunded</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5-10</w:t>
            </w: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Redeemable</w:t>
            </w: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5 Years</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Thereafter</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4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67,895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10,242(f)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3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39%</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2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122,732</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10,242</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3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June 30, 2016,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primarily arose from commitments to EGCP III, which amounted to $8,613,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3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economic hedging instruments are included in “interest income” and “interest expense”, respectively, or “revenue-other”, depending on the nature of the underlying item, in the condensed consolidated statements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June 30, 2016 and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193,574</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185,893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195,689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$327 and $7,127 as of June 30, 2016, respectively, and</w:t>
      </w:r>
    </w:p>
    <w:p>
      <w:pPr>
        <w:spacing w:after="0" w:line="38" w:lineRule="exact"/>
        <w:rPr>
          <w:rFonts w:ascii="Arial" w:cs="Arial" w:eastAsia="Arial" w:hAnsi="Arial"/>
          <w:sz w:val="16"/>
          <w:szCs w:val="16"/>
          <w:color w:val="auto"/>
        </w:rPr>
      </w:pPr>
    </w:p>
    <w:p>
      <w:pPr>
        <w:ind w:left="460" w:right="120"/>
        <w:spacing w:after="0" w:line="255" w:lineRule="auto"/>
        <w:rPr>
          <w:rFonts w:ascii="Arial" w:cs="Arial" w:eastAsia="Arial" w:hAnsi="Arial"/>
          <w:sz w:val="16"/>
          <w:szCs w:val="16"/>
          <w:color w:val="auto"/>
        </w:rPr>
      </w:pPr>
      <w:r>
        <w:rPr>
          <w:rFonts w:ascii="Arial" w:cs="Arial" w:eastAsia="Arial" w:hAnsi="Arial"/>
          <w:sz w:val="18"/>
          <w:szCs w:val="18"/>
          <w:color w:val="auto"/>
        </w:rPr>
        <w:t>$460 and $958 as of December 31, 2015, respectively, for contracts with the same counterparty under legally enforceable master netting agreements. Such amounts are recorded “net” in “other assets”, with receivables for net cash collateral under such contracts of $10,996 and $9,636 as of June 30, 2016 and December 31, 2015, respectively.</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2016 and 2015,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2016</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(4,023)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$(6,854)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1,894</w:t>
            </w:r>
          </w:p>
        </w:tc>
        <w:tc>
          <w:tcPr>
            <w:tcW w:w="240" w:type="dxa"/>
            <w:vAlign w:val="bottom"/>
          </w:tcPr>
          <w:p>
            <w:pPr>
              <w:spacing w:after="0"/>
              <w:rPr>
                <w:sz w:val="18"/>
                <w:szCs w:val="18"/>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(2,242)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(763)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(3,184)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(629)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(2,145)</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(6,114)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900" w:type="dxa"/>
            <w:vAlign w:val="bottom"/>
            <w:vMerge w:val="restart"/>
          </w:tcPr>
          <w:p>
            <w:pPr>
              <w:jc w:val="right"/>
              <w:ind w:right="189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2016 and December 31, 2015, property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Estimated</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8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9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Life in Years</w:t>
            </w: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$139,890</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3-20</w:t>
            </w:r>
          </w:p>
        </w:tc>
        <w:tc>
          <w:tcPr>
            <w:tcW w:w="700" w:type="dxa"/>
            <w:vAlign w:val="bottom"/>
          </w:tcPr>
          <w:p>
            <w:pPr>
              <w:jc w:val="right"/>
              <w:spacing w:after="0"/>
              <w:rPr>
                <w:sz w:val="20"/>
                <w:szCs w:val="20"/>
                <w:color w:val="auto"/>
              </w:rPr>
            </w:pPr>
            <w:r>
              <w:rPr>
                <w:rFonts w:ascii="Arial" w:cs="Arial" w:eastAsia="Arial" w:hAnsi="Arial"/>
                <w:sz w:val="18"/>
                <w:szCs w:val="18"/>
                <w:color w:val="auto"/>
              </w:rPr>
              <w:t>167,494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167,838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160,553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472,671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282,732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265,506</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201,929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207,165</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2016 and December 31, 2015 are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$322,939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320,761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r>
      <w:tr>
        <w:trPr>
          <w:trHeight w:val="27"/>
        </w:trPr>
        <w:tc>
          <w:tcPr>
            <w:tcW w:w="7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328,181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326,976</w:t>
            </w:r>
          </w:p>
        </w:tc>
        <w:tc>
          <w:tcPr>
            <w:tcW w:w="100" w:type="dxa"/>
            <w:vAlign w:val="bottom"/>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At June 30, 2016 and December 31, 2015, goodwill of $258,398 and $256,220,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2016 and 2015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$320,761</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$ 335,402</w:t>
            </w: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2,178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(8,580)</w:t>
            </w:r>
          </w:p>
        </w:tc>
      </w:tr>
      <w:tr>
        <w:trPr>
          <w:trHeight w:val="27"/>
        </w:trPr>
        <w:tc>
          <w:tcPr>
            <w:tcW w:w="7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322,939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$ 326,822</w:t>
            </w:r>
          </w:p>
        </w:tc>
        <w:tc>
          <w:tcPr>
            <w:tcW w:w="12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changes in the carrying amount of goodwill for the six month periods ended June 30, 2016 and 2015 are attributable to the Company’s Financial Advisory segment.</w:t>
      </w:r>
    </w:p>
    <w:p>
      <w:pPr>
        <w:spacing w:after="0" w:line="11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240" w:top="459" w:right="7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2016 and December 31, 2015,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June 30, 2016</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December 31, 2015</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36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36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$5,234</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360" w:type="dxa"/>
            <w:vAlign w:val="bottom"/>
          </w:tcPr>
          <w:p>
            <w:pPr>
              <w:ind w:left="220"/>
              <w:spacing w:after="0"/>
              <w:rPr>
                <w:sz w:val="20"/>
                <w:szCs w:val="20"/>
                <w:color w:val="auto"/>
              </w:rPr>
            </w:pPr>
            <w:r>
              <w:rPr>
                <w:rFonts w:ascii="Arial" w:cs="Arial" w:eastAsia="Arial" w:hAnsi="Arial"/>
                <w:sz w:val="18"/>
                <w:szCs w:val="18"/>
                <w:color w:val="auto"/>
              </w:rPr>
              <w:t>agreements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4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4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$58,534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5,242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$ 6,215</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2016 was $330 and $974, respectively, and for the three month and six month periods ended June 30, 2015 was $1,857 and $2,890,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040" w:type="dxa"/>
            <w:vAlign w:val="bottom"/>
            <w:vMerge w:val="restart"/>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gridSpan w:val="2"/>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2016 (July 1 through December 31)</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2016 and December 31,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9"/>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8"/>
              </w:rPr>
              <w:t>June 30, 2016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December 31, 2015</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Principal</w:t>
            </w:r>
          </w:p>
        </w:tc>
        <w:tc>
          <w:tcPr>
            <w:tcW w:w="9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Maturity</w:t>
            </w: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Unamortized</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Date</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Rate(b)</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Debt Costs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Debt Costs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Lazard Group 2017</w:t>
            </w:r>
          </w:p>
        </w:tc>
        <w:tc>
          <w:tcPr>
            <w:tcW w:w="1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Lazard Group 2020</w:t>
            </w:r>
          </w:p>
        </w:tc>
        <w:tc>
          <w:tcPr>
            <w:tcW w:w="17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500,000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11/14/20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495,970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4,491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495,509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Lazard Group 2025</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395,896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8,239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990,111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998,350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8,992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989,358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460" w:right="680"/>
        <w:spacing w:after="0" w:line="254" w:lineRule="auto"/>
        <w:rPr>
          <w:sz w:val="20"/>
          <w:szCs w:val="20"/>
          <w:color w:val="auto"/>
        </w:rPr>
      </w:pPr>
      <w:r>
        <w:rPr>
          <w:rFonts w:ascii="Arial" w:cs="Arial" w:eastAsia="Arial" w:hAnsi="Arial"/>
          <w:sz w:val="18"/>
          <w:szCs w:val="18"/>
          <w:color w:val="auto"/>
        </w:rPr>
        <w:t>costs, resulted in a loss on debt extinguishment of $60,219. Such loss on debt extinguishment was recorded in “operating expenses—other” on the condensed consolidated statement of operations for the six month period ended June 30, 2015.</w:t>
      </w:r>
    </w:p>
    <w:p>
      <w:pPr>
        <w:ind w:left="460" w:right="44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interest rates of the 2017 Notes, Lazard Group’s 4.25% senior notes due November 14, 2020 (the “2020 Notes”) and the 2025 Notes are 6.96%, 4.43% and 3.87%, respectively.</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table, as of December 31, 2015, reflects the retrospective application of new guidance adopted by the Company for debt issuance costs. See Note 2.</w:t>
      </w:r>
    </w:p>
    <w:p>
      <w:pPr>
        <w:spacing w:after="0" w:line="194"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June 30, 2016 and December 31, 2015, no amounts were outstanding under the Amended and Restated Credit Agreement.</w:t>
      </w:r>
    </w:p>
    <w:p>
      <w:pPr>
        <w:spacing w:after="0" w:line="10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2016, the Company was in compliance with such provisions. All of the Company’s senior debt obligations are unsecured.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30, 2016, the Company had approximately $215,000 in unused lines of credit available to it, including the credit facility provided under the Amended and Restated Credit Agreement, and unused lines of credit available to LFB of approximately $11,000 (at June 30, 2016 exchange rates) and Edgewater of $52,000. The unused lines of credit available to Edgewater are guaranteed by certain Edgewater private equity funds and can be drawn upon only by the applicable general partner, fund, or individual portfolio companies for the benefit of the applicable funds and individual portfolio companies of such funds. In addition, LFB has access to the Eurosystem Covered Bond Purchase Program of the Banque de France.</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Company’s senior debt at June 30, 2016 and December 31, 2015 is carried at historical amounts. At those dates, the fair value of such senior debt was approximately $1,037,000 and $994,000, respectively. The fair value of the Company’s senior debt is based on market quotations. The Company’s senior debt would be categorized within Level 2 of the hierarchy of fair value measurements if carried at fair value.</w:t>
      </w:r>
    </w:p>
    <w:p>
      <w:pPr>
        <w:spacing w:after="0" w:line="22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2016, LFB had $5,394 of such indemnifications and held $5,337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Certain Business Transactions</w:t>
      </w:r>
      <w:r>
        <w:rPr>
          <w:rFonts w:ascii="Arial" w:cs="Arial" w:eastAsia="Arial" w:hAnsi="Arial"/>
          <w:sz w:val="18"/>
          <w:szCs w:val="18"/>
          <w:color w:val="auto"/>
        </w:rPr>
        <w:t>—On July 15, 2009, the Company established a private equity business with Edgewater. Edgewater manages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focused on buy-out and growth equity investments in middle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June 30, 2016 and December 31, 2015, 114,285 and 913,722 shares, respectively, are issuable on a contingent basis, and 2,171,429 and 1,371,992 shares, respectively, have been earned because applicable performance thresholds have been satisfied. As of June 30, 2016 and December 31, 2015, 2,171,429 and 1,371,992, respectively, of the earned shares have been settled.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June 30, 2016, LFB and LFNY had no such underwriting commitments.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2016 and since 2013,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88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16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90"/>
              </w:rPr>
              <w:t>Authorization</w:t>
            </w:r>
          </w:p>
        </w:tc>
        <w:tc>
          <w:tcPr>
            <w:tcW w:w="1780" w:type="dxa"/>
            <w:vAlign w:val="bottom"/>
            <w:gridSpan w:val="2"/>
          </w:tcPr>
          <w:p>
            <w:pPr>
              <w:ind w:left="50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7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113,182</w:t>
            </w:r>
          </w:p>
        </w:tc>
        <w:tc>
          <w:tcPr>
            <w:tcW w:w="7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160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7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Price Per</w:t>
            </w:r>
          </w:p>
        </w:tc>
      </w:tr>
      <w:tr>
        <w:trPr>
          <w:trHeight w:val="161"/>
        </w:trPr>
        <w:tc>
          <w:tcPr>
            <w:tcW w:w="160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w w:val="92"/>
              </w:rPr>
              <w:t>Purchased</w:t>
            </w:r>
          </w:p>
        </w:tc>
        <w:tc>
          <w:tcPr>
            <w:tcW w:w="4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960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Six Months Ended June 30:</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2015</w:t>
            </w:r>
          </w:p>
        </w:tc>
        <w:tc>
          <w:tcPr>
            <w:tcW w:w="80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84"/>
              </w:rPr>
              <w:t>2,306,694</w:t>
            </w:r>
          </w:p>
        </w:tc>
        <w:tc>
          <w:tcPr>
            <w:tcW w:w="960" w:type="dxa"/>
            <w:vAlign w:val="bottom"/>
            <w:tcBorders>
              <w:top w:val="single" w:sz="8" w:color="CCEEFF"/>
            </w:tcBorders>
            <w:gridSpan w:val="2"/>
          </w:tcPr>
          <w:p>
            <w:pPr>
              <w:jc w:val="center"/>
              <w:ind w:left="332"/>
              <w:spacing w:after="0"/>
              <w:rPr>
                <w:sz w:val="20"/>
                <w:szCs w:val="20"/>
                <w:color w:val="auto"/>
              </w:rPr>
            </w:pPr>
            <w:r>
              <w:rPr>
                <w:rFonts w:ascii="Arial" w:cs="Arial" w:eastAsia="Arial" w:hAnsi="Arial"/>
                <w:sz w:val="18"/>
                <w:szCs w:val="18"/>
                <w:color w:val="auto"/>
                <w:w w:val="89"/>
              </w:rPr>
              <w:t>$ 51.04</w:t>
            </w:r>
          </w:p>
        </w:tc>
        <w:tc>
          <w:tcPr>
            <w:tcW w:w="100" w:type="dxa"/>
            <w:vAlign w:val="bottom"/>
            <w:tcBorders>
              <w:top w:val="single" w:sz="8" w:color="CCEEFF"/>
            </w:tcBorders>
          </w:tcPr>
          <w:p>
            <w:pPr>
              <w:spacing w:after="0"/>
              <w:rPr>
                <w:sz w:val="24"/>
                <w:szCs w:val="24"/>
                <w:color w:val="auto"/>
              </w:rPr>
            </w:pPr>
          </w:p>
        </w:tc>
      </w:tr>
      <w:tr>
        <w:trPr>
          <w:trHeight w:val="218"/>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00" w:type="dxa"/>
            <w:vAlign w:val="bottom"/>
            <w:shd w:val="clear" w:color="auto" w:fill="CCEEFF"/>
          </w:tcPr>
          <w:p>
            <w:pPr>
              <w:spacing w:after="0"/>
              <w:rPr>
                <w:sz w:val="18"/>
                <w:szCs w:val="18"/>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5,646,092</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$ 34.49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six month periods ended June 30, 2016 and 2015, certain of our executive officers received Class A common stock in connection with the vesting of previously-granted deferred equity incentive awards. The vesting of such equity awards gave rise to a tax payable by the executive officers, and, consistent with our past practice, the Company purchased shares of Class A common stock from the executive officers equal in value to the estimated amount of such tax. In addition, during the three month period ended June 30, 2016, the Company purchased shares of Class A common stock from an executive officer. The aggregate value of all such purchases during the six month periods ended June 30, 2016 and 2015 was approximately $4,900 and $17,700, respectively.</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June 30, 2016, a total of $224,614 of share repurchase authorization remained available under the Company’s share repurchase program, which will expire on December 31, 2017.</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six month period ended June 30, 2016,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are each non-participating securities convertible into Class A common stock, and have no voting or dividend rights. As of both June 30, 2016 and December 31, 2015, 7,921 shares of Series A preferred stock were outstanding, and no shares of Series B preferred stock were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outstanding. At June 30, 2016 and December 31, 2015, no shares of Series A preferred stock were convertible into shares of Class A common stock on a contingent or a non-contingent basis.</w:t>
      </w:r>
    </w:p>
    <w:p>
      <w:pPr>
        <w:spacing w:after="0" w:line="12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Net of Tax </w:t>
      </w:r>
      <w:r>
        <w:rPr>
          <w:rFonts w:ascii="Arial" w:cs="Arial" w:eastAsia="Arial" w:hAnsi="Arial"/>
          <w:sz w:val="18"/>
          <w:szCs w:val="18"/>
          <w:b w:val="1"/>
          <w:bCs w:val="1"/>
          <w:color w:val="auto"/>
        </w:rPr>
        <w:t>(“AOCI”)</w:t>
      </w:r>
      <w:r>
        <w:rPr>
          <w:rFonts w:ascii="Arial" w:cs="Arial" w:eastAsia="Arial" w:hAnsi="Arial"/>
          <w:sz w:val="18"/>
          <w:szCs w:val="18"/>
          <w:color w:val="auto"/>
        </w:rPr>
        <w:t>—The tables below reflect the balances of each component of AOCI at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2015 and activity during the six month periods then ended: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12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4"/>
              </w:rPr>
              <w:t>Employee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120" w:type="dxa"/>
            <w:vAlign w:val="bottom"/>
            <w:gridSpan w:val="2"/>
          </w:tcPr>
          <w:p>
            <w:pPr>
              <w:jc w:val="center"/>
              <w:ind w:right="338"/>
              <w:spacing w:after="0" w:line="149" w:lineRule="exact"/>
              <w:rPr>
                <w:sz w:val="20"/>
                <w:szCs w:val="20"/>
                <w:color w:val="auto"/>
              </w:rPr>
            </w:pPr>
            <w:r>
              <w:rPr>
                <w:rFonts w:ascii="Arial" w:cs="Arial" w:eastAsia="Arial" w:hAnsi="Arial"/>
                <w:sz w:val="14"/>
                <w:szCs w:val="14"/>
                <w:b w:val="1"/>
                <w:bCs w:val="1"/>
                <w:color w:val="auto"/>
                <w:w w:val="88"/>
              </w:rPr>
              <w:t>Benefit</w:t>
            </w:r>
          </w:p>
        </w:tc>
        <w:tc>
          <w:tcPr>
            <w:tcW w:w="96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11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1120" w:type="dxa"/>
            <w:vAlign w:val="bottom"/>
            <w:gridSpan w:val="2"/>
          </w:tcPr>
          <w:p>
            <w:pPr>
              <w:jc w:val="center"/>
              <w:ind w:right="318"/>
              <w:spacing w:after="0"/>
              <w:rPr>
                <w:sz w:val="20"/>
                <w:szCs w:val="20"/>
                <w:color w:val="auto"/>
              </w:rPr>
            </w:pPr>
            <w:r>
              <w:rPr>
                <w:rFonts w:ascii="Arial" w:cs="Arial" w:eastAsia="Arial" w:hAnsi="Arial"/>
                <w:sz w:val="14"/>
                <w:szCs w:val="14"/>
                <w:b w:val="1"/>
                <w:bCs w:val="1"/>
                <w:color w:val="auto"/>
                <w:w w:val="85"/>
              </w:rPr>
              <w:t>Plans</w:t>
            </w:r>
          </w:p>
        </w:tc>
        <w:tc>
          <w:tcPr>
            <w:tcW w:w="9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97"/>
              </w:rPr>
              <w:t>AOCI</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0"/>
        </w:trPr>
        <w:tc>
          <w:tcPr>
            <w:tcW w:w="59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(97,284</w:t>
            </w:r>
          </w:p>
        </w:tc>
        <w:tc>
          <w:tcPr>
            <w:tcW w:w="4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(137,073</w:t>
            </w:r>
          </w:p>
        </w:tc>
        <w:tc>
          <w:tcPr>
            <w:tcW w:w="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(234,357</w:t>
            </w:r>
          </w:p>
        </w:tc>
        <w:tc>
          <w:tcPr>
            <w:tcW w:w="2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(234,356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Activity January 1 to June 30, 2016:</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(4,365)</w:t>
            </w:r>
          </w:p>
        </w:tc>
        <w:tc>
          <w:tcPr>
            <w:tcW w:w="11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(616)</w:t>
            </w: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(4,981)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2,307</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Balance, June 30, 2016</w:t>
            </w: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w w:val="82"/>
              </w:rPr>
              <w:t>$ (101,649)</w:t>
            </w:r>
          </w:p>
        </w:tc>
        <w:tc>
          <w:tcPr>
            <w:tcW w:w="1120" w:type="dxa"/>
            <w:vAlign w:val="bottom"/>
            <w:gridSpan w:val="2"/>
          </w:tcPr>
          <w:p>
            <w:pPr>
              <w:jc w:val="right"/>
              <w:ind w:right="25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(135,382)</w:t>
            </w:r>
          </w:p>
        </w:tc>
        <w:tc>
          <w:tcPr>
            <w:tcW w:w="960" w:type="dxa"/>
            <w:vAlign w:val="bottom"/>
            <w:gridSpan w:val="2"/>
          </w:tcPr>
          <w:p>
            <w:pPr>
              <w:jc w:val="right"/>
              <w:ind w:right="7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(237,031)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(237,030)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12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4"/>
              </w:rPr>
              <w:t>Employee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120" w:type="dxa"/>
            <w:vAlign w:val="bottom"/>
            <w:gridSpan w:val="2"/>
          </w:tcPr>
          <w:p>
            <w:pPr>
              <w:jc w:val="center"/>
              <w:ind w:right="338"/>
              <w:spacing w:after="0" w:line="149" w:lineRule="exact"/>
              <w:rPr>
                <w:sz w:val="20"/>
                <w:szCs w:val="20"/>
                <w:color w:val="auto"/>
              </w:rPr>
            </w:pPr>
            <w:r>
              <w:rPr>
                <w:rFonts w:ascii="Arial" w:cs="Arial" w:eastAsia="Arial" w:hAnsi="Arial"/>
                <w:sz w:val="14"/>
                <w:szCs w:val="14"/>
                <w:b w:val="1"/>
                <w:bCs w:val="1"/>
                <w:color w:val="auto"/>
                <w:w w:val="88"/>
              </w:rPr>
              <w:t>Benefit</w:t>
            </w:r>
          </w:p>
        </w:tc>
        <w:tc>
          <w:tcPr>
            <w:tcW w:w="96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11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1120" w:type="dxa"/>
            <w:vAlign w:val="bottom"/>
            <w:gridSpan w:val="2"/>
          </w:tcPr>
          <w:p>
            <w:pPr>
              <w:jc w:val="center"/>
              <w:ind w:right="318"/>
              <w:spacing w:after="0"/>
              <w:rPr>
                <w:sz w:val="20"/>
                <w:szCs w:val="20"/>
                <w:color w:val="auto"/>
              </w:rPr>
            </w:pPr>
            <w:r>
              <w:rPr>
                <w:rFonts w:ascii="Arial" w:cs="Arial" w:eastAsia="Arial" w:hAnsi="Arial"/>
                <w:sz w:val="14"/>
                <w:szCs w:val="14"/>
                <w:b w:val="1"/>
                <w:bCs w:val="1"/>
                <w:color w:val="auto"/>
                <w:w w:val="85"/>
              </w:rPr>
              <w:t>Plans</w:t>
            </w:r>
          </w:p>
        </w:tc>
        <w:tc>
          <w:tcPr>
            <w:tcW w:w="9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97"/>
              </w:rPr>
              <w:t>AOCI</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0"/>
        </w:trPr>
        <w:tc>
          <w:tcPr>
            <w:tcW w:w="59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4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(154,665</w:t>
            </w:r>
          </w:p>
        </w:tc>
        <w:tc>
          <w:tcPr>
            <w:tcW w:w="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(200,767</w:t>
            </w:r>
          </w:p>
        </w:tc>
        <w:tc>
          <w:tcPr>
            <w:tcW w:w="2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(200,766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Activity January 1 to June 30, 2015:</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(22,342)</w:t>
            </w:r>
          </w:p>
        </w:tc>
        <w:tc>
          <w:tcPr>
            <w:tcW w:w="11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(14,617)</w:t>
            </w: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(36,959)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other comprehensive loss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(22,342)</w:t>
            </w:r>
          </w:p>
        </w:tc>
        <w:tc>
          <w:tcPr>
            <w:tcW w:w="11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(12,241)</w:t>
            </w: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(34,583)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(68,444)</w:t>
            </w:r>
          </w:p>
        </w:tc>
        <w:tc>
          <w:tcPr>
            <w:tcW w:w="1120" w:type="dxa"/>
            <w:vAlign w:val="bottom"/>
            <w:gridSpan w:val="2"/>
          </w:tcPr>
          <w:p>
            <w:pPr>
              <w:jc w:val="right"/>
              <w:ind w:right="25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(166,906)</w:t>
            </w:r>
          </w:p>
        </w:tc>
        <w:tc>
          <w:tcPr>
            <w:tcW w:w="960" w:type="dxa"/>
            <w:vAlign w:val="bottom"/>
            <w:gridSpan w:val="2"/>
          </w:tcPr>
          <w:p>
            <w:pPr>
              <w:jc w:val="right"/>
              <w:ind w:right="7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(235,350)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(235,349)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adjustments for items reclassified out of AOCI, by component, for the three month and six month periods ended June 30, 2016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relating to employee benefit plans (a)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$ 1,524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$ 1,728</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$ 3,103</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Less – related income taxes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$ 1,121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2016 and 2015 and noncontrolling interests as of June 30, 2016 and December 31, 2015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7"/>
              </w:rPr>
              <w:t>Net Income</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5"/>
              </w:rPr>
              <w:t>Interests</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2016</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3"/>
              </w:rPr>
              <w:t>2015</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7,734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7,735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2"/>
              </w:rPr>
              <w:t>June 30,</w:t>
            </w:r>
          </w:p>
        </w:tc>
        <w:tc>
          <w:tcPr>
            <w:tcW w:w="7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Dividends Declared, July 27, 2016</w:t>
      </w:r>
      <w:r>
        <w:rPr>
          <w:rFonts w:ascii="Arial" w:cs="Arial" w:eastAsia="Arial" w:hAnsi="Arial"/>
          <w:sz w:val="18"/>
          <w:szCs w:val="18"/>
          <w:color w:val="auto"/>
        </w:rPr>
        <w:t>— On July 27, 2016, the Board of Directors of Lazard declared a quarterly dividend of $0.38 per share on our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payable on August 19, 2016, to stockholders of record on August 8, 2016.</w:t>
      </w:r>
    </w:p>
    <w:p>
      <w:pPr>
        <w:spacing w:after="0" w:line="25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description of Lazard Ltd’s 2008 Plan and 2005 Plan and activity with respect thereto during the three month and six month periods ended June 30, 2016 and 2015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six month periods ended June 30,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2015</w:t>
            </w:r>
          </w:p>
        </w:tc>
        <w:tc>
          <w:tcPr>
            <w:tcW w:w="6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RSUs</w:t>
            </w:r>
          </w:p>
        </w:tc>
        <w:tc>
          <w:tcPr>
            <w:tcW w:w="800" w:type="dxa"/>
            <w:vAlign w:val="bottom"/>
          </w:tcPr>
          <w:p>
            <w:pPr>
              <w:jc w:val="right"/>
              <w:spacing w:after="0"/>
              <w:rPr>
                <w:sz w:val="20"/>
                <w:szCs w:val="20"/>
                <w:color w:val="auto"/>
              </w:rPr>
            </w:pPr>
            <w:r>
              <w:rPr>
                <w:rFonts w:ascii="Arial" w:cs="Arial" w:eastAsia="Arial" w:hAnsi="Arial"/>
                <w:sz w:val="18"/>
                <w:szCs w:val="18"/>
                <w:color w:val="auto"/>
              </w:rPr>
              <w:t>$40,564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32,263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$94,972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27,024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8,342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31,818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$60,687</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44,870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$155,325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2016 and 2015, issuances of RSUs pertaining to such dividend participation rights and respective charges to “retained earnings”, net of estimated forfeitures (with corresponding credits to “additional paid-in-capital”),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9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94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9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841,433</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529,616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$ 28,364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$ 26,461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38,771 and 23,961 DSUs granted in connection with annual compensation during the six month periods ended June 30, 2016 and 2015,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w:t>
      </w:r>
    </w:p>
    <w:p>
      <w:pPr>
        <w:spacing w:after="0" w:line="14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2016 and 2015, 4,467 and 1,183 DSUs, respectively, had been granted pursuant to such Plan.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2016 and 2015: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DSUs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8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9,599,658</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312,670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Granted (including 841,433 RSUs relating to dividend participation)</w:t>
            </w:r>
          </w:p>
        </w:tc>
        <w:tc>
          <w:tcPr>
            <w:tcW w:w="840" w:type="dxa"/>
            <w:vAlign w:val="bottom"/>
          </w:tcPr>
          <w:p>
            <w:pPr>
              <w:jc w:val="right"/>
              <w:spacing w:after="0"/>
              <w:rPr>
                <w:sz w:val="20"/>
                <w:szCs w:val="20"/>
                <w:color w:val="auto"/>
              </w:rPr>
            </w:pPr>
            <w:r>
              <w:rPr>
                <w:rFonts w:ascii="Arial" w:cs="Arial" w:eastAsia="Arial" w:hAnsi="Arial"/>
                <w:sz w:val="18"/>
                <w:szCs w:val="18"/>
                <w:color w:val="auto"/>
              </w:rPr>
              <w:t>6,486,463</w:t>
            </w:r>
          </w:p>
        </w:tc>
        <w:tc>
          <w:tcPr>
            <w:tcW w:w="2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34.47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43,238</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(94,692)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(4,233,894)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39.10</w:t>
            </w:r>
          </w:p>
        </w:tc>
        <w:tc>
          <w:tcPr>
            <w:tcW w:w="300" w:type="dxa"/>
            <w:vAlign w:val="bottom"/>
          </w:tcPr>
          <w:p>
            <w:pPr>
              <w:spacing w:after="0"/>
              <w:rPr>
                <w:sz w:val="19"/>
                <w:szCs w:val="19"/>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(84,759)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11,757,535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271,149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2015</w:t>
            </w: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35.19</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13,529,116</w:t>
            </w:r>
          </w:p>
        </w:tc>
        <w:tc>
          <w:tcPr>
            <w:tcW w:w="28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286,227</w:t>
            </w: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529,616 RSUs relating to dividend participation)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3,982,135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(397,637)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43.04</w:t>
            </w:r>
          </w:p>
        </w:tc>
        <w:tc>
          <w:tcPr>
            <w:tcW w:w="3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(6,873,352)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Balance, June 30,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10,240,262</w:t>
            </w:r>
          </w:p>
        </w:tc>
        <w:tc>
          <w:tcPr>
            <w:tcW w:w="28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43.14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311,371</w:t>
            </w:r>
          </w:p>
        </w:tc>
        <w:tc>
          <w:tcPr>
            <w:tcW w:w="1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RSUs that vested during the six month periods ended June 30, 2016 and 2015, the Company satisfied its minimum statutory tax withholding requirements in lieu of delivering 1,382,153 and 1,895,301 shares of Class A common stock during such respective six month periods. Accordingly, 2,851,741 and 4,978,051 shares of Class A common stock held by the Company were delivered during the six month periods ended June 30, 2016 and 2015, respectively.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June 30, 2016, estimated unrecognized RSU compensation expense was approximately $211,443, with such expense expected to be recognized over a weighted average period of approximately 1.0 years subsequent to June 30, 2016.</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2016 and 2015:</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Restricted</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713,738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1,795,258</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(30,412)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(729,457)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1,749,127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January 1, 2015</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729,827</w:t>
            </w:r>
          </w:p>
        </w:tc>
        <w:tc>
          <w:tcPr>
            <w:tcW w:w="5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576,886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(44,769)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(501,298)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Balance, June 30,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760,646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2016 and 2015, the Company satisfied its minimum statutory tax withholding requirements in lieu of delivering 129,389 and 92,500 shares of Class A common stock during such respective six month periods. Accordingly, 600,068 and 408,798 shares of Class A common stock held by the Company were delivered during the six month periods ended June 30, 2016 and 2015, respectively.</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June 30, 2016, estimated unrecognized restricted stock expense was approximately $45,100, with such expense to be recognized over a weighted average period of approximately 1.1 years subsequent to June 30, 2016.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2016 and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92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1,019,038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627,956</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(417,018)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Balance, June 30, 2016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1,229,976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1,347,148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368,389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(696,499)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Balance, June 30,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1,019,038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171" w:lineRule="exact"/>
        <w:rPr>
          <w:sz w:val="20"/>
          <w:szCs w:val="20"/>
          <w:color w:val="auto"/>
        </w:rPr>
      </w:pPr>
    </w:p>
    <w:p>
      <w:pPr>
        <w:jc w:val="both"/>
        <w:ind w:right="500" w:firstLine="456"/>
        <w:spacing w:after="0" w:line="335" w:lineRule="auto"/>
        <w:rPr>
          <w:sz w:val="20"/>
          <w:szCs w:val="20"/>
          <w:color w:val="auto"/>
        </w:rPr>
      </w:pPr>
      <w:r>
        <w:rPr>
          <w:rFonts w:ascii="Arial" w:cs="Arial" w:eastAsia="Arial" w:hAnsi="Arial"/>
          <w:sz w:val="15"/>
          <w:szCs w:val="15"/>
          <w:color w:val="auto"/>
        </w:rPr>
        <w:t>In connection with PRSUs that vested during the six month periods ended June 30, 2016 and 2015, the Company satisfied its minimum statutory tax withholding requirements in lieu of delivering 64,169 and 32,086 shares of Class A common stock during such respective six month periods. Accordingly, 352,849 and 664,413 shares of Class A common stock held by the Company were delivered during the six month periods ended June 30, 2016 and 2015.</w:t>
      </w:r>
    </w:p>
    <w:p>
      <w:pPr>
        <w:spacing w:after="0" w:line="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2016, the total estimated unrecognized compensation expense was approximately $19,783, and the Company expects to amortize such expense over a weighted-average period of approximately 0.8 years subsequent to June 30, 2016.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liability, which contemplates the impact of estimated forfeitures, and is adjusted for changes in fair value primarily related to changes in value of the underlying investments.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six month periods ended June 30, 2016 and 2015:</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51,871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51,871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(68,628)</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(37,890)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2016</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88,107</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177,129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89,817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(92,893)</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(3,259)</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(44,522)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115,490</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202,063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June 30, 2016.</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2016 and 2015:</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w:t>
            </w:r>
          </w:p>
        </w:tc>
        <w:tc>
          <w:tcPr>
            <w:tcW w:w="2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$19,852</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$18,260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$40,751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(1,894)</w:t>
            </w:r>
          </w:p>
        </w:tc>
        <w:tc>
          <w:tcPr>
            <w:tcW w:w="1340" w:type="dxa"/>
            <w:vAlign w:val="bottom"/>
            <w:gridSpan w:val="3"/>
          </w:tcPr>
          <w:p>
            <w:pPr>
              <w:jc w:val="right"/>
              <w:ind w:right="392"/>
              <w:spacing w:after="0"/>
              <w:rPr>
                <w:sz w:val="20"/>
                <w:szCs w:val="20"/>
                <w:color w:val="auto"/>
              </w:rPr>
            </w:pPr>
            <w:r>
              <w:rPr>
                <w:rFonts w:ascii="Arial" w:cs="Arial" w:eastAsia="Arial" w:hAnsi="Arial"/>
                <w:sz w:val="18"/>
                <w:szCs w:val="18"/>
                <w:color w:val="auto"/>
              </w:rPr>
              <w:t>(2,202)</w:t>
            </w:r>
          </w:p>
        </w:tc>
        <w:tc>
          <w:tcPr>
            <w:tcW w:w="58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20,164</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38,549</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80" w:type="dxa"/>
            <w:vAlign w:val="bottom"/>
            <w:vMerge w:val="restart"/>
          </w:tcPr>
          <w:p>
            <w:pPr>
              <w:jc w:val="right"/>
              <w:ind w:right="1012"/>
              <w:spacing w:after="0"/>
              <w:rPr>
                <w:sz w:val="20"/>
                <w:szCs w:val="20"/>
                <w:color w:val="auto"/>
              </w:rPr>
            </w:pPr>
            <w:r>
              <w:rPr>
                <w:rFonts w:ascii="Arial" w:cs="Arial" w:eastAsia="Arial" w:hAnsi="Arial"/>
                <w:sz w:val="18"/>
                <w:szCs w:val="18"/>
                <w:color w:val="auto"/>
              </w:rPr>
              <w:t>33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Medical Plan</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10"/>
          </w:tcPr>
          <w:p>
            <w:pPr>
              <w:ind w:left="200"/>
              <w:spacing w:after="0" w:line="142" w:lineRule="exact"/>
              <w:rPr>
                <w:sz w:val="20"/>
                <w:szCs w:val="20"/>
                <w:color w:val="auto"/>
              </w:rPr>
            </w:pPr>
            <w:r>
              <w:rPr>
                <w:rFonts w:ascii="Arial" w:cs="Arial" w:eastAsia="Arial" w:hAnsi="Arial"/>
                <w:sz w:val="14"/>
                <w:szCs w:val="14"/>
                <w:b w:val="1"/>
                <w:bCs w:val="1"/>
                <w:color w:val="auto"/>
                <w:w w:val="97"/>
              </w:rPr>
              <w:t>Three Months Ended June 30,</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5,246</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(7,233)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(7,019)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1,012</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$ 1,215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Medical Plan</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9"/>
          </w:tcPr>
          <w:p>
            <w:pPr>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12,259</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60" w:type="dxa"/>
            <w:vAlign w:val="bottom"/>
            <w:gridSpan w:val="6"/>
          </w:tcPr>
          <w:p>
            <w:pPr>
              <w:jc w:val="right"/>
              <w:ind w:right="240"/>
              <w:spacing w:after="0"/>
              <w:rPr>
                <w:sz w:val="20"/>
                <w:szCs w:val="20"/>
                <w:color w:val="auto"/>
              </w:rPr>
            </w:pPr>
            <w:r>
              <w:rPr>
                <w:rFonts w:ascii="Arial" w:cs="Arial" w:eastAsia="Arial" w:hAnsi="Arial"/>
                <w:sz w:val="18"/>
                <w:szCs w:val="18"/>
                <w:color w:val="auto"/>
              </w:rPr>
              <w:t>(14,399)</w:t>
            </w: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(14,090)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2,001</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(124)</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Company recorded income tax provisions (benefits) of $31,872 and $59,526 for the three month and six month periods ended June 30, 2016, respectively, and $(1,176,531) and $(1,164,514) for the three month and six month periods ended June 30, 2015, respectively, representing effective tax rates of 28.1%, 28.1%, 146.8% and 160.2%,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 and (iv) U.S. state and local taxes (primarily UBT), which are incremental to the U.S. federal statutory tax rate.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2014, the Company had a valuation allowance on substantially all of our deferred tax assets. Certain of our tax-paying entities at which we have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during the year ended December 31, 2015, we recorded a deferred tax benefit of approximately $878,000, including $821,000 recorded in the second quarter of 2015. In addition, we also recorded (i) in the second quarter of 2015, a separate deferred tax benefit of approximately $378,000 that reflected the tax deductibility of payments under the tax receivable agreement and (ii) in the third quarter of 2015, a deferred tax expense of approximately $161,000 relating to the reduction of a deferred tax asset as a result of the partial extinguishment of our tax receivable agreement obligation. See Note 16 for more information regarding our accrual under the tax receivable agreement in the second quarter of 2015 and the partial extinguishment of our tax receivable agreement obligation in the third quarter of 2015.</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26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2016 and 2015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 plus,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and dilutive, (i) changes in net income attributable to noncontrolling interests resulting from assumed Class A common stock issuances in connection with share-based incentive compensation and (ii) income tax related to (i) above.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Denominator </w:t>
      </w:r>
      <w:r>
        <w:rPr>
          <w:rFonts w:ascii="Arial" w:cs="Arial" w:eastAsia="Arial" w:hAnsi="Arial"/>
          <w:sz w:val="18"/>
          <w:szCs w:val="18"/>
          <w:color w:val="auto"/>
        </w:rPr>
        <w:t>—utilizes the weighted average number of shares of Class A common stock outstanding for the respective periods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calculation described above, plus, to the extent dilutive, the incremental number of shares of Class A common stock required to settle share-based incentive compensation.</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2016 and 2015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917"/>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897"/>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 - basic</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374,113</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2"/>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374,113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$147,180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125,389,937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126,140,634</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125,679,184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124,862,156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0"/>
              </w:rPr>
              <w:t>Add - adjustment for shares of Class A common stock issuable on a non-contingent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basis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72,011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72,011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72,011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of Class A common stock outstanding - basic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125,461,948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126,212,645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125,751,195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124,934,167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Weighted average number of incremental shares of Class A common stock</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issuable from share-based incentive compensation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6,879,574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6,593,400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6,865,208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8,336,829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w w:val="90"/>
              </w:rPr>
              <w:t>Weighted average number of shares of Class A common stock outstanding - diluted</w:t>
            </w: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132,341,522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132,806,045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132,616,403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133,270,996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auto"/>
              </w:rPr>
              <w:t>36</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left="240" w:right="9300" w:hanging="232"/>
        <w:spacing w:after="0" w:line="387" w:lineRule="auto"/>
        <w:tabs>
          <w:tab w:leader="none" w:pos="458"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RELATED PARTIES Sponsored Funds</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$124,794 and $243,704 for the three month and six month periods ended June 30, 2016, respectively, and $140,275 and $275,621 for the three month and six month periods ended June 30, 2015, respectively, and are included in “asset management fees” on the condensed consolidated statements of operations. Of such amounts, $49,762 and $42,002 remained as a receivable at June 30, 2016 and December 31, 2015, respectively, and is included in “fees receivable” on the condensed consolidated statements of financial condition.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 (i) approximately 45% (following</w:t>
      </w:r>
    </w:p>
    <w:p>
      <w:pPr>
        <w:spacing w:after="0" w:line="252" w:lineRule="auto"/>
        <w:rPr>
          <w:sz w:val="20"/>
          <w:szCs w:val="20"/>
          <w:color w:val="auto"/>
        </w:rPr>
      </w:pPr>
      <w:r>
        <w:rPr>
          <w:rFonts w:ascii="Arial" w:cs="Arial" w:eastAsia="Arial" w:hAnsi="Arial"/>
          <w:sz w:val="18"/>
          <w:szCs w:val="18"/>
          <w:color w:val="auto"/>
        </w:rPr>
        <w:t>the July 2015 purchase described below)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4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described in Note 14,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14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pursuant to tax receivable agreement” on the consolidated statement of operations for the year ended December 31, 2015. In addition, the extinguishment of these payment obligations resulted in a reduction of the tax benefits that would have been attributable to the actual payments and, accordingly, we recorded a deferred tax expense of approximately $161,000 on the consolidated statement of operations for the year ended December 31, 2015.</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three month and six month periods ended June 30, 2015, the Company recorded a “provision pursuant to tax receivable agreement” on the condensed consolidated statements of operations of $961,948 and $968,483, respectively. The cumulative liability relating to our obligations under the Amended and Restated Tax Receivable Agreement as of June 30, 2016 and December 31, 2015 was $513,623 and $523,962, respectively, and is recorded in “tax receivable agreement obligation” on the condensed consolidated statements of financial condition. The balance at June 30, 2016 reflects a payment made under the Amended and Restated Tax Receivable Agreement in the first quarter of 2016 of $10,086.</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9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5"/>
          <w:szCs w:val="15"/>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9"/>
          <w:szCs w:val="19"/>
          <w:color w:val="auto"/>
          <w:vertAlign w:val="subscript"/>
        </w:rPr>
        <w:t>3</w:t>
      </w:r>
      <w:r>
        <w:rPr>
          <w:rFonts w:ascii="Arial" w:cs="Arial" w:eastAsia="Arial" w:hAnsi="Arial"/>
          <w:sz w:val="15"/>
          <w:szCs w:val="15"/>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2016, LFNY’s regulatory net capital was $74,673, which exceeded the minimum requirement by $71,156. LFNY’s aggregate indebtedness to net capital ratio was 0.71:1 as of June 30, 2016.</w:t>
      </w:r>
    </w:p>
    <w:p>
      <w:pPr>
        <w:spacing w:after="0" w:line="1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2016, the aggregate regulatory net capital of the U.K. Subsidiaries was $131,369, which exceeded the minimum requirement by $115,629.</w:t>
      </w:r>
    </w:p>
    <w:p>
      <w:pPr>
        <w:spacing w:after="0" w:line="140"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June 30, 2016, the consolidated regulatory net capital of CFLF was $132,672, which exceeded the minimum requirement set for regulatory capital levels by $88,184. In addition, pursuant to the consolidated supervision rules in the European Union, LFB, in particular, as a French credit institution, is required to be supervised by a regulatory body, either in the U.S. or in the European Union.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2016, the regulatory net capital of the combined European regulated group was $175,874, which exceeded the minimum requirement set for regulatory capital levels by $102,363.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2016, for those subsidiaries with regulatory capital requirements, their aggregate net capital was $103,005, which exceeded the minimum required capital by $77,533.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2016,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1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2016 and 2015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left="517"/>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3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Revenue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286,965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316,384</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40" w:type="dxa"/>
            <w:vAlign w:val="bottom"/>
          </w:tcPr>
          <w:p>
            <w:pPr>
              <w:ind w:left="96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233,727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253,221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460,805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496,156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92,174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780" w:type="dxa"/>
            <w:vAlign w:val="bottom"/>
            <w:gridSpan w:val="3"/>
            <w:vMerge w:val="continue"/>
          </w:tcPr>
          <w:p>
            <w:pPr>
              <w:spacing w:after="0"/>
              <w:rPr>
                <w:sz w:val="24"/>
                <w:szCs w:val="24"/>
                <w:color w:val="auto"/>
              </w:rPr>
            </w:pPr>
          </w:p>
        </w:tc>
        <w:tc>
          <w:tcPr>
            <w:tcW w:w="3440" w:type="dxa"/>
            <w:vAlign w:val="bottom"/>
          </w:tcPr>
          <w:p>
            <w:pPr>
              <w:ind w:left="960"/>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254,126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305,838</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499,885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585,645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182,702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193,791</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357,863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40" w:type="dxa"/>
            <w:vAlign w:val="bottom"/>
            <w:vMerge w:val="restart"/>
          </w:tcPr>
          <w:p>
            <w:pPr>
              <w:ind w:left="960"/>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71,424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112,047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142,022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3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40" w:type="dxa"/>
            <w:vAlign w:val="bottom"/>
          </w:tcPr>
          <w:p>
            <w:pPr>
              <w:ind w:left="960"/>
              <w:spacing w:after="0"/>
              <w:rPr>
                <w:sz w:val="20"/>
                <w:szCs w:val="20"/>
                <w:color w:val="auto"/>
              </w:rPr>
            </w:pPr>
            <w:r>
              <w:rPr>
                <w:rFonts w:ascii="Arial" w:cs="Arial" w:eastAsia="Arial" w:hAnsi="Arial"/>
                <w:sz w:val="18"/>
                <w:szCs w:val="18"/>
                <w:color w:val="auto"/>
              </w:rPr>
              <w:t>Operating Expenses (a)</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963,456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2,617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1,041,815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Loss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(11,426)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(976,586)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(22,583)</w:t>
            </w:r>
          </w:p>
        </w:tc>
        <w:tc>
          <w:tcPr>
            <w:tcW w:w="11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(1,058,522)</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780" w:type="dxa"/>
            <w:vAlign w:val="bottom"/>
            <w:gridSpan w:val="3"/>
            <w:vMerge w:val="continue"/>
          </w:tcPr>
          <w:p>
            <w:pPr>
              <w:spacing w:after="0"/>
              <w:rPr>
                <w:sz w:val="24"/>
                <w:szCs w:val="24"/>
                <w:color w:val="auto"/>
              </w:rPr>
            </w:pPr>
          </w:p>
        </w:tc>
        <w:tc>
          <w:tcPr>
            <w:tcW w:w="3440" w:type="dxa"/>
            <w:vAlign w:val="bottom"/>
          </w:tcPr>
          <w:p>
            <w:pPr>
              <w:ind w:left="960"/>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534,680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609,092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1,032,898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1,186,841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421,444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1,410,468</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821,285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1,913,554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40" w:type="dxa"/>
            <w:vAlign w:val="bottom"/>
            <w:vMerge w:val="restart"/>
          </w:tcPr>
          <w:p>
            <w:pPr>
              <w:ind w:left="960"/>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113,236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(801,376)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211,613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(726,713)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85"/>
              </w:rPr>
              <w:t>As Of</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420"/>
              <w:spacing w:after="0"/>
              <w:rPr>
                <w:sz w:val="20"/>
                <w:szCs w:val="20"/>
                <w:color w:val="auto"/>
              </w:rPr>
            </w:pPr>
            <w:r>
              <w:rPr>
                <w:rFonts w:ascii="Arial" w:cs="Arial" w:eastAsia="Arial" w:hAnsi="Arial"/>
                <w:sz w:val="18"/>
                <w:szCs w:val="18"/>
                <w:color w:val="auto"/>
              </w:rPr>
              <w:t>Financial Advisory</w:t>
            </w:r>
          </w:p>
        </w:tc>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732,462</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763,374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3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583,487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420"/>
              <w:spacing w:after="0"/>
              <w:rPr>
                <w:sz w:val="20"/>
                <w:szCs w:val="20"/>
                <w:color w:val="auto"/>
              </w:rPr>
            </w:pPr>
            <w:r>
              <w:rPr>
                <w:rFonts w:ascii="Arial" w:cs="Arial" w:eastAsia="Arial" w:hAnsi="Arial"/>
                <w:sz w:val="18"/>
                <w:szCs w:val="18"/>
                <w:color w:val="auto"/>
              </w:rPr>
              <w:t>Corporate (b)</w:t>
            </w:r>
          </w:p>
        </w:tc>
        <w:tc>
          <w:tcPr>
            <w:tcW w:w="3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2,899,672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3,074,366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(b)</w:t>
            </w:r>
          </w:p>
        </w:tc>
        <w:tc>
          <w:tcPr>
            <w:tcW w:w="3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4,215,621</w:t>
            </w:r>
          </w:p>
        </w:tc>
        <w:tc>
          <w:tcPr>
            <w:tcW w:w="11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$ 4,477,774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8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Operating expenses include $961,948 and $968,483 in the three month and six month periods ended June 30, 2015, respectively, recorded for the provision pursuant to the tax receivable agreement. See Note 16 for information regarding the tax receivable agreement obligation.</w:t>
      </w: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December 31, 2015, reflects the retrospective application of new disclosure guidance adopted by the Company for debt issuance costs. See Note 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2015 (the “Form 10-K”). All references to “2016”, “2015”, “second quarter”, “first half” or “the period” refer to, as the context requires, the three month and six month periods ended June 30, 2016 and June 30,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in our Form 10-Q for the quarter ended March 31, 2016 and in this Form 10-Q under the caption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risks and uncertainties are not exhaustive. Other sections of the Form 10-K, our Form 10-Q for the quarter ended March 31, 2016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5620" w:right="3220" w:hanging="5045"/>
        <w:spacing w:after="0" w:line="440" w:lineRule="auto"/>
        <w:tabs>
          <w:tab w:leader="none" w:pos="8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 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38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82"/>
              </w:rPr>
              <w:t>June 30,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960" w:type="dxa"/>
            <w:vAlign w:val="bottom"/>
            <w:gridSpan w:val="3"/>
          </w:tcPr>
          <w:p>
            <w:pPr>
              <w:jc w:val="right"/>
              <w:ind w:right="800"/>
              <w:spacing w:after="0"/>
              <w:rPr>
                <w:sz w:val="20"/>
                <w:szCs w:val="20"/>
                <w:color w:val="auto"/>
              </w:rPr>
            </w:pPr>
            <w:r>
              <w:rPr>
                <w:rFonts w:ascii="Arial" w:cs="Arial" w:eastAsia="Arial" w:hAnsi="Arial"/>
                <w:sz w:val="18"/>
                <w:szCs w:val="18"/>
                <w:color w:val="auto"/>
              </w:rPr>
              <w:t>50</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96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85"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Equity market indices for developed markets at June 30, 2016 generally decreased as compared to such indices at June 30, 2015. Emerging markets equity indices at June 30, 2016 decreased as compared to June 30, 2015, but increased in the first half of 2016 compared to December 31, 2015. In the global M&amp;A markets during the first half of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the first half of 2016, global restructuring activity, as measured by the number of corporate defaults, increased as compared to the first half of 2015, primarily due to a higher level of defaults in the commodity sector.</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first half of 2016, volatile market conditions continued. On an ongoing basis, volatile conditions may persist, and regional macroeconomic and geopolitical factors, including the United Kingdom’s vote to leave the European Union, may impact our business.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00" w:hanging="325"/>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The fundamentals for continued M&amp;A activity appear to remain in place. Demand continues for expert, independent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w:t>
      </w:r>
    </w:p>
    <w:p>
      <w:pPr>
        <w:spacing w:after="0" w:line="61" w:lineRule="exact"/>
        <w:rPr>
          <w:rFonts w:ascii="Arial" w:cs="Arial" w:eastAsia="Arial" w:hAnsi="Arial"/>
          <w:sz w:val="18"/>
          <w:szCs w:val="18"/>
          <w:color w:val="auto"/>
        </w:rPr>
      </w:pPr>
    </w:p>
    <w:p>
      <w:pPr>
        <w:ind w:left="900" w:right="60" w:hanging="325"/>
        <w:spacing w:after="0" w:line="28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In the short to intermediate term, we expect most investor demand will come from defined benefit and defined contribution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European Long/Short Equity, various Quantitative Equity strategies and Middle East North African Equities.</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our Form 10-Q for the quarter ended March 31, 2016 and this Form 10-Q.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half of 2016 as compared to 2015. With respect to announced M&amp;A transactions, the value and number of all transactions, including announced transactions with values greater than $500 million, also decreased in the first half of 2016 as compared to 2015.</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jc w:val="right"/>
              <w:ind w:right="218"/>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w w:val="83"/>
              </w:rPr>
              <w:t>2016</w:t>
            </w:r>
          </w:p>
        </w:tc>
        <w:tc>
          <w:tcPr>
            <w:tcW w:w="420" w:type="dxa"/>
            <w:vAlign w:val="bottom"/>
          </w:tcPr>
          <w:p>
            <w:pPr>
              <w:spacing w:after="0"/>
              <w:rPr>
                <w:sz w:val="14"/>
                <w:szCs w:val="14"/>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Incr / (Decr)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4"/>
                <w:szCs w:val="14"/>
                <w:color w:val="auto"/>
              </w:rPr>
            </w:pPr>
          </w:p>
        </w:tc>
        <w:tc>
          <w:tcPr>
            <w:tcW w:w="9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Incr / (Decr)</w:t>
            </w:r>
          </w:p>
        </w:tc>
      </w:tr>
      <w:tr>
        <w:trPr>
          <w:trHeight w:val="142"/>
        </w:trPr>
        <w:tc>
          <w:tcPr>
            <w:tcW w:w="3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ind w:right="534"/>
              <w:spacing w:after="0" w:line="142" w:lineRule="exact"/>
              <w:rPr>
                <w:sz w:val="20"/>
                <w:szCs w:val="20"/>
                <w:color w:val="auto"/>
              </w:rPr>
            </w:pPr>
            <w:r>
              <w:rPr>
                <w:rFonts w:ascii="Arial" w:cs="Arial" w:eastAsia="Arial" w:hAnsi="Arial"/>
                <w:sz w:val="14"/>
                <w:szCs w:val="14"/>
                <w:b w:val="1"/>
                <w:bCs w:val="1"/>
                <w:color w:val="auto"/>
              </w:rPr>
              <w:t>($ in billions)</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1,077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1,720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1,979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9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w w:val="84"/>
              </w:rPr>
              <w:t>8,011</w:t>
            </w:r>
          </w:p>
        </w:tc>
        <w:tc>
          <w:tcPr>
            <w:tcW w:w="42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8"/>
                <w:szCs w:val="18"/>
                <w:color w:val="auto"/>
                <w:w w:val="87"/>
              </w:rPr>
              <w:t>10,265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w w:val="83"/>
              </w:rPr>
              <w:t>17,341</w:t>
            </w:r>
          </w:p>
        </w:tc>
        <w:tc>
          <w:tcPr>
            <w:tcW w:w="40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8"/>
                <w:szCs w:val="18"/>
                <w:color w:val="auto"/>
                <w:w w:val="87"/>
              </w:rPr>
              <w:t>20,446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663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6"/>
              <w:spacing w:after="0"/>
              <w:rPr>
                <w:sz w:val="20"/>
                <w:szCs w:val="20"/>
                <w:color w:val="auto"/>
              </w:rPr>
            </w:pPr>
            <w:r>
              <w:rPr>
                <w:rFonts w:ascii="Arial" w:cs="Arial" w:eastAsia="Arial" w:hAnsi="Arial"/>
                <w:sz w:val="18"/>
                <w:szCs w:val="18"/>
                <w:color w:val="auto"/>
              </w:rPr>
              <w:t>835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1,338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6"/>
              <w:spacing w:after="0"/>
              <w:rPr>
                <w:sz w:val="20"/>
                <w:szCs w:val="20"/>
                <w:color w:val="auto"/>
              </w:rPr>
            </w:pPr>
            <w:r>
              <w:rPr>
                <w:rFonts w:ascii="Arial" w:cs="Arial" w:eastAsia="Arial" w:hAnsi="Arial"/>
                <w:sz w:val="18"/>
                <w:szCs w:val="18"/>
                <w:color w:val="auto"/>
              </w:rPr>
              <w:t>1,530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312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594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954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6"/>
              <w:spacing w:after="0"/>
              <w:rPr>
                <w:sz w:val="20"/>
                <w:szCs w:val="20"/>
                <w:color w:val="auto"/>
              </w:rPr>
            </w:pPr>
            <w:r>
              <w:rPr>
                <w:rFonts w:ascii="Arial" w:cs="Arial" w:eastAsia="Arial" w:hAnsi="Arial"/>
                <w:sz w:val="18"/>
                <w:szCs w:val="18"/>
                <w:color w:val="auto"/>
              </w:rPr>
              <w:t>1,176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1,715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6"/>
              <w:spacing w:after="0"/>
              <w:rPr>
                <w:sz w:val="20"/>
                <w:szCs w:val="20"/>
                <w:color w:val="auto"/>
              </w:rPr>
            </w:pPr>
            <w:r>
              <w:rPr>
                <w:rFonts w:ascii="Arial" w:cs="Arial" w:eastAsia="Arial" w:hAnsi="Arial"/>
                <w:sz w:val="18"/>
                <w:szCs w:val="18"/>
                <w:color w:val="auto"/>
              </w:rPr>
              <w:t>2,087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4"/>
              </w:rPr>
              <w:t>8,905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87"/>
              </w:rPr>
              <w:t>10,547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3"/>
              </w:rPr>
              <w:t>18,727</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87"/>
              </w:rPr>
              <w:t>20,853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904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1,604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39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8"/>
                <w:szCs w:val="18"/>
                <w:color w:val="auto"/>
              </w:rPr>
              <w:t>324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563</w:t>
            </w:r>
          </w:p>
        </w:tc>
        <w:tc>
          <w:tcPr>
            <w:tcW w:w="40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8"/>
                <w:szCs w:val="18"/>
                <w:color w:val="auto"/>
              </w:rPr>
              <w:t>599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July 6, 2016.</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Global restructuring activity during the first half of 2016, as measured by the number of corporate defaults, increased as compared to the first half of 2015. The number of defaulting issuers increased to 88 in the first half of 2016, according to Moody’s Investors Service, Inc., as compared to 38 in the first half of 2015, primarily due to a higher level of defaults in the commodity sector.</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22% in 2016 as compared to 2015. The industry statistics for global M&amp;A transactions described above reflect a 13% and 15% decrease in the value and number, respectively, of all completed transactions in the first half of 2016 as compared to 2015. For M&amp;A deals with values greater than $500 million, the value and number of completed transactions in the first half of 2016 decreased 13% and 17%, respectively, as compared to 2015.</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percentage change in major equity market indices at June 30, 2016, as compared to such indices at March 31, 2016, December 31, 2015, and at June 30, 2015,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June 30, 2016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10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March 31,</w:t>
            </w:r>
          </w:p>
        </w:tc>
        <w:tc>
          <w:tcPr>
            <w:tcW w:w="520" w:type="dxa"/>
            <w:vAlign w:val="bottom"/>
          </w:tcPr>
          <w:p>
            <w:pPr>
              <w:spacing w:after="0"/>
              <w:rPr>
                <w:sz w:val="11"/>
                <w:szCs w:val="11"/>
                <w:color w:val="auto"/>
              </w:rPr>
            </w:pPr>
          </w:p>
        </w:tc>
        <w:tc>
          <w:tcPr>
            <w:tcW w:w="182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5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Euro Stoxx</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340" w:type="dxa"/>
            <w:vAlign w:val="bottom"/>
            <w:gridSpan w:val="3"/>
          </w:tcPr>
          <w:p>
            <w:pPr>
              <w:jc w:val="right"/>
              <w:ind w:right="80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3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340" w:type="dxa"/>
            <w:vAlign w:val="bottom"/>
            <w:gridSpan w:val="3"/>
          </w:tcPr>
          <w:p>
            <w:pPr>
              <w:jc w:val="right"/>
              <w:ind w:right="86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June 30, 2016 increased 3% versus AUM at December 31, 2015, primarily due to foreign exchange and market appreciation. Average AUM for the first half of 2016 decreased 6% as compared to average AUM in the first half of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Corporate segment net revenue during 2016 is not significant compared to Lazard’s net revenue, total assets in the Corporate segment represented 69% of Lazard’s consolidated total assets as of June 30, 2016, which are attributable to cash and cash equivalents, investments in debt and equity securities, interests in alternative investment, debt, equity and private equity funds, deferred tax assets and certain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w:t>
      </w:r>
    </w:p>
    <w:p>
      <w:pPr>
        <w:ind w:left="240" w:hanging="232"/>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share-based incentive compensation under the Lazard Ltd 2008 Incentive Compensation Plan (the “2008 Plan”) and the Lazard Ltd 2005 Equity Incentive</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9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2016 related to the 2015 year-end compensation process), including Performance-based restricted stock unit (“PRSU”) awards (based on the target payout level);</w:t>
      </w:r>
    </w:p>
    <w:p>
      <w:pPr>
        <w:spacing w:after="0" w:line="59"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 55.8% and 55.4%, respectively, for the year ended December 31, 2015.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9 of Notes to Condensed Consolidated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65"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Our operating expenses also include our “provision pursuant to the tax receivable agreement” and the “amortization of intangible assets related to acquisitions”. For all periods, the amortization of intangible assets related to acquisitions pertains primarily to the acquisition of Edgewater.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second quarter of 2015, we released substantially all of our valuation allowance related to deferred tax assets. When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 In addition, in the third quarter of 2015, we purchased a portion of our obligation relating to the tax receivable agreement, which had the effect of reducing such liability.</w:t>
      </w:r>
    </w:p>
    <w:p>
      <w:pPr>
        <w:spacing w:after="0" w:line="11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See “Critical Accounting Policies and Estimates—Income Taxes” below and Notes 14 and 16 of Notes to Condensed Consolidated Financial Statements for additional information regarding income taxes, our deferred tax assets, the valuation allowance release in 2015 and the tax receivable agreement obligation.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six month periods ended June 30, 2016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5"/>
          </w:tcPr>
          <w:p>
            <w:pPr>
              <w:jc w:val="right"/>
              <w:ind w:right="1212"/>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534,680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609,092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4"/>
              </w:rPr>
              <w:t>1,032,898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1,186,841</w:t>
            </w:r>
          </w:p>
        </w:tc>
        <w:tc>
          <w:tcPr>
            <w:tcW w:w="0" w:type="dxa"/>
            <w:vAlign w:val="bottom"/>
          </w:tcPr>
          <w:p>
            <w:pPr>
              <w:spacing w:after="0"/>
              <w:rPr>
                <w:sz w:val="1"/>
                <w:szCs w:val="1"/>
                <w:color w:val="auto"/>
              </w:rPr>
            </w:pPr>
          </w:p>
        </w:tc>
      </w:tr>
      <w:tr>
        <w:trPr>
          <w:trHeight w:val="3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308,310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605,520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112,804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109,944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214,791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961,948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968,483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421,444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1,410,468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821,285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1,913,554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113,236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(801,376)</w:t>
            </w:r>
          </w:p>
        </w:tc>
        <w:tc>
          <w:tcPr>
            <w:tcW w:w="100" w:type="dxa"/>
            <w:vAlign w:val="bottom"/>
          </w:tcPr>
          <w:p>
            <w:pPr>
              <w:spacing w:after="0"/>
              <w:rPr>
                <w:sz w:val="19"/>
                <w:szCs w:val="19"/>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211,613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(726,713)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(1,176,531)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59,526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(1,164,514)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81,364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375,155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152,087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437,801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4,907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80,357</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374,113</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147,180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430,066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$ 534,680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$ 609,092</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$ 1,032,898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$ 1,186,841</w:t>
            </w: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Interest expense (a)</w:t>
            </w:r>
          </w:p>
        </w:tc>
        <w:tc>
          <w:tcPr>
            <w:tcW w:w="700" w:type="dxa"/>
            <w:vAlign w:val="bottom"/>
          </w:tcPr>
          <w:p>
            <w:pPr>
              <w:jc w:val="right"/>
              <w:spacing w:after="0"/>
              <w:rPr>
                <w:sz w:val="20"/>
                <w:szCs w:val="20"/>
                <w:color w:val="auto"/>
              </w:rPr>
            </w:pPr>
            <w:r>
              <w:rPr>
                <w:rFonts w:ascii="Arial" w:cs="Arial" w:eastAsia="Arial" w:hAnsi="Arial"/>
                <w:sz w:val="18"/>
                <w:szCs w:val="18"/>
                <w:color w:val="auto"/>
              </w:rPr>
              <w:t>11,337</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11,436</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22,883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27,513</w:t>
            </w: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(3,398)</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(12,322)</w:t>
            </w: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Private equity revenue adjustment (c)</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(12,203)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(12,203)</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LFI (d)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(2,242)</w:t>
            </w: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$ 542,307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$ 606,631</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$ 1,048,373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$ 1,187,587</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12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4" w:lineRule="auto"/>
        <w:rPr>
          <w:sz w:val="20"/>
          <w:szCs w:val="20"/>
          <w:color w:val="auto"/>
        </w:rPr>
      </w:pPr>
      <w:r>
        <w:rPr>
          <w:rFonts w:ascii="Arial" w:cs="Arial" w:eastAsia="Arial" w:hAnsi="Arial"/>
          <w:sz w:val="18"/>
          <w:szCs w:val="18"/>
          <w:color w:val="auto"/>
        </w:rPr>
        <w:t>of the business (which primarily represents the realization of carried interest at fair value) is adjusted for the recognition of an obligation of $12,203 with the management of the disposed business, which obligation was previously recognized for U.S. GAAP.</w:t>
      </w:r>
    </w:p>
    <w:p>
      <w:pPr>
        <w:ind w:left="460" w:right="6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gridSpan w:val="5"/>
          </w:tcPr>
          <w:p>
            <w:pPr>
              <w:jc w:val="right"/>
              <w:ind w:right="91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w w:val="87"/>
              </w:rPr>
              <w:t>$308,310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$336,719</w:t>
            </w:r>
          </w:p>
        </w:tc>
        <w:tc>
          <w:tcPr>
            <w:tcW w:w="340" w:type="dxa"/>
            <w:vAlign w:val="bottom"/>
          </w:tcPr>
          <w:p>
            <w:pPr>
              <w:spacing w:after="0"/>
              <w:rPr>
                <w:sz w:val="18"/>
                <w:szCs w:val="18"/>
                <w:color w:val="auto"/>
              </w:rPr>
            </w:pPr>
          </w:p>
        </w:tc>
        <w:tc>
          <w:tcPr>
            <w:tcW w:w="1360" w:type="dxa"/>
            <w:vAlign w:val="bottom"/>
            <w:gridSpan w:val="3"/>
          </w:tcPr>
          <w:p>
            <w:pPr>
              <w:jc w:val="right"/>
              <w:ind w:right="452"/>
              <w:spacing w:after="0"/>
              <w:rPr>
                <w:sz w:val="20"/>
                <w:szCs w:val="20"/>
                <w:color w:val="auto"/>
              </w:rPr>
            </w:pPr>
            <w:r>
              <w:rPr>
                <w:rFonts w:ascii="Arial" w:cs="Arial" w:eastAsia="Arial" w:hAnsi="Arial"/>
                <w:sz w:val="18"/>
                <w:szCs w:val="18"/>
                <w:color w:val="auto"/>
              </w:rPr>
              <w:t>$605,520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$665,221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(1,594)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(1,184)</w:t>
            </w:r>
          </w:p>
        </w:tc>
        <w:tc>
          <w:tcPr>
            <w:tcW w:w="1360" w:type="dxa"/>
            <w:vAlign w:val="bottom"/>
            <w:gridSpan w:val="3"/>
          </w:tcPr>
          <w:p>
            <w:pPr>
              <w:jc w:val="right"/>
              <w:ind w:right="392"/>
              <w:spacing w:after="0"/>
              <w:rPr>
                <w:sz w:val="20"/>
                <w:szCs w:val="20"/>
                <w:color w:val="auto"/>
              </w:rPr>
            </w:pPr>
            <w:r>
              <w:rPr>
                <w:rFonts w:ascii="Arial" w:cs="Arial" w:eastAsia="Arial" w:hAnsi="Arial"/>
                <w:sz w:val="18"/>
                <w:szCs w:val="18"/>
                <w:color w:val="auto"/>
              </w:rPr>
              <w:t>(3,346)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(b)</w:t>
            </w:r>
          </w:p>
        </w:tc>
        <w:tc>
          <w:tcPr>
            <w:tcW w:w="11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2,202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306,404</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337,429</w:t>
            </w:r>
          </w:p>
        </w:tc>
        <w:tc>
          <w:tcPr>
            <w:tcW w:w="340" w:type="dxa"/>
            <w:vAlign w:val="bottom"/>
          </w:tcPr>
          <w:p>
            <w:pPr>
              <w:spacing w:after="0"/>
              <w:rPr>
                <w:sz w:val="19"/>
                <w:szCs w:val="19"/>
                <w:color w:val="auto"/>
              </w:rPr>
            </w:pPr>
          </w:p>
        </w:tc>
        <w:tc>
          <w:tcPr>
            <w:tcW w:w="1360" w:type="dxa"/>
            <w:vAlign w:val="bottom"/>
            <w:gridSpan w:val="3"/>
          </w:tcPr>
          <w:p>
            <w:pPr>
              <w:jc w:val="right"/>
              <w:ind w:right="4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604,376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660,578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56.5%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3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57.6%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580" w:right="80" w:hanging="572"/>
        <w:spacing w:after="0" w:line="261"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3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gridSpan w:val="4"/>
          </w:tcPr>
          <w:p>
            <w:pPr>
              <w:jc w:val="right"/>
              <w:ind w:right="89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color w:val="auto"/>
                <w:w w:val="85"/>
              </w:rPr>
              <w:t>$112,804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$109,944</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$214,791</w:t>
            </w:r>
          </w:p>
        </w:tc>
        <w:tc>
          <w:tcPr>
            <w:tcW w:w="5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$276,960</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(637)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(352)</w:t>
            </w: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(1,035)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(60,219)</w:t>
            </w: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Adjusted non-compensation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112,167</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109,592</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213,756</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216,026</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20.7%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20.4%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52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Charges pertaining to the redemption of a significant portion of the Company’s 2017 Notes are excluded because of the non-operating nature of such transactions. See “—Liquidity and Capital Resources—Financing Activities.”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60" w:type="dxa"/>
            <w:vAlign w:val="bottom"/>
            <w:gridSpan w:val="9"/>
          </w:tcPr>
          <w:p>
            <w:pPr>
              <w:jc w:val="center"/>
              <w:ind w:right="56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revenue</w:t>
            </w:r>
          </w:p>
        </w:tc>
        <w:tc>
          <w:tcPr>
            <w:tcW w:w="2600" w:type="dxa"/>
            <w:vAlign w:val="bottom"/>
            <w:gridSpan w:val="3"/>
          </w:tcPr>
          <w:p>
            <w:pPr>
              <w:jc w:val="right"/>
              <w:ind w:right="552"/>
              <w:spacing w:after="0"/>
              <w:rPr>
                <w:sz w:val="20"/>
                <w:szCs w:val="20"/>
                <w:color w:val="auto"/>
              </w:rPr>
            </w:pPr>
            <w:r>
              <w:rPr>
                <w:rFonts w:ascii="Arial" w:cs="Arial" w:eastAsia="Arial" w:hAnsi="Arial"/>
                <w:sz w:val="18"/>
                <w:szCs w:val="18"/>
                <w:color w:val="auto"/>
              </w:rPr>
              <w:t>$ 542,307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$ 606,631</w:t>
            </w:r>
          </w:p>
        </w:tc>
        <w:tc>
          <w:tcPr>
            <w:tcW w:w="140" w:type="dxa"/>
            <w:vAlign w:val="bottom"/>
          </w:tcPr>
          <w:p>
            <w:pPr>
              <w:spacing w:after="0"/>
              <w:rPr>
                <w:sz w:val="18"/>
                <w:szCs w:val="18"/>
                <w:color w:val="auto"/>
              </w:rPr>
            </w:pPr>
          </w:p>
        </w:tc>
        <w:tc>
          <w:tcPr>
            <w:tcW w:w="1800" w:type="dxa"/>
            <w:vAlign w:val="bottom"/>
            <w:gridSpan w:val="6"/>
          </w:tcPr>
          <w:p>
            <w:pPr>
              <w:jc w:val="right"/>
              <w:ind w:right="452"/>
              <w:spacing w:after="0"/>
              <w:rPr>
                <w:sz w:val="20"/>
                <w:szCs w:val="20"/>
                <w:color w:val="auto"/>
              </w:rPr>
            </w:pPr>
            <w:r>
              <w:rPr>
                <w:rFonts w:ascii="Arial" w:cs="Arial" w:eastAsia="Arial" w:hAnsi="Arial"/>
                <w:sz w:val="18"/>
                <w:szCs w:val="18"/>
                <w:color w:val="auto"/>
              </w:rPr>
              <w:t>$1,048,373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1,187,587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600" w:type="dxa"/>
            <w:vAlign w:val="bottom"/>
            <w:gridSpan w:val="3"/>
          </w:tcPr>
          <w:p>
            <w:pPr>
              <w:jc w:val="right"/>
              <w:ind w:right="512"/>
              <w:spacing w:after="0"/>
              <w:rPr>
                <w:sz w:val="20"/>
                <w:szCs w:val="20"/>
                <w:color w:val="auto"/>
              </w:rPr>
            </w:pPr>
            <w:r>
              <w:rPr>
                <w:rFonts w:ascii="Arial" w:cs="Arial" w:eastAsia="Arial" w:hAnsi="Arial"/>
                <w:sz w:val="18"/>
                <w:szCs w:val="18"/>
                <w:color w:val="auto"/>
              </w:rPr>
              <w:t>(306,404)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(337,429)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92"/>
              <w:spacing w:after="0"/>
              <w:rPr>
                <w:sz w:val="20"/>
                <w:szCs w:val="20"/>
                <w:color w:val="auto"/>
              </w:rPr>
            </w:pPr>
            <w:r>
              <w:rPr>
                <w:rFonts w:ascii="Arial" w:cs="Arial" w:eastAsia="Arial" w:hAnsi="Arial"/>
                <w:sz w:val="18"/>
                <w:szCs w:val="18"/>
                <w:color w:val="auto"/>
                <w:w w:val="90"/>
              </w:rPr>
              <w:t>(604,376)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(660,578)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8"/>
              </w:rPr>
              <w:t>(112,167)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(109,592)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90"/>
              </w:rPr>
              <w:t>(213,756)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(216,026)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$ 123,736</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$ 159,610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230,241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310,983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6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1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0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1"/>
                <w:szCs w:val="11"/>
                <w:color w:val="auto"/>
              </w:rPr>
            </w:pPr>
          </w:p>
        </w:tc>
        <w:tc>
          <w:tcPr>
            <w:tcW w:w="9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440"/>
              <w:spacing w:after="0"/>
              <w:rPr>
                <w:sz w:val="20"/>
                <w:szCs w:val="20"/>
                <w:color w:val="auto"/>
              </w:rPr>
            </w:pPr>
            <w:r>
              <w:rPr>
                <w:rFonts w:ascii="Arial" w:cs="Arial" w:eastAsia="Arial" w:hAnsi="Arial"/>
                <w:sz w:val="18"/>
                <w:szCs w:val="18"/>
                <w:color w:val="auto"/>
              </w:rPr>
              <w:t>Total Managing Directors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$80 million, as compared to net income of $374 million in the 2015 period. The changes in the Company’s operating results during these periods are described below.</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Net revenue decreased $74 million, or 12%, with operating revenue decreasing $64 million, or 11%, as compared to the 2015 period. Fee revenue from investment banking and other advisory activities decreased $28 million, or 9%, primarily due to decreases in M&amp;A and Other Advisory fees. The decrease in M&amp;A and Other Advisory fee revenue primarily reflected a lower average transaction value with respect to completed transactions as compared to the 2015 period. This decrease was partially offset by an increase in Restructuring revenue, which generally reflected a higher level of activity in the U.S. energy sector in the 2016 period. Asset management fees, including incentive fees, decreased $27 million, or 10%, as compared to the 2015 period, due to a decrease in average AUM, a change in the mix of AUM and a decrease in incentive fees relating to traditional 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products. In the aggregate, interest income, other revenue and interest expense decreased $19 million as compared to the 2015 period, primarily due to a $24 million gain in 2015 on the disposal of the Company’s Australian private equity business (which relates primarily to the realization of carried interest at fair value), partially offset by an increase in gains in the 2016 period attributable to investments held in connection with LFI.</w:t>
      </w:r>
    </w:p>
    <w:p>
      <w:pPr>
        <w:spacing w:after="0" w:line="10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Compensation and benefits expense decreased $28 million, or 8%, as compared to the 2015 period, primarily due to a decrease in discretionary compensation associated with decreased operating revenue.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$306 million, a decrease of $31 million, or 9%, as compared to $337 million in the 2015 period. The ratio of adjusted compensation and benefits expense to operating revenue was 56.5% for the 2016 period, as compared to 55.6% for the 2015 period and 55.4% for full-year 2015. Adjusted compensation and benefits expense in the 2016 period generally reflected lower operating revenue in the 2016 period.</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Non-compensation expense increased $3 million, or 3%, as compared to the 2015 period. Adjusted non-compensation expense, which excludes non-compensation costs relating to noncontrolling interests, increased $3 million, or 2%, as compared to the 2015 period. The ratio of adjusted non-compensation expense to operating revenue was 20.7%, as compared to 18.1% in the 2015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$2 million as compared to the 2015 period.</w:t>
      </w:r>
    </w:p>
    <w:p>
      <w:pPr>
        <w:spacing w:after="0" w:line="17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Operating income increased $915 million as compared to the 2015 period, which included the impact of the provision pursuant to the tax receivable agreement. As a result of the possible utilization of certain deferred tax assets that are subject to the tax receivable agreement, the provision pursuant to the tax receivable agreement in the 2015 period was $962 million (see Note 16 of Notes to Condensed Consolidated Financial Statements for additional information).</w:t>
      </w:r>
    </w:p>
    <w:p>
      <w:pPr>
        <w:spacing w:after="0" w:line="8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Earnings from operations decreased $36 million, or 22%, as compared to the 2015 period, which excluded the impact of the provision pursuant to the tax receivable agreement described above, and, as a percentage of operating revenue, was 22.8%, as compared to 26.3% in the 2015 period.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provision for income taxes reflects an effective tax rate of 28.1%, as compared to 146.8% for the 2015 period. The unusually high effective tax rate in the 2015 period was primarily driven by (i) the reduction of operating income in the 2015 period as a result of the provision pursuant to the tax receivable agreement described above, and (ii) the release of substantially all of our valuation allowance related to deferred tax assets in the 2015 period. See Notes 14 and 16 of Notes to Condensed Consolidated Financial Statements and “Critical Accounting Policies—Income Taxes”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2015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$147 million, as compared to net income of $430 million in the 2015 period. The changes in the Company’s operating results during these periods are described below.</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revenue decreased $154 million, or 13%, with operating revenue decreasing $139 million, or 12%, as compared to the 2015 period. Fee revenue from investment banking and other advisory activities decreased $64 million, or 10%, primarily due to decreases in M&amp;A and Other Advisory fees. The decrease in M&amp;A and Other Advisory fee revenue primarily reflected a lower average transaction value with respect to completed transactions as compared to the 2015 period. This decrease was partially offset by an increase in Restructuring revenue, which generally reflected a higher level of activity in the U.S. energy sector in the 2016 period.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 management fees, including incentive fees, decreased $56 million, or 10%, as compared to the 2015 period, due to a decrease in average AUM, a change in the mix of AUM and a decrease in incentive fees relating to traditional investment products. In the aggregate, interest income, other revenue and interest expense decreased $34 million as compared to the 2015 period, primarily due to a $24 million gain in the 2015 period on the disposal of the Company’s Australian private equity business (which relates primarily to the realization of carried interest at fair value) and, in the 2016 period, lower gains attributable to investments held in connection with LFI.</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Compensation and benefits expense decreased $60 million, or 9%, as compared to the 2015 period, primarily due to a decrease in discretionary compensation associated with decreased operating revenue.</w:t>
      </w:r>
    </w:p>
    <w:p>
      <w:pPr>
        <w:spacing w:after="0" w:line="13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Adjusted compensation and benefits expense (which excludes certain items and which we believe allows for improved comparability between periods, as described above) was $604 million, a decrease of $56 million, or 9%, as compared to $661 million in the 2015 period. The ratio of adjusted compensation and benefits expense to operating revenue was 57.6% for the 2016 period, as compared to 55.6% for the 2015 period and 55.4% for full-year 2015. Adjusted compensation and benefits expense in the 2016 period generally reflected lower operating revenue in the 2016 period and seasonally high amortization expense.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Non-compensation expense decreased $62 million, or 22%, as compared to the 2015 period, primarily due to a non-recurring charge of $60 million related to the redemption of a significant portion of the Company’s 2017 Notes in the 2015 period. Adjusted non-compensation expense, which excludes such charge, as well as non-compensation costs relating to noncontrolling interests, decreased $2 million, or 1%, as compared to the 2015 period. The ratio of adjusted non-compensation expense to operating revenue was 20.4%, as compared to 18.2% in the 2015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$2 million as compared to the 2015 period.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income increased $938 million as compared to the 2015 period, which included a charge relating to the redemption of a significant portion of the Company’s 2017 Notes, as well as the impact of the provision pursuant to the tax receivable agreement. As a result of the possible utilization of certain deferred tax assets that are subject to the tax receivable agreement, the provision pursuant to the tax receivable agreement in the 2015 period was $968 million (see Note 16 of Notes to Condensed Consolidated Financial Statements for additional information).</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Earnings from operations decreased $81 million, or 26%, as compared to the 2015 period, which excluded the charge related to the redemption of a significant portion of the Company’s 2017 Notes, as well as the impact of the provision pursuant to the tax receivable agreement described above, and, as a percentage of operating revenue, was 22.0%, as compared to 26.2% in the 2015 period.</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provision for income taxes reflects an effective tax rate of 28.1%, as compared to 160.2% for the 2015 period. The unusually high effective tax rate in the 2015 period was primarily driven by (i) the reduction of operating income in the 2015 period as a result of the provision pursuant to the tax receivable agreement described above, and (ii) the release of substantially all of our valuation allowance related to deferred tax assets in the 2015 period. See Notes 14 and 16 of Notes to Condensed Consolidated Financial Statements and “Critical Accounting Policies—Income Taxes”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$3 million, or 37%, as compared to the 2015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Six Months Ended June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6"/>
              </w:rPr>
              <w:t>203,403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273,150</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417,994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17,293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20,170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34,862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214,700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290,443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438,164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114,815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49,087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286,965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316,384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552,979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233,727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460,805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496,156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63,163</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92,174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121,747</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fee and transaction statistics for the Financial Advisory segment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72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2"/>
                <w:szCs w:val="12"/>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64</w:t>
            </w:r>
          </w:p>
        </w:tc>
        <w:tc>
          <w:tcPr>
            <w:tcW w:w="13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50</w:t>
            </w:r>
          </w:p>
        </w:tc>
        <w:tc>
          <w:tcPr>
            <w:tcW w:w="160" w:type="dxa"/>
            <w:vAlign w:val="bottom"/>
          </w:tcPr>
          <w:p>
            <w:pPr>
              <w:spacing w:after="0"/>
              <w:rPr>
                <w:sz w:val="18"/>
                <w:szCs w:val="18"/>
                <w:color w:val="auto"/>
              </w:rPr>
            </w:pPr>
          </w:p>
        </w:tc>
        <w:tc>
          <w:tcPr>
            <w:tcW w:w="2020" w:type="dxa"/>
            <w:vAlign w:val="bottom"/>
            <w:gridSpan w:val="3"/>
          </w:tcPr>
          <w:p>
            <w:pPr>
              <w:ind w:left="1020"/>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40%</w:t>
            </w:r>
          </w:p>
        </w:tc>
        <w:tc>
          <w:tcPr>
            <w:tcW w:w="20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20</w:t>
            </w:r>
          </w:p>
        </w:tc>
        <w:tc>
          <w:tcPr>
            <w:tcW w:w="160" w:type="dxa"/>
            <w:vAlign w:val="bottom"/>
          </w:tcPr>
          <w:p>
            <w:pPr>
              <w:spacing w:after="0"/>
              <w:rPr>
                <w:sz w:val="19"/>
                <w:szCs w:val="19"/>
                <w:color w:val="auto"/>
              </w:rPr>
            </w:pPr>
          </w:p>
        </w:tc>
        <w:tc>
          <w:tcPr>
            <w:tcW w:w="2020" w:type="dxa"/>
            <w:vAlign w:val="bottom"/>
            <w:gridSpan w:val="3"/>
          </w:tcPr>
          <w:p>
            <w:pPr>
              <w:ind w:left="1020"/>
              <w:spacing w:after="0"/>
              <w:rPr>
                <w:sz w:val="20"/>
                <w:szCs w:val="20"/>
                <w:color w:val="auto"/>
              </w:rPr>
            </w:pPr>
            <w:r>
              <w:rPr>
                <w:rFonts w:ascii="Arial" w:cs="Arial" w:eastAsia="Arial" w:hAnsi="Arial"/>
                <w:sz w:val="18"/>
                <w:szCs w:val="18"/>
                <w:color w:val="auto"/>
              </w:rPr>
              <w:t>23</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6,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5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Financial Advisory net revenue decreased $29 million, or 9%, as compared to the 2015 period. Total Strategic Advisory net revenue, representing fees from our M&amp;A and Other Advisory and Capital Raising businesses, decreased $76 million, or 26%, and Restructuring revenue increased $46 million, or 179%, as compared to the 2015 period.</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M&amp;A and Other Advisory revenue decreased $70 million, or 26%, while Capital Raising revenue decreased $6 million, or 35%, as compared to the 2015 period. The decrease in M&amp;A and Other Advisory revenue primarily reflected a lower average transaction value with respect to completed transactions as compared to the 2015 period. Clients which in the aggregate represented a significant portion of our M&amp;A and Other Advisory revenue in the 2016 period included Airbus, American Fruits &amp; Flavors, Coca-Cola Enterprises, Skyepharma, Whiting Petroleum, WL Ross Holding Corp. and Xchanging.</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Restructuring revenue in the 2016 period primarily reflected a higher level of activity in the U.S. energy sector in the 2016 period. Clients which in the aggregate represented a significant portion of our Restructuring revenue in the 2016 period included Pacific Exploration &amp; Production, Peabody Energy, Seventy Seven Energy and Swift Energy.</w:t>
      </w:r>
    </w:p>
    <w:p>
      <w:pPr>
        <w:spacing w:after="0" w:line="140"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Operating expenses decreased $19 million, or 8%, as compared to the 2015 period, primarily due to a decrease in compensation and benefits expense. 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Advisory operating income was $53 million, a decrease of $10 million, or 16%, as compared to operating income of $63 million in the 2015 period and, as a percentage of net revenue, was 18.6%, as compared to 20.0% in the 2015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Financial Advisory net revenue decreased $65 million, or 11%, as compared to the 2015 period. Total Strategic Advisory net revenue, representing fees from our M&amp;A and Other Advisory and Capital Raising businesses, decreased $131 million, or 23%, and Restructuring revenue increased $66 million, or 134%, as compared to the 2015 period.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M&amp;A and Other Advisory revenue decreased $116 million, or 22%, while Capital Raising revenue decreased $15 million, or 42%, as compared to the 2015 period. The decrease in M&amp;A and Other Advisory revenue primarily reflected a lower average transaction value with respect to completed transactions as compared to the 2015 period. Restructuring revenue in the 2016 period primarily reflected a higher level of activity in the U.S. energy sector in the 2016 period.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decreased $35 million, or 7%, as compared to the 2015 period, primarily due to a decrease in compensation and benefits expense.</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Financial Advisory operating income was $92 million, a decrease of $30 million, or 24%, as compared to operating income of $122 million in the 2015 period and, as a percentage of net revenue, was 16.7%, as compared to 19.7% in the 2015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5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156,572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5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5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191,865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480" w:type="dxa"/>
            <w:vAlign w:val="bottom"/>
            <w:vMerge w:val="restart"/>
          </w:tcPr>
          <w:p>
            <w:pPr>
              <w:jc w:val="right"/>
              <w:ind w:right="3532"/>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Total AUM at June 30, 2016 was $192 billion, an increase of $5 billion, or 3%, as compared to total AUM of $186 billion at December 31, 2015, primarily due to foreign exchange and market appreciation. Average AUM for the three month and six month periods ended June 30, 2016 decreased 5% and 6% as compared to the three month and six month periods ended June 30, 2015, respectively.</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June 30, 2016, approximately 12% of our AUM was managed on behalf of individual client relationships, which are principally with family offices and individuals, compared to approximately 11% at December 31, 2015.</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2016, AUM with foreign currency exposure represented approximately 70% of our total AUM, as compared to 72% at December 31, 2015. AUM with foreign currency exposure generally declines in value with the strengthening of the U.S. Dollar and increases in value as the U.S. Dollar weakens, with all other factors held constant.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2016 and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87"/>
              </w:rPr>
              <w:t>Three Months Ended June 30, 2016</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Inflows (a)</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Outflows (a)</w:t>
            </w:r>
          </w:p>
        </w:tc>
        <w:tc>
          <w:tcPr>
            <w:tcW w:w="10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0"/>
              </w:rPr>
              <w:t>Flows</w:t>
            </w:r>
          </w:p>
        </w:tc>
        <w:tc>
          <w:tcPr>
            <w:tcW w:w="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$155,812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8,458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30,370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66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190,554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9,383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50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(1,218)</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86"/>
              </w:rPr>
              <w:t>Six Months Ended June 30, 2016</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Inflows (a)</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Outflows (a)</w:t>
            </w:r>
          </w:p>
        </w:tc>
        <w:tc>
          <w:tcPr>
            <w:tcW w:w="10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0"/>
              </w:rPr>
              <w:t>Flows</w:t>
            </w:r>
          </w:p>
        </w:tc>
        <w:tc>
          <w:tcPr>
            <w:tcW w:w="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$151,495</w:t>
            </w:r>
          </w:p>
        </w:tc>
        <w:tc>
          <w:tcPr>
            <w:tcW w:w="14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$ 16,500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(14,724)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$ 1,776</w:t>
            </w: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30,387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2,097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(1,707)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186,380</w:t>
            </w:r>
          </w:p>
        </w:tc>
        <w:tc>
          <w:tcPr>
            <w:tcW w:w="1460" w:type="dxa"/>
            <w:vAlign w:val="bottom"/>
            <w:gridSpan w:val="4"/>
          </w:tcPr>
          <w:p>
            <w:pPr>
              <w:jc w:val="right"/>
              <w:ind w:right="420"/>
              <w:spacing w:after="0"/>
              <w:rPr>
                <w:sz w:val="20"/>
                <w:szCs w:val="20"/>
                <w:color w:val="auto"/>
              </w:rPr>
            </w:pPr>
            <w:r>
              <w:rPr>
                <w:rFonts w:ascii="Arial" w:cs="Arial" w:eastAsia="Arial" w:hAnsi="Arial"/>
                <w:sz w:val="18"/>
                <w:szCs w:val="18"/>
                <w:color w:val="auto"/>
              </w:rPr>
              <w:t>$ 19,191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2,708</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Emerging Markets and Global equity platforms, and inflows in the Fixed Income asset class were primarily attributable to the Emerging Markets and Multi-Regional platforms. Outflows in the Equity asset class were primarily attributable to the Emerging Markets, Multi-Regional and Global equity platforms, and outflows in the Fixed Income asset class were primarily attributable to the Emerging Markets platform.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 June 30, 2015</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Outflows</w:t>
            </w:r>
          </w:p>
        </w:tc>
        <w:tc>
          <w:tcPr>
            <w:tcW w:w="2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$162,852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$ 7,761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(6,711)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31,722</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2,365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(713)</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199,181</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10,366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(8,818)</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1,548</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2,197</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9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Six Months Ended June 30, 2015</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30"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Outflows</w:t>
            </w:r>
          </w:p>
        </w:tc>
        <w:tc>
          <w:tcPr>
            <w:tcW w:w="2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$160,912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$13,911</w:t>
            </w: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(13,641)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31,110</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5,768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(2,625)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(1,587)</w:t>
            </w:r>
          </w:p>
        </w:tc>
        <w:tc>
          <w:tcPr>
            <w:tcW w:w="660" w:type="dxa"/>
            <w:vAlign w:val="bottom"/>
          </w:tcPr>
          <w:p>
            <w:pPr>
              <w:jc w:val="right"/>
              <w:spacing w:after="0"/>
              <w:rPr>
                <w:sz w:val="20"/>
                <w:szCs w:val="20"/>
                <w:color w:val="auto"/>
              </w:rPr>
            </w:pPr>
            <w:r>
              <w:rPr>
                <w:rFonts w:ascii="Arial" w:cs="Arial" w:eastAsia="Arial" w:hAnsi="Arial"/>
                <w:sz w:val="18"/>
                <w:szCs w:val="18"/>
                <w:color w:val="auto"/>
              </w:rPr>
              <w:t>32,513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(1,147)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197,103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20,002</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(17,413)</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2,589</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9,109</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(5,715)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of July 22, 2016, AUM was $196.7 billion, a $4.8 billion increase since June 30, 2016. The increase in AUM was due to market appreciation of $5.8 billion and net inflows of $0.3 billion, partially offset by foreign exchange depreciation of $1.3 billion.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Average AUM for the three month and six month periods ended June 30, 2016 and 2015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$ 157,315</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$ 166,336</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$ 153,801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164,039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30,410</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32,524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30,311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32,525</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3,587</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3,269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3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$ 192,634</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$ 203,168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$ 188,836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201,040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60" w:type="dxa"/>
            <w:vAlign w:val="bottom"/>
            <w:vMerge w:val="restart"/>
          </w:tcPr>
          <w:p>
            <w:pPr>
              <w:jc w:val="right"/>
              <w:ind w:right="1632"/>
              <w:spacing w:after="0"/>
              <w:rPr>
                <w:sz w:val="20"/>
                <w:szCs w:val="20"/>
                <w:color w:val="auto"/>
              </w:rPr>
            </w:pPr>
            <w:r>
              <w:rPr>
                <w:rFonts w:ascii="Arial" w:cs="Arial" w:eastAsia="Arial" w:hAnsi="Arial"/>
                <w:sz w:val="18"/>
                <w:szCs w:val="18"/>
                <w:color w:val="auto"/>
              </w:rPr>
              <w:t>59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9"/>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 June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71"/>
              </w:rPr>
              <w:t>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w w:val="96"/>
              </w:rPr>
              <w:t>2016</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238,067</w:t>
            </w:r>
          </w:p>
        </w:tc>
        <w:tc>
          <w:tcPr>
            <w:tcW w:w="48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w w:val="90"/>
              </w:rPr>
              <w:t>$258,401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$464,517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$510,488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6,978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14,875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40,459</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32,378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61,896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254,126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305,838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499,885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182,702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193,791</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357,863</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375,583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$ 112,047</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142,022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210,062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5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w:t>
            </w: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26</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Asset Management net revenue decreased $52 million, or 17%, as compared to the 2015 period. Management fees decreased $20 million, or 8%, as compared to the 2015 period, primarily due to a decrease in average AUM and a change in the mix of AUM. Incentive fees decreased $6 million, or 83%, as compared to the 2015 period, primarily due to incentive fees related to traditional investment products. Other revenue decreased $26 million, or 63%, as compared to the 2015 period, principally due to a $24 million gain in 2015 on the disposal of the Company’s Australian private equity business (which relates primarily to the realization of carried interest at fair value).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Operating expenses decreased $11 million, or 6%, as compared to the 2015 period, primarily due to decreases in (i) compensation and benefits expense related to a decrease in discretionary compensation reflecting lower operating revenue and (ii) non-compensation expense related to fund administration and outsourced services.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Asset Management operating income was $71 million, a decrease of $41 million, or 36%, as compared to operating income of $112 million in the 2015 period and, as a percentage of net revenue, was 28.1%, as compared to 36.6% in the 2015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Asset Management net revenue decreased $86 million, or 15%, as compared to the 2015 period. Management fees decreased $46 million, or 9%, as compared to the 2015 period, primarily due to a decrease in average AUM and a change in the mix of AUM. Incentive fees decreased $10 million, or 77%, as compared to the 2015 period, primarily due to incentive fees related to traditional investment products. Other revenue decreased $30 million, or 48%, as compared to the 2015 period, principally due to a $24 million gain in 2015 on the disposal of the Company’s Australian private equity business (which relates primarily to the realization of carried interest at fair value).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Operating expenses decreased $18 million, or 5%, as compared to the 2015 period, primarily due to decreases in (i) compensation and benefits expense related to a decrease in discretionary compensation reflecting lower operating revenue and (ii) non-compensation expense related to fund administration and outsourced services.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Asset Management operating income was $142 million, a decrease of $68 million, or 32%, as compared to operating income of $210 million in the 2015 period and, as a percentage of net revenue, was 28.4%, as compared to 35.9% in the 2015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(11,787)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52"/>
              <w:spacing w:after="0"/>
              <w:rPr>
                <w:sz w:val="20"/>
                <w:szCs w:val="20"/>
                <w:color w:val="auto"/>
              </w:rPr>
            </w:pPr>
            <w:r>
              <w:rPr>
                <w:rFonts w:ascii="Arial" w:cs="Arial" w:eastAsia="Arial" w:hAnsi="Arial"/>
                <w:sz w:val="18"/>
                <w:szCs w:val="18"/>
                <w:color w:val="auto"/>
              </w:rPr>
              <w:t>(11,496)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(23,656)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(11,114)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(10,833)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(22,151)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 Revenue (Expense)</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4,703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52"/>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(13,130)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(19,966)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5,015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963,456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1,041,815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(11,426)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3"/>
              </w:rPr>
              <w:t>(976,586)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(22,583)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(1,058,522)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in the six months ended June 30, 2015, $60,219 relating to the redemption of a significant portion of the Company’s 2017 Notes and (ii) in the three month and six month periods ended June 30, 2015, $961,948 and $968,483, respectively, relating to the provision pursuant to the tax receivable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remained substantially unchanged as compared to the 2015 period.</w:t>
      </w:r>
    </w:p>
    <w:p>
      <w:pPr>
        <w:spacing w:after="0" w:line="171"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8"/>
          <w:szCs w:val="18"/>
          <w:color w:val="auto"/>
        </w:rPr>
        <w:t>Other revenue increased $7 million as compared to the 2015 period, primarily due to gains attributable to investments held in connection with LFI. 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expenses decreased $958 million as compared to the 2015 period, including, in the 2015 period, $962 million related to the provision pursuant to the tax receivable agreement (see Note 16 of Notes to Condensed Consolidated Financial Statements). Excluding the impact of such charge, operating expenses increased $4 million compared to the 2015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Net interest expense decreased $4 million, or 15%, as compared to the 2015 period, primarily due to the redemption of $450 million of the 2017 Notes and the issuance of $400 million aggregate principal amount of 3.75% senior notes due 2025 (the “2025 Notes”) in the 2015 period.</w:t>
      </w:r>
    </w:p>
    <w:p>
      <w:pPr>
        <w:spacing w:after="0" w:line="85" w:lineRule="exact"/>
        <w:rPr>
          <w:sz w:val="20"/>
          <w:szCs w:val="20"/>
          <w:color w:val="auto"/>
        </w:rPr>
      </w:pPr>
    </w:p>
    <w:p>
      <w:pPr>
        <w:ind w:left="460" w:right="140"/>
        <w:spacing w:after="0" w:line="391" w:lineRule="auto"/>
        <w:rPr>
          <w:sz w:val="20"/>
          <w:szCs w:val="20"/>
          <w:color w:val="auto"/>
        </w:rPr>
      </w:pPr>
      <w:r>
        <w:rPr>
          <w:rFonts w:ascii="Arial" w:cs="Arial" w:eastAsia="Arial" w:hAnsi="Arial"/>
          <w:sz w:val="16"/>
          <w:szCs w:val="16"/>
          <w:color w:val="auto"/>
        </w:rPr>
        <w:t>Other revenue decreased $7 million as compared to the 2015 period, primarily due to lower gains attributable to investments held in connection with LFI. Operating expenses decreased $1,039 million as compared to the 2015 period, including, in the 2015 period, (i) a charge of $60 million related to the</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redemption of a significant portion of the Company’s 2017 Notes and (ii) $968 million related to the provision pursuant to the tax receivable agreement (see Note 16 of Notes to Condensed Consolidated Financial Statements). Excluding the impact of such charges, operating expenses decreased $11 million compared to the 2015 period, primarily due to decreased compensation and benefits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2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The Company also paid a special dividend in February 2016 and February 2015.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ind w:left="378"/>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6"/>
          </w:tcPr>
          <w:p>
            <w:pPr>
              <w:jc w:val="center"/>
              <w:ind w:right="9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(494.5)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(485.6)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9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ind w:left="378"/>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center"/>
              <w:ind w:right="94"/>
              <w:spacing w:after="0"/>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7900" w:type="dxa"/>
            <w:vAlign w:val="bottom"/>
            <w:gridSpan w:val="2"/>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gridSpan w:val="2"/>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and stock units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(1,195.3)</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Provision pursuant to tax receivable agreement</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Loss on extinguishment of debt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disposal of subsidiaries</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 and activity relating to borrowings, including, in 2015, the redemption of a majority of the Company’s 2017 Notes and issuance of the 2025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such amounts being recorded in “deposits with banks and short-term investments”. In the first half of 2016, as reflected on the condensed consolidated statements of financial condition, “deposits with banks and short-term investments” increased with a corresponding increase in “deposits and other customer payables,” this being due to a higher level of LFB customer-related demand deposits, primarily from clients and funds managed by LFG.</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June 30, 2016, Lazard had approximately $646 million of cash, with such amount including approximately $344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lines of credit in excess of anticipated liquidity requirements. As of June 30, 2016, Lazard had approximately $215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$11 million (at June 30, 2016 exchange rates) and Edgewater of $52 million. The unused lines of credit available to Edgewater are guaranteed by certain Edgewater private equity funds and can be drawn upon only by the applicable general partner, fund, or individual portfolio companies for the benefit of the applicable funds and individual portfolio companies of such funds. In addition, LFB has access to the Eurosystem Covered Bond Purchase Program of the Banque de France.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table below sets forth our corporate indebtedness as of June 30, 2016 and December 31, 2015. The agreements with respect to this indebtedness are discussed in more detail in our condensed consolidated financial statements and related notes included elsewhere in this Form 10-Q and in our Form 10-K. The table, as of December 31, 2015, reflects the retrospective application of new disclosure guidance on debt issuance costs. See Note 2 of Notes to Condensed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Outstanding as of</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Maturity</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85"/>
              </w:rPr>
              <w:t>June 30, 2016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Senior Debt</w:t>
            </w: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1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gridSpan w:val="2"/>
            <w:vMerge w:val="continue"/>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Principal</w:t>
            </w:r>
          </w:p>
        </w:tc>
        <w:tc>
          <w:tcPr>
            <w:tcW w:w="4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Debt Costs</w:t>
            </w:r>
          </w:p>
        </w:tc>
        <w:tc>
          <w:tcPr>
            <w:tcW w:w="22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w:t>
            </w:r>
          </w:p>
        </w:tc>
        <w:tc>
          <w:tcPr>
            <w:tcW w:w="46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Debt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 in millions)</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2017 Senior Notes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496.0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2025 Senior Notes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$ 990.2</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998.4</w:t>
            </w: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2016, Lazard Group was in compliance with such ratios, with its Consolidated Leverage Ratio being 1.13 to 1.00 and its Consolidated Interest Coverage Ratio being 20.50 to 1.00. In any event, no amounts were outstanding under the Amended and Restated Credit Agreement as of June 30, 2016.</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June 30, 2016, total stockholders’ equity was $1,204 million, as compared to $1,367 million at December 31, 2015, including $1,146 million and $1,313 million attributable to Lazard Ltd on the respective dates. The net activity in stockholders’ equity during the six month period ended June 30, 2016 is reflected in the table below (in millions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Equity—January 1,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$1,367</w:t>
            </w:r>
          </w:p>
        </w:tc>
        <w:tc>
          <w:tcPr>
            <w:tcW w:w="100" w:type="dxa"/>
            <w:vAlign w:val="bottom"/>
            <w:shd w:val="clear" w:color="auto" w:fill="CCEEFF"/>
          </w:tcPr>
          <w:p>
            <w:pPr>
              <w:spacing w:after="0"/>
              <w:rPr>
                <w:sz w:val="18"/>
                <w:szCs w:val="18"/>
                <w:color w:val="auto"/>
              </w:rPr>
            </w:pPr>
          </w:p>
        </w:tc>
      </w:tr>
      <w:tr>
        <w:trPr>
          <w:trHeight w:val="283"/>
        </w:trPr>
        <w:tc>
          <w:tcPr>
            <w:tcW w:w="10320" w:type="dxa"/>
            <w:vAlign w:val="bottom"/>
            <w:gridSpan w:val="3"/>
          </w:tcPr>
          <w:p>
            <w:pPr>
              <w:ind w:left="460"/>
              <w:spacing w:after="0"/>
              <w:rPr>
                <w:sz w:val="20"/>
                <w:szCs w:val="20"/>
                <w:color w:val="auto"/>
              </w:rPr>
            </w:pPr>
            <w:r>
              <w:rPr>
                <w:rFonts w:ascii="Arial" w:cs="Arial" w:eastAsia="Arial" w:hAnsi="Arial"/>
                <w:sz w:val="18"/>
                <w:szCs w:val="18"/>
                <w:color w:val="auto"/>
              </w:rPr>
              <w:t>Increase (decrease) due 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9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860" w:type="dxa"/>
            <w:vAlign w:val="bottom"/>
            <w:gridSpan w:val="2"/>
          </w:tcPr>
          <w:p>
            <w:pPr>
              <w:ind w:left="440"/>
              <w:spacing w:after="0"/>
              <w:rPr>
                <w:sz w:val="20"/>
                <w:szCs w:val="20"/>
                <w:color w:val="auto"/>
              </w:rPr>
            </w:pPr>
            <w:r>
              <w:rPr>
                <w:rFonts w:ascii="Arial" w:cs="Arial" w:eastAsia="Arial" w:hAnsi="Arial"/>
                <w:sz w:val="18"/>
                <w:szCs w:val="18"/>
                <w:color w:val="auto"/>
              </w:rPr>
              <w:t>Other comprehensive income</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460" w:type="dxa"/>
            <w:vAlign w:val="bottom"/>
          </w:tcPr>
          <w:p>
            <w:pPr>
              <w:spacing w:after="0"/>
              <w:rPr>
                <w:sz w:val="18"/>
                <w:szCs w:val="18"/>
                <w:color w:val="auto"/>
              </w:rPr>
            </w:pPr>
          </w:p>
        </w:tc>
        <w:tc>
          <w:tcPr>
            <w:tcW w:w="9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860" w:type="dxa"/>
            <w:vAlign w:val="bottom"/>
            <w:gridSpan w:val="2"/>
          </w:tcPr>
          <w:p>
            <w:pPr>
              <w:ind w:left="440"/>
              <w:spacing w:after="0"/>
              <w:rPr>
                <w:sz w:val="20"/>
                <w:szCs w:val="20"/>
                <w:color w:val="auto"/>
              </w:rPr>
            </w:pPr>
            <w:r>
              <w:rPr>
                <w:rFonts w:ascii="Arial" w:cs="Arial" w:eastAsia="Arial" w:hAnsi="Arial"/>
                <w:sz w:val="18"/>
                <w:szCs w:val="18"/>
                <w:color w:val="auto"/>
              </w:rPr>
              <w:t>Purchase of Class A common stock</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460" w:type="dxa"/>
            <w:vAlign w:val="bottom"/>
          </w:tcPr>
          <w:p>
            <w:pPr>
              <w:spacing w:after="0"/>
              <w:rPr>
                <w:sz w:val="18"/>
                <w:szCs w:val="18"/>
                <w:color w:val="auto"/>
              </w:rPr>
            </w:pPr>
          </w:p>
        </w:tc>
        <w:tc>
          <w:tcPr>
            <w:tcW w:w="9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(a)</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460" w:type="dxa"/>
            <w:vAlign w:val="bottom"/>
          </w:tcPr>
          <w:p>
            <w:pPr>
              <w:spacing w:after="0"/>
              <w:rPr>
                <w:sz w:val="18"/>
                <w:szCs w:val="18"/>
                <w:color w:val="auto"/>
              </w:rPr>
            </w:pPr>
          </w:p>
        </w:tc>
        <w:tc>
          <w:tcPr>
            <w:tcW w:w="9860" w:type="dxa"/>
            <w:vAlign w:val="bottom"/>
            <w:gridSpan w:val="2"/>
          </w:tcPr>
          <w:p>
            <w:pPr>
              <w:ind w:left="440"/>
              <w:spacing w:after="0"/>
              <w:rPr>
                <w:sz w:val="20"/>
                <w:szCs w:val="20"/>
                <w:color w:val="auto"/>
              </w:rPr>
            </w:pPr>
            <w:r>
              <w:rPr>
                <w:rFonts w:ascii="Arial" w:cs="Arial" w:eastAsia="Arial" w:hAnsi="Arial"/>
                <w:sz w:val="18"/>
                <w:szCs w:val="18"/>
                <w:color w:val="auto"/>
              </w:rPr>
              <w:t>Class A common stock dividends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460" w:type="dxa"/>
            <w:vAlign w:val="bottom"/>
          </w:tcPr>
          <w:p>
            <w:pPr>
              <w:spacing w:after="0"/>
              <w:rPr>
                <w:sz w:val="18"/>
                <w:szCs w:val="18"/>
                <w:color w:val="auto"/>
              </w:rPr>
            </w:pPr>
          </w:p>
        </w:tc>
        <w:tc>
          <w:tcPr>
            <w:tcW w:w="9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10320" w:type="dxa"/>
            <w:vAlign w:val="bottom"/>
            <w:gridSpan w:val="3"/>
          </w:tcPr>
          <w:p>
            <w:pPr>
              <w:ind w:left="460"/>
              <w:spacing w:after="0"/>
              <w:rPr>
                <w:sz w:val="20"/>
                <w:szCs w:val="20"/>
                <w:color w:val="auto"/>
              </w:rPr>
            </w:pPr>
            <w:r>
              <w:rPr>
                <w:rFonts w:ascii="Arial" w:cs="Arial" w:eastAsia="Arial" w:hAnsi="Arial"/>
                <w:sz w:val="18"/>
                <w:szCs w:val="18"/>
                <w:color w:val="auto"/>
              </w:rPr>
              <w:t>Stockholders’ Equity—June 30, 2016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1,204</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Price Per</w:t>
            </w: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16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Six Months Ended June 30:</w:t>
            </w:r>
          </w:p>
        </w:tc>
        <w:tc>
          <w:tcPr>
            <w:tcW w:w="79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8660" w:type="dxa"/>
            <w:vAlign w:val="bottom"/>
            <w:gridSpan w:val="2"/>
          </w:tcPr>
          <w:p>
            <w:pPr>
              <w:ind w:left="7960"/>
              <w:spacing w:after="0"/>
              <w:rPr>
                <w:sz w:val="20"/>
                <w:szCs w:val="20"/>
                <w:color w:val="auto"/>
              </w:rPr>
            </w:pPr>
            <w:r>
              <w:rPr>
                <w:rFonts w:ascii="Arial" w:cs="Arial" w:eastAsia="Arial" w:hAnsi="Arial"/>
                <w:sz w:val="18"/>
                <w:szCs w:val="18"/>
                <w:color w:val="auto"/>
                <w:w w:val="84"/>
              </w:rPr>
              <w:t>2,306,694</w:t>
            </w:r>
          </w:p>
        </w:tc>
        <w:tc>
          <w:tcPr>
            <w:tcW w:w="96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$ 51.04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660" w:type="dxa"/>
            <w:vAlign w:val="bottom"/>
            <w:gridSpan w:val="2"/>
            <w:shd w:val="clear" w:color="auto" w:fill="CCEEFF"/>
          </w:tcPr>
          <w:p>
            <w:pPr>
              <w:ind w:left="7960"/>
              <w:spacing w:after="0"/>
              <w:rPr>
                <w:sz w:val="20"/>
                <w:szCs w:val="20"/>
                <w:color w:val="auto"/>
              </w:rPr>
            </w:pPr>
            <w:r>
              <w:rPr>
                <w:rFonts w:ascii="Arial" w:cs="Arial" w:eastAsia="Arial" w:hAnsi="Arial"/>
                <w:sz w:val="18"/>
                <w:szCs w:val="18"/>
                <w:color w:val="auto"/>
                <w:w w:val="84"/>
              </w:rPr>
              <w:t>5,646,092</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$ 34.49</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June 30, 2016, a total of $225 million of share repurchase authorization remained available under the Company’s share repurchase program, which will expire on December 31, 2017.</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six month period ended June 30, 2016,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$ 1,235,004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$ 141,337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72,500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$ 561,875</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$ 459,292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Operating leases (exclusive of $53,902 of committed sublease income)</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838,961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76,761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136,565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119,683</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8,768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9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9,183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9,183</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$ 2,091,916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$ 235,963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$ 209,139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$ 681,570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$ 965,244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$6,890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315"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table above excludes contingent obligations, as well as any possible payments for uncertain tax positions and payments pursuant to the Company’s tax receivable agreement, given the inability to make a reasonably reliable estimate of the timing of the amounts of any such payments. At June 30, 2016, a tax receivable agreement obligation of $513,623 was recorded on the consolidated statements of financial condition. See “Critical Accounting Policies and Estimates—Income Taxes” below. See also Notes 10, 12, 13, 14 and 16 of Notes to Condensed Consolidated Financial Statements regarding information in connection with commitments, incentive plans, employee benefit plans, income taxes and tax receivable agreement obligations,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which form the basis for making judgments, including judgments regarding the carrying values of assets and liabilities, that are not readily apparent from other sources. Actual results may differ from these estimates.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$1.28 billion, with such amount partially offset by a valuation allowance of approximately $89 million (as described below).</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not yet attained a sustained level of profitability.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$89 million of deferred tax assets held by these entities as of December 31, 2015.</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2014, the Company had a valuation allowance on substantially all of our deferred tax assets at that time. Certain of our tax-paying entities at which we had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during the year ended December 31, 2015, we recorded a deferred tax benefit of approximately $878 million, including $821 million recorded in the second quarter of 2015. We also recorded a separate deferred tax benefit of $378 million in the second quarter of 2015 that reflected the tax deductibility of payments under the tax receivable agreement. In addition, in the third quarter of 2015, we recorded a deferred tax expense of approximately $161 million relating to the reduction of a deferred tax asset as a result of the partial extinguishment of our tax receivable agreement obligation. See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the release of our valuation allowance during 2015, our effective tax rate in the 2016 period is significantly higher than our effective tax rate for the year ended December 31, 2014. We do not expect that this increase in our effective tax rate resulting from the reduction in the valuation allowance will impact the amount of cash income taxes we will be required to pay to taxing authorities. However, as described below, payments under the Amended and Restated Tax Receivable Agreement may be required.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Item 1A, “Risk Factors” in our Form 10-K and our Form 10-Q for the quarter ended March 31, 2016 and Note 14 of Notes to Condensed Consolidated Financial Statements for additional information related to income taxes.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In addition, in the third quarter of 2015, we purchased a portion of our obligation relating to the Amended and Restated Tax Receivable Agreement, which had the effect of reducing such liability. See Note 16 of Notes to Condensed Consolidated Financial Statements for additional information regarding the Amended and Restated Tax Receivable Agreement.</w:t>
      </w:r>
    </w:p>
    <w:p>
      <w:pPr>
        <w:spacing w:after="0" w:line="14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June 30, 2016 and December 31, 2015 was $514 million and $524 million, respectively, and is recorded in “tax receivable agreement obligation” on the condensed consolidated statements of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June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80,687</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34,298</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131,790</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 (d)</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59,369</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2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148,084</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279,874</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317,829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Add:</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(f)</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(g)</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185,388</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491,346</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vMerge w:val="restart"/>
          </w:tcPr>
          <w:p>
            <w:pPr>
              <w:jc w:val="right"/>
              <w:ind w:right="1912"/>
              <w:spacing w:after="0"/>
              <w:rPr>
                <w:sz w:val="20"/>
                <w:szCs w:val="20"/>
                <w:color w:val="auto"/>
              </w:rPr>
            </w:pPr>
            <w:r>
              <w:rPr>
                <w:rFonts w:ascii="Arial" w:cs="Arial" w:eastAsia="Arial" w:hAnsi="Arial"/>
                <w:sz w:val="18"/>
                <w:szCs w:val="18"/>
                <w:color w:val="auto"/>
              </w:rPr>
              <w:t>71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June 30, 2016 and December 31, 2015, seed investments in directly owned equity securities were invested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0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196"/>
        </w:trPr>
        <w:tc>
          <w:tcPr>
            <w:tcW w:w="90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02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9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r>
      <w:tr>
        <w:trPr>
          <w:trHeight w:val="216"/>
        </w:trPr>
        <w:tc>
          <w:tcPr>
            <w:tcW w:w="90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9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r>
      <w:tr>
        <w:trPr>
          <w:trHeight w:val="223"/>
        </w:trPr>
        <w:tc>
          <w:tcPr>
            <w:tcW w:w="9020" w:type="dxa"/>
            <w:vAlign w:val="bottom"/>
          </w:tcPr>
          <w:p>
            <w:pPr>
              <w:ind w:left="14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r>
      <w:tr>
        <w:trPr>
          <w:trHeight w:val="216"/>
        </w:trPr>
        <w:tc>
          <w:tcPr>
            <w:tcW w:w="90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$34 million and $30 million as of June 30, 2016 and December 31, 2015, respectively.</w:t>
      </w:r>
    </w:p>
    <w:p>
      <w:pPr>
        <w:spacing w:after="0" w:line="4" w:lineRule="exact"/>
        <w:rPr>
          <w:rFonts w:ascii="Arial" w:cs="Arial" w:eastAsia="Arial" w:hAnsi="Arial"/>
          <w:sz w:val="16"/>
          <w:szCs w:val="16"/>
          <w:color w:val="auto"/>
        </w:rPr>
      </w:pPr>
    </w:p>
    <w:p>
      <w:pPr>
        <w:ind w:left="460" w:right="16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62"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convertible debt securities of $31 million at June 30, 2016. The market risk associated with such investments is offset by the market risk associated with an equal amount of securities sold, not yet purchased. See Notes 4 and 5 of Notes to Condensed Consolidated Financial Statements for additional information.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59"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At June 30, 2016 and December 31, 2015, total investments with a fair value of $482 million and $478 million, respectively, included $1 million at each such date, or less than 1%, respectively, of investments that were classified as Level 3 investments and $128 million and $123 million, respectively, or 27% and 26%,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June 30, 2016 and December 31, 2015, the Company held seed investments of approximately $132 million and $157 million, respectively. Seed investments held in entities in which the Company maintained a controlling interest were $33 million in nine entities as of June 30, 2016, as compared to $60 million in twelve entities as of December 31, 2015.</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2016 and December 31, 2015, the Company did not consolidate or deconsolidate any seed investment entities. As such, 100% of the recorded balance of seed investments as of June 30, 2016 and December 31, 2015 represented the Company’s economic interest in the seed investments. See “— Consolidation of Variable Interest Entities” below for more information on the Company’s policy regarding the consolidation of seed investment entities.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340" w:hanging="325"/>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25" w:lineRule="exact"/>
        <w:rPr>
          <w:rFonts w:ascii="Arial" w:cs="Arial" w:eastAsia="Arial" w:hAnsi="Arial"/>
          <w:sz w:val="16"/>
          <w:szCs w:val="16"/>
          <w:color w:val="auto"/>
        </w:rPr>
      </w:pPr>
    </w:p>
    <w:p>
      <w:pPr>
        <w:ind w:left="900" w:hanging="325"/>
        <w:spacing w:after="0" w:line="284"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(ii) the obligation to absorb losses of, or receive benefits from, the VIE that could be potentially significant to the VIE.</w:t>
      </w:r>
    </w:p>
    <w:p>
      <w:pPr>
        <w:spacing w:after="0" w:line="16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85"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Equity Market Price Risk—At June 30, 2016 and December 31, 2015, the Company’s exposure to equity market price risk in its investment portfolio, which primarily relates to investments in equity securities, equity funds and hedge funds, was approximately $112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$1.8 million and $1.8 million in the carrying value of such investments as of June 30, 2016 and December 31, 2015,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Risk—At June 30, 2016 and December 31, 2015, the Company’s exposure to interest rate and credit spread risk in its investment portfolio related to investments in debt securities or funds which invest primarily in debt securities was $50 million and $50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$0.8 million in the carrying value of such investments as of June 30, 2016 and December 31, 2015, respectively, including the effect of the hedging transactions.</w:t>
      </w:r>
    </w:p>
    <w:p>
      <w:pPr>
        <w:spacing w:after="0" w:line="1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Foreign Exchange Rate Risk—At June 30, 2016 and December 31, 2015, the Company’s exposure to foreign exchange rate risk in its investment portfolio, which primarily relates to investments in foreign currency denominated equity and debt securities, was $56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$1.3 million and $1.0 million in the carrying value of such investments as of June 30, 2016 and December 31, 2015, respectively, including the effect of the hedging transactions.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June 30, 2016 and December 31, 2015, the Company’s exposure to changes in fair value of such investments was approximately $88 million and $84 million, respectively. The Company estimates that a hypothetical 10% adverse change in fair value would result in a decrease of approximately $8.8 million and $8.4 million in the carrying value of such investments as of June 30, 2016 and December 31, 2015,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2016, total receivables amounted to $495 million, net of an allowance for doubtful accounts of $14 million. As of that date, Financial Advisory and Asset Management fees, and customers and other receivables comprised 81% and 19% of total receivables, respectively. At December 31, 2015, total receivables amounted to $497 million, net of an allowance for doubtful accounts of $13 million. As of that date, Financial Advisory and Asset Management fees, and customers and other receivables comprised 85% and 15% of total receivables, respectively. At both June 30, 2016 and December 31, 2015, the Company had receivables past due or deemed uncollectible of approximately $20 million. See also “Critical Accounting Policies and Estimates—Revenue Recognition” above and Note 3 of Notes to Condensed Consolidated Financial Statements for additional information regarding receivables.</w:t>
      </w:r>
    </w:p>
    <w:p>
      <w:pPr>
        <w:spacing w:after="0" w:line="10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2016 and December 31, 2015, customer receivables included $44 million and $38 million of LFB loans, respectively, with such loans being fully collateralized and closely monitored for counterparty creditworthiness.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at both June 30, 2016 and December 31, 2015 and derivative liabilities, excluding the derivative liability arising from the Company’s obligation pertaining to LFI and other similar deferred compensation arrangements, amounted to $9 million and $2 million at such respective dates.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$177 million and $194 million at June 30, 2016 and December 31,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2016, Lazard estimates that its annual operating income relating to cash and cash equivalents would increase by approximately $6 million in the event interest rates were to increase by 1% and decrease by approximately $6 million if rates were to decrease by 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June 30, 2016, the Company’s cash and cash equivalents totaled approximately $646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for the updated risk factors set forth below, there were no material changes from the risk factors previously disclosed in the Company’s Annual Report on Form 10-K for the year ended December 31, 2015 (our “Form 10-K”) and the Company’s Quarterly Report on Form 10-Q for the quarter ended March 31, 2016.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Uncertainty regarding the outcome of future arrangements between the European Union and the United Kingdom may adversely affect our business.</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significant presence in many European Union countries, including the United Kingdom. On June 23, 2016, the U.K. voted in favor of a referendum to leave the European Union. At the time that the U.K. ultimately leaves the European Union, the commercial, regulatory and legal environment that would exist, and to which the Company’s U.K. operations would be subject, would be impacted by the nature of arrangements that are yet to be determined between the U.K and the European Union. These arrangements are hard to predict, and uncertainty regarding their outcome may continue for a significant period of time. The Company currently does not believe that any of the potential arrangements that are likely to be agreed would have a material adverse impact on the Company’s business. These potential arrangements may, however, result in certain changes in the way that we conduct our businesses, which could result in increased costs. In addition, the result of the referendum and the uncertainty it produced has impacted geopolitical perspectives and macroeconomic factors including interest rates, foreign currency exchange rates and equity markets, and it has increased volatility in many of the markets in which we operate. If these conditions continue or if current conditions worsen, our businesses may be adversely affected, which may materially impact our financial position and results of operations. See “Item 1A. Risk Factors—Difficult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in our Form 10-K.</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regarding Lazard’s purchases of its Class A common stock on a monthly basis during the second quarter of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Total Number</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of Shares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Paid</w:t>
            </w: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of Shares</w:t>
            </w: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per</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Plans or</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5560" w:type="dxa"/>
            <w:vAlign w:val="bottom"/>
            <w:gridSpan w:val="3"/>
            <w:vMerge w:val="continue"/>
          </w:tcPr>
          <w:p>
            <w:pPr>
              <w:spacing w:after="0"/>
              <w:rPr>
                <w:sz w:val="12"/>
                <w:szCs w:val="12"/>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3"/>
              </w:rPr>
              <w:t>Purchased</w:t>
            </w: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7"/>
              </w:rPr>
              <w:t>Share</w:t>
            </w: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Programs</w:t>
            </w:r>
          </w:p>
        </w:tc>
        <w:tc>
          <w:tcPr>
            <w:tcW w:w="13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April 1 – April 30, 2016</w:t>
            </w: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1,408,054</w:t>
            </w:r>
          </w:p>
        </w:tc>
        <w:tc>
          <w:tcPr>
            <w:tcW w:w="580" w:type="dxa"/>
            <w:vAlign w:val="bottom"/>
          </w:tcPr>
          <w:p>
            <w:pPr>
              <w:jc w:val="right"/>
              <w:spacing w:after="0"/>
              <w:rPr>
                <w:sz w:val="20"/>
                <w:szCs w:val="20"/>
                <w:color w:val="auto"/>
              </w:rPr>
            </w:pPr>
            <w:r>
              <w:rPr>
                <w:rFonts w:ascii="Arial" w:cs="Arial" w:eastAsia="Arial" w:hAnsi="Arial"/>
                <w:sz w:val="18"/>
                <w:szCs w:val="18"/>
                <w:color w:val="auto"/>
              </w:rPr>
              <w:t>$36.53</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1,408,054</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$284.8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52,205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May 1 – May 31, 2016</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872,105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872,105</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8,143</w:t>
            </w:r>
          </w:p>
        </w:tc>
        <w:tc>
          <w:tcPr>
            <w:tcW w:w="580" w:type="dxa"/>
            <w:vAlign w:val="bottom"/>
          </w:tcPr>
          <w:p>
            <w:pPr>
              <w:jc w:val="right"/>
              <w:spacing w:after="0"/>
              <w:rPr>
                <w:sz w:val="20"/>
                <w:szCs w:val="20"/>
                <w:color w:val="auto"/>
              </w:rPr>
            </w:pPr>
            <w:r>
              <w:rPr>
                <w:rFonts w:ascii="Arial" w:cs="Arial" w:eastAsia="Arial" w:hAnsi="Arial"/>
                <w:sz w:val="18"/>
                <w:szCs w:val="18"/>
                <w:color w:val="auto"/>
              </w:rPr>
              <w:t>$33.78</w:t>
            </w:r>
          </w:p>
        </w:tc>
        <w:tc>
          <w:tcPr>
            <w:tcW w:w="4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1 – June 30, 2016</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941,362</w:t>
            </w:r>
          </w:p>
        </w:tc>
        <w:tc>
          <w:tcPr>
            <w:tcW w:w="580" w:type="dxa"/>
            <w:vAlign w:val="bottom"/>
          </w:tcPr>
          <w:p>
            <w:pPr>
              <w:jc w:val="right"/>
              <w:spacing w:after="0"/>
              <w:rPr>
                <w:sz w:val="20"/>
                <w:szCs w:val="20"/>
                <w:color w:val="auto"/>
              </w:rPr>
            </w:pPr>
            <w:r>
              <w:rPr>
                <w:rFonts w:ascii="Arial" w:cs="Arial" w:eastAsia="Arial" w:hAnsi="Arial"/>
                <w:sz w:val="18"/>
                <w:szCs w:val="18"/>
                <w:color w:val="auto"/>
              </w:rPr>
              <w:t>$32.25</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941,362</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$224.6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3,221,521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3,221,521</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106,348</w:t>
            </w:r>
          </w:p>
        </w:tc>
        <w:tc>
          <w:tcPr>
            <w:tcW w:w="580" w:type="dxa"/>
            <w:vAlign w:val="bottom"/>
          </w:tcPr>
          <w:p>
            <w:pPr>
              <w:jc w:val="right"/>
              <w:spacing w:after="0"/>
              <w:rPr>
                <w:sz w:val="20"/>
                <w:szCs w:val="20"/>
                <w:color w:val="auto"/>
              </w:rPr>
            </w:pPr>
            <w:r>
              <w:rPr>
                <w:rFonts w:ascii="Arial" w:cs="Arial" w:eastAsia="Arial" w:hAnsi="Arial"/>
                <w:sz w:val="18"/>
                <w:szCs w:val="18"/>
                <w:color w:val="auto"/>
              </w:rPr>
              <w:t>$34.88</w:t>
            </w:r>
          </w:p>
        </w:tc>
        <w:tc>
          <w:tcPr>
            <w:tcW w:w="4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8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six months ended June 30, 2016 and since 2013, the Board of Directors of Lazard authorized the repurchase of 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860" w:type="dxa"/>
            <w:vAlign w:val="bottom"/>
            <w:vMerge w:val="restart"/>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90"/>
              </w:rPr>
              <w:t>Authorization</w:t>
            </w:r>
          </w:p>
        </w:tc>
        <w:tc>
          <w:tcPr>
            <w:tcW w:w="1780" w:type="dxa"/>
            <w:vAlign w:val="bottom"/>
            <w:gridSpan w:val="2"/>
          </w:tcPr>
          <w:p>
            <w:pPr>
              <w:ind w:left="50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7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2016</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113,182</w:t>
            </w:r>
          </w:p>
        </w:tc>
        <w:tc>
          <w:tcPr>
            <w:tcW w:w="7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The share repurchase program is used primarily to offset a portion of the shares that have been or will be issued under the 2008 Plan and the 2005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56" w:lineRule="exact"/>
        <w:rPr>
          <w:sz w:val="20"/>
          <w:szCs w:val="20"/>
          <w:color w:val="auto"/>
        </w:rPr>
      </w:pPr>
    </w:p>
    <w:p>
      <w:pPr>
        <w:ind w:left="460" w:right="80" w:hanging="452"/>
        <w:spacing w:after="0" w:line="255"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the terms of the 2008 Plan and the 2005 Plan, which expired in the second quarter of 2015, upon the vesting of RSUs, PRSUs and delivery of restricted Class A common stock, shares of Class A common stock may be withheld by the Company to meet the minimum statutory tax withholding requirements. During the three month period ended June 30, 2016, the Company satisfied such obligations in lieu of issuing (i) 54,754 shares of Class A common stock upon the vesting of 133,702 RSUs and (ii) 51,594 shares of Class A common stock upon the vesting of 102,347 shares of restricted Class A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0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0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00" w:type="dxa"/>
            <w:vAlign w:val="bottom"/>
          </w:tcPr>
          <w:p>
            <w:pPr>
              <w:ind w:left="480"/>
              <w:spacing w:after="0"/>
              <w:rPr>
                <w:sz w:val="20"/>
                <w:szCs w:val="20"/>
                <w:color w:val="auto"/>
              </w:rPr>
            </w:pPr>
            <w:r>
              <w:rPr>
                <w:rFonts w:ascii="Arial" w:cs="Arial" w:eastAsia="Arial" w:hAnsi="Arial"/>
                <w:sz w:val="18"/>
                <w:szCs w:val="18"/>
                <w:color w:val="auto"/>
                <w:w w:val="93"/>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0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0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0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0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00" w:type="dxa"/>
            <w:vAlign w:val="bottom"/>
          </w:tcPr>
          <w:p>
            <w:pPr>
              <w:ind w:left="480"/>
              <w:spacing w:after="0"/>
              <w:rPr>
                <w:sz w:val="20"/>
                <w:szCs w:val="20"/>
                <w:color w:val="auto"/>
              </w:rPr>
            </w:pPr>
            <w:r>
              <w:rPr>
                <w:rFonts w:ascii="Arial" w:cs="Arial" w:eastAsia="Arial" w:hAnsi="Arial"/>
                <w:sz w:val="18"/>
                <w:szCs w:val="18"/>
                <w:color w:val="auto"/>
                <w:w w:val="89"/>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0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00" w:type="dxa"/>
            <w:vAlign w:val="bottom"/>
          </w:tcPr>
          <w:p>
            <w:pPr>
              <w:ind w:left="48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w w:val="91"/>
              </w:rPr>
              <w:t>(incorporated by reference to Exhibit 4.1 to the Registrant’s Current Report on Form 8-K (File No. 001-32492) filed on November 14, 2013).</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00" w:type="dxa"/>
            <w:vAlign w:val="bottom"/>
          </w:tcPr>
          <w:p>
            <w:pPr>
              <w:ind w:left="480"/>
              <w:spacing w:after="0"/>
              <w:rPr>
                <w:sz w:val="20"/>
                <w:szCs w:val="20"/>
                <w:color w:val="auto"/>
              </w:rPr>
            </w:pPr>
            <w:r>
              <w:rPr>
                <w:rFonts w:ascii="Arial" w:cs="Arial" w:eastAsia="Arial" w:hAnsi="Arial"/>
                <w:sz w:val="18"/>
                <w:szCs w:val="18"/>
                <w:color w:val="auto"/>
                <w:w w:val="93"/>
              </w:rPr>
              <w:t>Sixth Supplemental Indenture, dated as of February 13, 2015,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w w:val="92"/>
              </w:rPr>
              <w:t>(incorporated by reference to Exhibit 4.1 of the Registrant’s Current Report on Form 8-K (File No. 001-32492) filed on February 13, 2015).</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4.6</w:t>
            </w:r>
          </w:p>
        </w:tc>
        <w:tc>
          <w:tcPr>
            <w:tcW w:w="1060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480"/>
              <w:spacing w:after="0"/>
              <w:rPr>
                <w:sz w:val="20"/>
                <w:szCs w:val="20"/>
                <w:color w:val="auto"/>
              </w:rPr>
            </w:pPr>
            <w:r>
              <w:rPr>
                <w:rFonts w:ascii="Arial" w:cs="Arial" w:eastAsia="Arial" w:hAnsi="Arial"/>
                <w:sz w:val="18"/>
                <w:szCs w:val="18"/>
                <w:color w:val="auto"/>
                <w:w w:val="88"/>
              </w:rPr>
              <w:t>Amended and Restated Operating Agreement of Lazard Group LLC, dated as of October 26, 2015 (incorporated by reference to Exhibit 10.1 to</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Registrant’s Quarterly Report (File No. 001-32492) on Form 10-Q filed on October 28, 2015).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480"/>
              <w:spacing w:after="0"/>
              <w:rPr>
                <w:sz w:val="20"/>
                <w:szCs w:val="20"/>
                <w:color w:val="auto"/>
              </w:rPr>
            </w:pPr>
            <w:r>
              <w:rPr>
                <w:rFonts w:ascii="Arial" w:cs="Arial" w:eastAsia="Arial" w:hAnsi="Arial"/>
                <w:sz w:val="18"/>
                <w:szCs w:val="18"/>
                <w:color w:val="auto"/>
                <w:w w:val="87"/>
              </w:rPr>
              <w:t>Second Amended and Restated Tax Receivable Agreement, dated as of October 26, 2015, by and among Ltd Sub A, Ltd Sub B and LTBP Trust</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w w:val="89"/>
              </w:rPr>
              <w:t>(incorporated by reference to Exhibit 10.2 to the Registrant’s Quarterly Report (File No. 001-32492) on Form 10-Q filed on October 28, 2015).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48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780" w:type="dxa"/>
            <w:vAlign w:val="bottom"/>
          </w:tcPr>
          <w:p>
            <w:pPr>
              <w:spacing w:after="0"/>
              <w:rPr>
                <w:sz w:val="18"/>
                <w:szCs w:val="18"/>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22"/>
        </w:trPr>
        <w:tc>
          <w:tcPr>
            <w:tcW w:w="780" w:type="dxa"/>
            <w:vAlign w:val="bottom"/>
          </w:tcPr>
          <w:p>
            <w:pPr>
              <w:spacing w:after="0"/>
              <w:rPr>
                <w:sz w:val="19"/>
                <w:szCs w:val="19"/>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dated as of</w:t>
            </w:r>
          </w:p>
        </w:tc>
      </w:tr>
      <w:tr>
        <w:trPr>
          <w:trHeight w:val="365"/>
        </w:trPr>
        <w:tc>
          <w:tcPr>
            <w:tcW w:w="78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January 27, 1994, by and among Rockefeller Center Properties and Lazard Frères &amp; Co. LLC (incorporated by reference to Exhibit 10.16 to the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Lazard Ltd 2005 Equity Incentive Plan (incorporated by reference to Exhibit 10.21 to the Registrant’s Registration Statement (File No. 333-</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00"/>
              <w:spacing w:after="0"/>
              <w:rPr>
                <w:sz w:val="20"/>
                <w:szCs w:val="20"/>
                <w:color w:val="auto"/>
              </w:rPr>
            </w:pPr>
            <w:r>
              <w:rPr>
                <w:rFonts w:ascii="Arial" w:cs="Arial" w:eastAsia="Arial" w:hAnsi="Arial"/>
                <w:sz w:val="18"/>
                <w:szCs w:val="18"/>
                <w:color w:val="auto"/>
                <w:w w:val="94"/>
              </w:rPr>
              <w:t>Lazard Ltd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00"/>
              <w:spacing w:after="0"/>
              <w:rPr>
                <w:sz w:val="20"/>
                <w:szCs w:val="20"/>
                <w:color w:val="auto"/>
              </w:rPr>
            </w:pPr>
            <w:r>
              <w:rPr>
                <w:rFonts w:ascii="Arial" w:cs="Arial" w:eastAsia="Arial" w:hAnsi="Arial"/>
                <w:sz w:val="18"/>
                <w:szCs w:val="18"/>
                <w:color w:val="auto"/>
                <w:w w:val="89"/>
              </w:rPr>
              <w:t>Lazard Ltd 2016 French Sub-plan (incorporated by reference to Annex B to the Registrant’s Definitive Proxy Statement on Schedule 14A (File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No. 001-32492) filed on March 10, 2016).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89"/>
              </w:rPr>
              <w:t>the Registrant, Lazard Group LLC and Kenneth M. Jacobs (incorporated by reference to Exhibit 10.9 to the Registrant’s Quarterly Report (File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No. 001-32492) on Form 10-Q filed on April 27, 2016).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the Registrant, Lazard Group LLC and Ashish Bhutani (incorporated by reference to Exhibit 10.10 to the Registrant’s Quarterly Report (File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No. 001-32492) on Form 10-Q filed on April 27, 2016).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89"/>
              </w:rPr>
              <w:t>the Registrant, Lazard Group LLC and Matthieu Bucaille (incorporated by reference to Exhibit 10.11 to the Registrant’s Quarterly Report (File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No. 001-32492) on Form 10-Q filed on April 27, 2016).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89"/>
              </w:rPr>
              <w:t>the Registrant, Lazard Group LLC and Scott D. Hoffman (incorporated by reference to Exhibit 10.12 to the Registrant’s Quarterly Report (File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No. 001-32492) on Form 10-Q filed on April 27, 2016).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the Registrant, Lazard Group LLC and Alexander F. Stern (incorporated by reference to Exhibit 10.13 to the Registrant’s Quarterly Report (File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No. 001-32492) on Form 10-Q filed on April 27, 2016).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40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2"/>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400"/>
              <w:spacing w:after="0"/>
              <w:rPr>
                <w:sz w:val="20"/>
                <w:szCs w:val="20"/>
                <w:color w:val="auto"/>
              </w:rPr>
            </w:pPr>
            <w:r>
              <w:rPr>
                <w:rFonts w:ascii="Arial" w:cs="Arial" w:eastAsia="Arial" w:hAnsi="Arial"/>
                <w:sz w:val="18"/>
                <w:szCs w:val="18"/>
                <w:color w:val="auto"/>
                <w:w w:val="94"/>
              </w:rPr>
              <w:t>Form of Agreement evidencing a grant of Deferred Cash Award to Executive Officers (incorporated by reference to Exhibit 10.42 to the</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400"/>
              <w:spacing w:after="0"/>
              <w:rPr>
                <w:sz w:val="20"/>
                <w:szCs w:val="20"/>
                <w:color w:val="auto"/>
              </w:rPr>
            </w:pPr>
            <w:r>
              <w:rPr>
                <w:rFonts w:ascii="Arial" w:cs="Arial" w:eastAsia="Arial" w:hAnsi="Arial"/>
                <w:sz w:val="18"/>
                <w:szCs w:val="18"/>
                <w:color w:val="auto"/>
                <w:w w:val="92"/>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Form 10-Q filed on May 11, 2006).</w:t>
            </w:r>
          </w:p>
        </w:tc>
      </w:tr>
      <w:tr>
        <w:trPr>
          <w:trHeight w:val="365"/>
        </w:trPr>
        <w:tc>
          <w:tcPr>
            <w:tcW w:w="8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10.18</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Amended and Restated Credit Agreement, dated as of September 25, 2015, among Lazard Group LLC, the Banks from time to time parties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3"/>
              </w:rPr>
              <w:t>thereto, and Citibank, N.A., as Administrative Agent (incorporated by reference to Exhibit 10.27 to the Registrant’s Quarterly Report (File</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No. 001-32492) on Form 10-Q filed on October 28, 2015).</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10.19*</w:t>
            </w:r>
          </w:p>
        </w:tc>
        <w:tc>
          <w:tcPr>
            <w:tcW w:w="10440" w:type="dxa"/>
            <w:vAlign w:val="bottom"/>
          </w:tcPr>
          <w:p>
            <w:pPr>
              <w:ind w:left="300"/>
              <w:spacing w:after="0"/>
              <w:rPr>
                <w:sz w:val="20"/>
                <w:szCs w:val="20"/>
                <w:color w:val="auto"/>
              </w:rPr>
            </w:pPr>
            <w:r>
              <w:rPr>
                <w:rFonts w:ascii="Arial" w:cs="Arial" w:eastAsia="Arial" w:hAnsi="Arial"/>
                <w:sz w:val="18"/>
                <w:szCs w:val="18"/>
                <w:color w:val="auto"/>
                <w:w w:val="89"/>
              </w:rPr>
              <w:t>Form of Agreement evidencing a grant of Lazard Fund Interests to Named Executive Officers (incorporated by reference to Exhibit 10.55 to the</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Registrant’s Quarterly Report (File No. 001-32492) on Form 10-Q filed on May 1, 2013).</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10.20*</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001-32492) on Form 10-Q filed May 6, 2014).</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10.21*</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under the 2008 Incentive Compensation Plan (incorporated by reference to Exhibit 10.56 to the Registrant’s Quarterly Report (File No. 001-</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32492) on Form 10-Q filed on May 6, 2014).</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Dominick Ragone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5"/>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2016</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211,613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(16,620)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519,465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216,807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123,885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Add—Fixed charges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86,066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103,668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106,470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110,919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58,489</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605,531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320,475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230,355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346,418</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51,159</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62,570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(c)</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23,496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24,287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20,793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75,109</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86,066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103,668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106,470</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110,919</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3.09(e)</w:t>
            </w:r>
          </w:p>
        </w:tc>
        <w:tc>
          <w:tcPr>
            <w:tcW w:w="1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5"/>
              </w:rPr>
              <w:t>Deficiency in the coverage of operating income (loss) before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20" w:hanging="452"/>
        <w:spacing w:after="0" w:line="290"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 $450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 See the Company’s Annual Report on Form 10-K for the year ended December 31, 2015 for additional information regarding the Company’s operating income and net income for the year ended December 31, 2015.</w:t>
      </w:r>
    </w:p>
    <w:p>
      <w:pPr>
        <w:spacing w:after="0" w:line="37" w:lineRule="exact"/>
        <w:rPr>
          <w:rFonts w:ascii="Arial" w:cs="Arial" w:eastAsia="Arial" w:hAnsi="Arial"/>
          <w:sz w:val="16"/>
          <w:szCs w:val="16"/>
          <w:color w:val="auto"/>
        </w:rPr>
      </w:pPr>
    </w:p>
    <w:p>
      <w:pPr>
        <w:ind w:left="460" w:right="20" w:hanging="452"/>
        <w:spacing w:after="0" w:line="305"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4.35.</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2"/>
    </w:lvl>
  </w:abstractNum>
  <w:abstractNum w:abstractNumId="6">
    <w:nsid w:val="419AC241"/>
    <w:multiLevelType w:val="hybridMultilevel"/>
    <w:lvl w:ilvl="0">
      <w:lvlJc w:val="left"/>
      <w:lvlText w:val="%1."/>
      <w:numFmt w:val="decimal"/>
      <w:start w:val="3"/>
    </w:lvl>
  </w:abstractNum>
  <w:abstractNum w:abstractNumId="7">
    <w:nsid w:val="5577F8E1"/>
    <w:multiLevelType w:val="hybridMultilevel"/>
    <w:lvl w:ilvl="0">
      <w:lvlJc w:val="left"/>
      <w:lvlText w:val="%1."/>
      <w:numFmt w:val="decimal"/>
      <w:start w:val="4"/>
    </w:lvl>
  </w:abstractNum>
  <w:abstractNum w:abstractNumId="8">
    <w:nsid w:val="440BADFC"/>
    <w:multiLevelType w:val="hybridMultilevel"/>
    <w:lvl w:ilvl="0">
      <w:lvlJc w:val="left"/>
      <w:lvlText w:val="(%1)"/>
      <w:numFmt w:val="lowerLetter"/>
      <w:start w:val="1"/>
    </w:lvl>
  </w:abstractNum>
  <w:abstractNum w:abstractNumId="9">
    <w:nsid w:val="5072367"/>
    <w:multiLevelType w:val="hybridMultilevel"/>
    <w:lvl w:ilvl="0">
      <w:lvlJc w:val="left"/>
      <w:lvlText w:val="%1."/>
      <w:numFmt w:val="decimal"/>
      <w:start w:val="5"/>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decimal"/>
      <w:start w:val="6"/>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decimal"/>
      <w:start w:val="7"/>
    </w:lvl>
  </w:abstractNum>
  <w:abstractNum w:abstractNumId="17">
    <w:nsid w:val="2D517796"/>
    <w:multiLevelType w:val="hybridMultilevel"/>
    <w:lvl w:ilvl="0">
      <w:lvlJc w:val="left"/>
      <w:lvlText w:val="%1."/>
      <w:numFmt w:val="decimal"/>
      <w:start w:val="8"/>
    </w:lvl>
  </w:abstractNum>
  <w:abstractNum w:abstractNumId="18">
    <w:nsid w:val="580BD78F"/>
    <w:multiLevelType w:val="hybridMultilevel"/>
    <w:lvl w:ilvl="0">
      <w:lvlJc w:val="left"/>
      <w:lvlText w:val="%1"/>
      <w:numFmt w:val="decimal"/>
      <w:start w:val="1"/>
    </w:lvl>
    <w:lvl w:ilvl="1">
      <w:lvlJc w:val="left"/>
      <w:lvlText w:val="(%2)"/>
      <w:numFmt w:val="lowerLetter"/>
      <w:start w:val="1"/>
    </w:lvl>
  </w:abstractNum>
  <w:abstractNum w:abstractNumId="19">
    <w:nsid w:val="153EA438"/>
    <w:multiLevelType w:val="hybridMultilevel"/>
    <w:lvl w:ilvl="0">
      <w:lvlJc w:val="left"/>
      <w:lvlText w:val="%1."/>
      <w:numFmt w:val="decimal"/>
      <w:start w:val="9"/>
    </w:lvl>
    <w:lvl w:ilvl="1">
      <w:lvlJc w:val="left"/>
      <w:lvlText w:val="%2"/>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2"/>
    </w:lvl>
  </w:abstractNum>
  <w:abstractNum w:abstractNumId="22">
    <w:nsid w:val="6A2342EC"/>
    <w:multiLevelType w:val="hybridMultilevel"/>
    <w:lvl w:ilvl="0">
      <w:lvlJc w:val="left"/>
      <w:lvlText w:val="%1."/>
      <w:numFmt w:val="decimal"/>
      <w:start w:val="10"/>
    </w:lvl>
  </w:abstractNum>
  <w:abstractNum w:abstractNumId="23">
    <w:nsid w:val="2A487CB0"/>
    <w:multiLevelType w:val="hybridMultilevel"/>
    <w:lvl w:ilvl="0">
      <w:lvlJc w:val="left"/>
      <w:lvlText w:val="%1."/>
      <w:numFmt w:val="decimal"/>
      <w:start w:val="1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decimal"/>
      <w:start w:val="12"/>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3"/>
    </w:lvl>
  </w:abstractNum>
  <w:abstractNum w:abstractNumId="28">
    <w:nsid w:val="7A6D8D3C"/>
    <w:multiLevelType w:val="hybridMultilevel"/>
    <w:lvl w:ilvl="0">
      <w:lvlJc w:val="left"/>
      <w:lvlText w:val="%1."/>
      <w:numFmt w:val="decimal"/>
      <w:start w:val="14"/>
    </w:lvl>
  </w:abstractNum>
  <w:abstractNum w:abstractNumId="29">
    <w:nsid w:val="4B588F54"/>
    <w:multiLevelType w:val="hybridMultilevel"/>
    <w:lvl w:ilvl="0">
      <w:lvlJc w:val="left"/>
      <w:lvlText w:val="%1."/>
      <w:numFmt w:val="decimal"/>
      <w:start w:val="15"/>
    </w:lvl>
  </w:abstractNum>
  <w:abstractNum w:abstractNumId="30">
    <w:nsid w:val="542289EC"/>
    <w:multiLevelType w:val="hybridMultilevel"/>
    <w:lvl w:ilvl="0">
      <w:lvlJc w:val="left"/>
      <w:lvlText w:val="%1."/>
      <w:numFmt w:val="decimal"/>
      <w:start w:val="16"/>
    </w:lvl>
  </w:abstractNum>
  <w:abstractNum w:abstractNumId="31">
    <w:nsid w:val="6DE91B18"/>
    <w:multiLevelType w:val="hybridMultilevel"/>
    <w:lvl w:ilvl="0">
      <w:lvlJc w:val="left"/>
      <w:lvlText w:val="%1."/>
      <w:numFmt w:val="decimal"/>
      <w:start w:val="17"/>
    </w:lvl>
  </w:abstractNum>
  <w:abstractNum w:abstractNumId="32">
    <w:nsid w:val="38437FDB"/>
    <w:multiLevelType w:val="hybridMultilevel"/>
    <w:lvl w:ilvl="0">
      <w:lvlJc w:val="left"/>
      <w:lvlText w:val="%1."/>
      <w:numFmt w:val="decimal"/>
      <w:start w:val="18"/>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
      <w:numFmt w:val="bullet"/>
      <w:start w:val="1"/>
    </w:lvl>
    <w:lvl w:ilvl="1">
      <w:lvlJc w:val="left"/>
      <w:lvlText w:val="(%2)"/>
      <w:numFmt w:val="lowerRoman"/>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4"/>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2"/>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2"/>
    </w:lvl>
  </w:abstractNum>
  <w:abstractNum w:abstractNumId="59">
    <w:nsid w:val="10233C99"/>
    <w:multiLevelType w:val="hybridMultilevel"/>
    <w:lvl w:ilvl="0">
      <w:lvlJc w:val="left"/>
      <w:lvlText w:val="(%1)"/>
      <w:numFmt w:val="lowerLetter"/>
      <w:start w:val="1"/>
    </w:lvl>
    <w:lvl w:ilvl="1">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2019-12-29T12:10:48Z</dcterms:created>
  <dcterms:modified xsi:type="dcterms:W3CDTF">2019-12-29T12:10:48Z</dcterms:modified>
</cp:coreProperties>
</file>