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22"/>
        </w:trPr>
        <w:tc>
          <w:tcPr>
            <w:tcW w:w="2380" w:type="dxa"/>
            <w:vAlign w:val="bottom"/>
          </w:tcPr>
          <w:p>
            <w:pPr>
              <w:jc w:val="right"/>
              <w:ind w:right="56"/>
              <w:spacing w:after="0"/>
              <w:rPr>
                <w:sz w:val="20"/>
                <w:szCs w:val="20"/>
                <w:color w:val="auto"/>
              </w:rPr>
            </w:pPr>
            <w:r>
              <w:rPr>
                <w:rFonts w:ascii="Arial" w:cs="Arial" w:eastAsia="Arial" w:hAnsi="Arial"/>
                <w:sz w:val="18"/>
                <w:szCs w:val="18"/>
                <w:b w:val="1"/>
                <w:bCs w:val="1"/>
                <w:color w:val="auto"/>
              </w:rPr>
              <w:t>001-32492</w:t>
            </w: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6"/>
        </w:trPr>
        <w:tc>
          <w:tcPr>
            <w:tcW w:w="292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93"/>
              </w:rPr>
              <w:t>(Commission File Number)</w:t>
            </w:r>
          </w:p>
        </w:tc>
        <w:tc>
          <w:tcPr>
            <w:tcW w:w="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-334645</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LAZARD LTD</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40"/>
          </w:cols>
          <w:pgMar w:left="240" w:top="571" w:right="319" w:bottom="1440" w:gutter="0" w:footer="0" w:header="0"/>
        </w:sectPr>
      </w:pPr>
    </w:p>
    <w:p>
      <w:pPr>
        <w:spacing w:after="0" w:line="2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Bermuda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98-0437848</w:t>
      </w:r>
    </w:p>
    <w:p>
      <w:pPr>
        <w:spacing w:after="0" w:line="50" w:lineRule="exact"/>
        <w:rPr>
          <w:sz w:val="24"/>
          <w:szCs w:val="24"/>
          <w:color w:val="auto"/>
        </w:rPr>
      </w:pPr>
    </w:p>
    <w:p>
      <w:pPr>
        <w:sectPr>
          <w:pgSz w:w="11900" w:h="16838" w:orient="portrait"/>
          <w:cols w:equalWidth="0" w:num="2">
            <w:col w:w="7480" w:space="720"/>
            <w:col w:w="3140"/>
          </w:cols>
          <w:pgMar w:left="240" w:top="571" w:right="319" w:bottom="1440" w:gutter="0" w:footer="0" w:header="0"/>
          <w:type w:val="continuous"/>
        </w:sectPr>
      </w:pPr>
    </w:p>
    <w:p>
      <w:pPr>
        <w:jc w:val="center"/>
        <w:ind w:right="110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49" w:lineRule="exact"/>
        <w:rPr>
          <w:sz w:val="24"/>
          <w:szCs w:val="24"/>
          <w:color w:val="auto"/>
        </w:rPr>
      </w:pPr>
    </w:p>
    <w:p>
      <w:pPr>
        <w:sectPr>
          <w:pgSz w:w="11900" w:h="16838" w:orient="portrait"/>
          <w:cols w:equalWidth="0" w:num="2">
            <w:col w:w="6820" w:space="720"/>
            <w:col w:w="3800"/>
          </w:cols>
          <w:pgMar w:left="240" w:top="571" w:right="31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 Church Street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Hamilton HM11, Bermuda</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340"/>
          </w:cols>
          <w:pgMar w:left="240" w:top="571" w:right="319" w:bottom="1440" w:gutter="0" w:footer="0" w:header="0"/>
          <w:type w:val="continuous"/>
        </w:sectPr>
      </w:pPr>
    </w:p>
    <w:p>
      <w:pPr>
        <w:spacing w:after="0" w:line="1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(441) 295-1422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20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8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1" w:lineRule="exact"/>
        <w:rPr>
          <w:sz w:val="24"/>
          <w:szCs w:val="24"/>
          <w:color w:val="auto"/>
        </w:rPr>
      </w:pPr>
    </w:p>
    <w:tbl>
      <w:tblPr>
        <w:tblLayout w:type="fixed"/>
        <w:tblInd w:w="580" w:type="dxa"/>
        <w:tblCellMar>
          <w:top w:w="0" w:type="dxa"/>
          <w:left w:w="0" w:type="dxa"/>
          <w:bottom w:w="0" w:type="dxa"/>
          <w:right w:w="0" w:type="dxa"/>
        </w:tblCellMar>
      </w:tblP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220" w:type="dxa"/>
            <w:vAlign w:val="bottom"/>
          </w:tcPr>
          <w:p>
            <w:pPr>
              <w:ind w:left="178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firstLine="518"/>
        <w:spacing w:after="0" w:line="214" w:lineRule="exact"/>
        <w:rPr>
          <w:sz w:val="20"/>
          <w:szCs w:val="20"/>
          <w:color w:val="auto"/>
        </w:rPr>
      </w:pPr>
      <w:r>
        <w:rPr>
          <w:rFonts w:ascii="Arial" w:cs="Arial" w:eastAsia="Arial" w:hAnsi="Arial"/>
          <w:sz w:val="16"/>
          <w:szCs w:val="16"/>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spacing w:after="0" w:line="184" w:lineRule="exact"/>
        <w:tabs>
          <w:tab w:leader="none" w:pos="7860" w:val="left"/>
          <w:tab w:leader="none" w:pos="84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57" w:lineRule="exact"/>
        <w:rPr>
          <w:sz w:val="24"/>
          <w:szCs w:val="24"/>
          <w:color w:val="auto"/>
        </w:rPr>
      </w:pPr>
    </w:p>
    <w:p>
      <w:pPr>
        <w:ind w:left="520"/>
        <w:spacing w:after="0"/>
        <w:rPr>
          <w:sz w:val="20"/>
          <w:szCs w:val="20"/>
          <w:color w:val="auto"/>
        </w:rPr>
      </w:pPr>
      <w:r>
        <w:rPr>
          <w:rFonts w:ascii="Arial" w:cs="Arial" w:eastAsia="Arial" w:hAnsi="Arial"/>
          <w:sz w:val="15"/>
          <w:szCs w:val="15"/>
          <w:color w:val="auto"/>
        </w:rPr>
        <w:t>As of July 20, 2018, there were 129,766,091 shares of the Registrant’s Class A common stock outstanding (including 10,044,295 shares held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827405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71"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Ltd’s primary operating asset is its indirect ownership as of June 30, 2018 of all of the common membership interests in Lazard Group and its controlling interest in Lazard Group.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480" w:type="dxa"/>
            <w:vAlign w:val="bottom"/>
            <w:gridSpan w:val="9"/>
            <w:vMerge w:val="restart"/>
          </w:tcPr>
          <w:p>
            <w:pPr>
              <w:spacing w:after="0"/>
              <w:rPr>
                <w:sz w:val="14"/>
                <w:szCs w:val="14"/>
                <w:color w:val="auto"/>
              </w:rPr>
            </w:pPr>
          </w:p>
        </w:tc>
        <w:tc>
          <w:tcPr>
            <w:tcW w:w="6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480" w:type="dxa"/>
            <w:vAlign w:val="bottom"/>
            <w:gridSpan w:val="9"/>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Item 4. Controls and Procedures</w:t>
              </w:r>
            </w:hyperlink>
          </w:p>
        </w:tc>
        <w:tc>
          <w:tcPr>
            <w:tcW w:w="7960" w:type="dxa"/>
            <w:vAlign w:val="bottom"/>
            <w:gridSpan w:val="6"/>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Item 1. Legal Proceedings</w:t>
              </w:r>
            </w:hyperlink>
          </w:p>
        </w:tc>
        <w:tc>
          <w:tcPr>
            <w:tcW w:w="8400" w:type="dxa"/>
            <w:vAlign w:val="bottom"/>
            <w:gridSpan w:val="7"/>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Item 1A. Risk Factors</w:t>
              </w:r>
            </w:hyperlink>
          </w:p>
        </w:tc>
        <w:tc>
          <w:tcPr>
            <w:tcW w:w="8680" w:type="dxa"/>
            <w:vAlign w:val="bottom"/>
            <w:gridSpan w:val="10"/>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Item 2. Unregistered Sales of Equity Securities and Use of Proceeds</w:t>
              </w:r>
            </w:hyperlink>
          </w:p>
        </w:tc>
        <w:tc>
          <w:tcPr>
            <w:tcW w:w="5380" w:type="dxa"/>
            <w:vAlign w:val="bottom"/>
            <w:gridSpan w:val="3"/>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3. Defaults Upon Senior Securities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7420" w:type="dxa"/>
            <w:vAlign w:val="bottom"/>
            <w:gridSpan w:val="5"/>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71">
              <w:r>
                <w:rPr>
                  <w:rFonts w:ascii="Arial" w:cs="Arial" w:eastAsia="Arial" w:hAnsi="Arial"/>
                  <w:sz w:val="18"/>
                  <w:szCs w:val="18"/>
                  <w:color w:val="0000EE"/>
                  <w:w w:val="92"/>
                </w:rPr>
                <w:t>Item 5. Other Information</w:t>
              </w:r>
            </w:hyperlink>
          </w:p>
        </w:tc>
        <w:tc>
          <w:tcPr>
            <w:tcW w:w="8420" w:type="dxa"/>
            <w:vAlign w:val="bottom"/>
            <w:gridSpan w:val="8"/>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6. Exhibits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14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Signatures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740" w:type="dxa"/>
            <w:vAlign w:val="bottom"/>
            <w:gridSpan w:val="6"/>
          </w:tcPr>
          <w:p>
            <w:pPr>
              <w:ind w:left="12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940" w:type="dxa"/>
            <w:vAlign w:val="bottom"/>
            <w:gridSpan w:val="7"/>
          </w:tcPr>
          <w:p>
            <w:pPr>
              <w:ind w:left="300"/>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r>
      <w:tr>
        <w:trPr>
          <w:trHeight w:val="291"/>
        </w:trPr>
        <w:tc>
          <w:tcPr>
            <w:tcW w:w="60" w:type="dxa"/>
            <w:vAlign w:val="bottom"/>
          </w:tcPr>
          <w:p>
            <w:pPr>
              <w:spacing w:after="0"/>
              <w:rPr>
                <w:sz w:val="24"/>
                <w:szCs w:val="24"/>
                <w:color w:val="auto"/>
              </w:rPr>
            </w:pPr>
          </w:p>
        </w:tc>
        <w:tc>
          <w:tcPr>
            <w:tcW w:w="75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as of June 30, 2018 and December 31, 2017</w:t>
              </w:r>
            </w:hyperlink>
          </w:p>
        </w:tc>
        <w:tc>
          <w:tcPr>
            <w:tcW w:w="3220" w:type="dxa"/>
            <w:vAlign w:val="bottom"/>
            <w:gridSpan w:val="5"/>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2</w:t>
            </w:r>
          </w:p>
        </w:tc>
      </w:tr>
      <w:tr>
        <w:trPr>
          <w:trHeight w:val="318"/>
        </w:trPr>
        <w:tc>
          <w:tcPr>
            <w:tcW w:w="60" w:type="dxa"/>
            <w:vAlign w:val="bottom"/>
          </w:tcPr>
          <w:p>
            <w:pPr>
              <w:spacing w:after="0"/>
              <w:rPr>
                <w:sz w:val="24"/>
                <w:szCs w:val="24"/>
                <w:color w:val="auto"/>
              </w:rPr>
            </w:pPr>
          </w:p>
        </w:tc>
        <w:tc>
          <w:tcPr>
            <w:tcW w:w="89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month and six month periods ended June 30, 2018 and 2017</w:t>
              </w:r>
            </w:hyperlink>
          </w:p>
        </w:tc>
        <w:tc>
          <w:tcPr>
            <w:tcW w:w="1760" w:type="dxa"/>
            <w:vAlign w:val="bottom"/>
            <w:gridSpan w:val="3"/>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318"/>
        </w:trPr>
        <w:tc>
          <w:tcPr>
            <w:tcW w:w="60" w:type="dxa"/>
            <w:vAlign w:val="bottom"/>
          </w:tcPr>
          <w:p>
            <w:pPr>
              <w:spacing w:after="0"/>
              <w:rPr>
                <w:sz w:val="24"/>
                <w:szCs w:val="24"/>
                <w:color w:val="auto"/>
              </w:rPr>
            </w:pPr>
          </w:p>
        </w:tc>
        <w:tc>
          <w:tcPr>
            <w:tcW w:w="9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 and six month periods ended June 30, 2018 and 2017</w:t>
              </w:r>
            </w:hyperlink>
          </w:p>
        </w:tc>
        <w:tc>
          <w:tcPr>
            <w:tcW w:w="84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5</w:t>
            </w:r>
          </w:p>
        </w:tc>
      </w:tr>
      <w:tr>
        <w:trPr>
          <w:trHeight w:val="318"/>
        </w:trPr>
        <w:tc>
          <w:tcPr>
            <w:tcW w:w="60" w:type="dxa"/>
            <w:vAlign w:val="bottom"/>
          </w:tcPr>
          <w:p>
            <w:pPr>
              <w:spacing w:after="0"/>
              <w:rPr>
                <w:sz w:val="24"/>
                <w:szCs w:val="24"/>
                <w:color w:val="auto"/>
              </w:rPr>
            </w:pPr>
          </w:p>
        </w:tc>
        <w:tc>
          <w:tcPr>
            <w:tcW w:w="78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six month periods ended June 30, 2018 and 2017</w:t>
              </w:r>
            </w:hyperlink>
          </w:p>
        </w:tc>
        <w:tc>
          <w:tcPr>
            <w:tcW w:w="2920" w:type="dxa"/>
            <w:vAlign w:val="bottom"/>
            <w:gridSpan w:val="4"/>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Changes in Stockholders’ Equity for the six month periods ended June 30, 2018 and 2017</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7</w:t>
            </w:r>
          </w:p>
        </w:tc>
      </w:tr>
      <w:tr>
        <w:trPr>
          <w:trHeight w:val="318"/>
        </w:trPr>
        <w:tc>
          <w:tcPr>
            <w:tcW w:w="60" w:type="dxa"/>
            <w:vAlign w:val="bottom"/>
          </w:tcPr>
          <w:p>
            <w:pPr>
              <w:spacing w:after="0"/>
              <w:rPr>
                <w:sz w:val="24"/>
                <w:szCs w:val="24"/>
                <w:color w:val="auto"/>
              </w:rPr>
            </w:pPr>
          </w:p>
        </w:tc>
        <w:tc>
          <w:tcPr>
            <w:tcW w:w="9340" w:type="dxa"/>
            <w:vAlign w:val="bottom"/>
            <w:tcBorders>
              <w:top w:val="single" w:sz="8" w:color="0000EE"/>
            </w:tcBorders>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1400" w:type="dxa"/>
            <w:vAlign w:val="bottom"/>
            <w:gridSpan w:val="2"/>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0"/>
        </w:trPr>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 w:name="page4"/>
    <w:bookmarkEnd w:id="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 AND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845,167</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1,483,836</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1,000,662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935,431</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37,089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35,539</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$34,956 and $23,746</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June 30, 2018 and December 31, 2017, respectively):</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Fees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610,488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487,800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8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83,816</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714,397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571,616</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505,194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427,186</w:t>
            </w:r>
          </w:p>
        </w:tc>
        <w:tc>
          <w:tcPr>
            <w:tcW w:w="120" w:type="dxa"/>
            <w:vAlign w:val="bottom"/>
            <w:shd w:val="clear" w:color="auto" w:fill="CFF0FC"/>
          </w:tcPr>
          <w:p>
            <w:pPr>
              <w:spacing w:after="0"/>
              <w:rPr>
                <w:sz w:val="19"/>
                <w:szCs w:val="19"/>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Property (net of accumulated amortization and depreciation of $325,012 and $317,827</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at June 30, 2018 and December 31, 2017, respectively)</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216,183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205,301</w:t>
            </w:r>
          </w:p>
        </w:tc>
        <w:tc>
          <w:tcPr>
            <w:tcW w:w="120" w:type="dxa"/>
            <w:vAlign w:val="bottom"/>
          </w:tcPr>
          <w:p>
            <w:pPr>
              <w:spacing w:after="0"/>
              <w:rPr>
                <w:sz w:val="20"/>
                <w:szCs w:val="20"/>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 (net of accumulated amortization of $64,681 and</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$63,099 at June 30, 2018 and December 31, 2017, respectively)</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382,360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391,364</w:t>
            </w: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618,455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650,260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308,485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228,144</w:t>
            </w:r>
          </w:p>
        </w:tc>
        <w:tc>
          <w:tcPr>
            <w:tcW w:w="120" w:type="dxa"/>
            <w:vAlign w:val="bottom"/>
            <w:shd w:val="clear" w:color="auto" w:fill="CFF0FC"/>
          </w:tcPr>
          <w:p>
            <w:pPr>
              <w:spacing w:after="0"/>
              <w:rPr>
                <w:sz w:val="19"/>
                <w:szCs w:val="19"/>
                <w:color w:val="auto"/>
              </w:rPr>
            </w:pPr>
          </w:p>
        </w:tc>
      </w:tr>
      <w:tr>
        <w:trPr>
          <w:trHeight w:val="223"/>
        </w:trPr>
        <w:tc>
          <w:tcPr>
            <w:tcW w:w="70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4,627,992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4,928,677</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 AND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00" w:type="dxa"/>
            <w:vAlign w:val="bottom"/>
            <w:tcBorders>
              <w:bottom w:val="single" w:sz="8" w:color="CFF0FC"/>
            </w:tcBorders>
          </w:tcPr>
          <w:p>
            <w:pPr>
              <w:spacing w:after="0"/>
              <w:rPr>
                <w:sz w:val="14"/>
                <w:szCs w:val="14"/>
                <w:color w:val="auto"/>
              </w:rPr>
            </w:pPr>
          </w:p>
        </w:tc>
        <w:tc>
          <w:tcPr>
            <w:tcW w:w="9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Liabilities:</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2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1,055,244</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992,338</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403,495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593,781</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1,191,277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1,190,383</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Tax receivable agreement obligation</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277,163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310,275</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9,407</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9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580,525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573,588</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3,514,888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3,669,772</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Series A - no shares issued and outstanding</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Series B - no shares issued and outstanding</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900" w:type="dxa"/>
            <w:vAlign w:val="bottom"/>
          </w:tcPr>
          <w:p>
            <w:pPr>
              <w:ind w:left="500"/>
              <w:spacing w:after="0"/>
              <w:rPr>
                <w:sz w:val="20"/>
                <w:szCs w:val="20"/>
                <w:color w:val="auto"/>
              </w:rPr>
            </w:pPr>
            <w:r>
              <w:rPr>
                <w:rFonts w:ascii="Arial" w:cs="Arial" w:eastAsia="Arial" w:hAnsi="Arial"/>
                <w:sz w:val="18"/>
                <w:szCs w:val="18"/>
                <w:color w:val="auto"/>
              </w:rPr>
              <w:t>Class A, par value $.01 per share (500,000,000 shares authorized;</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00" w:type="dxa"/>
            <w:vAlign w:val="bottom"/>
          </w:tcPr>
          <w:p>
            <w:pPr>
              <w:ind w:left="640"/>
              <w:spacing w:after="0"/>
              <w:rPr>
                <w:sz w:val="20"/>
                <w:szCs w:val="20"/>
                <w:color w:val="auto"/>
              </w:rPr>
            </w:pPr>
            <w:r>
              <w:rPr>
                <w:rFonts w:ascii="Arial" w:cs="Arial" w:eastAsia="Arial" w:hAnsi="Arial"/>
                <w:sz w:val="18"/>
                <w:szCs w:val="18"/>
                <w:color w:val="auto"/>
              </w:rPr>
              <w:t>129,766,091 shares issued at June 30, 2018 and December 31, 2017,</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00" w:type="dxa"/>
            <w:vAlign w:val="bottom"/>
          </w:tcPr>
          <w:p>
            <w:pPr>
              <w:ind w:left="640"/>
              <w:spacing w:after="0"/>
              <w:rPr>
                <w:sz w:val="20"/>
                <w:szCs w:val="20"/>
                <w:color w:val="auto"/>
              </w:rPr>
            </w:pPr>
            <w:r>
              <w:rPr>
                <w:rFonts w:ascii="Arial" w:cs="Arial" w:eastAsia="Arial" w:hAnsi="Arial"/>
                <w:sz w:val="18"/>
                <w:szCs w:val="18"/>
                <w:color w:val="auto"/>
              </w:rPr>
              <w:t>including shares held by subsidiaries as indicated below)</w:t>
            </w: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0"/>
                <w:szCs w:val="20"/>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paid-in-capital</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652,013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788,140</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1,092,381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1,080,413</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(253,499)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(232,518)</w:t>
            </w:r>
          </w:p>
        </w:tc>
      </w:tr>
      <w:tr>
        <w:trPr>
          <w:trHeight w:val="223"/>
        </w:trPr>
        <w:tc>
          <w:tcPr>
            <w:tcW w:w="6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1,492,193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1,637,333</w:t>
            </w:r>
          </w:p>
        </w:tc>
        <w:tc>
          <w:tcPr>
            <w:tcW w:w="120" w:type="dxa"/>
            <w:vAlign w:val="bottom"/>
          </w:tcPr>
          <w:p>
            <w:pPr>
              <w:spacing w:after="0"/>
              <w:rPr>
                <w:sz w:val="19"/>
                <w:szCs w:val="19"/>
                <w:color w:val="auto"/>
              </w:rPr>
            </w:pPr>
          </w:p>
        </w:tc>
      </w:tr>
      <w:tr>
        <w:trPr>
          <w:trHeight w:val="215"/>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held by subsidiaries, at cost (9,719,895 and 10,747,142</w:t>
            </w: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at June 30, 2018 and December 31, 2017, respectively)</w:t>
            </w:r>
          </w:p>
        </w:tc>
        <w:tc>
          <w:tcPr>
            <w:tcW w:w="9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(437,031)</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(437,530)</w:t>
            </w:r>
          </w:p>
        </w:tc>
      </w:tr>
      <w:tr>
        <w:trPr>
          <w:trHeight w:val="223"/>
        </w:trPr>
        <w:tc>
          <w:tcPr>
            <w:tcW w:w="6900" w:type="dxa"/>
            <w:vAlign w:val="bottom"/>
          </w:tcPr>
          <w:p>
            <w:pPr>
              <w:ind w:left="500"/>
              <w:spacing w:after="0"/>
              <w:rPr>
                <w:sz w:val="20"/>
                <w:szCs w:val="20"/>
                <w:color w:val="auto"/>
              </w:rPr>
            </w:pPr>
            <w:r>
              <w:rPr>
                <w:rFonts w:ascii="Arial" w:cs="Arial" w:eastAsia="Arial" w:hAnsi="Arial"/>
                <w:sz w:val="18"/>
                <w:szCs w:val="18"/>
                <w:color w:val="auto"/>
              </w:rPr>
              <w:t>Total Lazard Ltd Stockholders’ Equity</w:t>
            </w:r>
          </w:p>
        </w:tc>
        <w:tc>
          <w:tcPr>
            <w:tcW w:w="9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1,055,162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1,199,803</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9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59,102</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9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1,113,104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1,258,905</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9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4,627,992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4,928,677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540" w:type="dxa"/>
            <w:vAlign w:val="bottom"/>
            <w:gridSpan w:val="6"/>
          </w:tcPr>
          <w:p>
            <w:pPr>
              <w:ind w:lef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7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421,444</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410,275</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830,170</w:t>
            </w:r>
          </w:p>
        </w:tc>
        <w:tc>
          <w:tcPr>
            <w:tcW w:w="16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745,191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293,879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673,987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566,803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24,183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771,528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729,946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1,539,733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1,367,366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12,766</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757,938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717,180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1,512,636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1,340,644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416,159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414,612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821,206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776,413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30,828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24,027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53,887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43,779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32,032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11,234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(7,617)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557,998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544,679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1,126,868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1,017,946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385,768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322,698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120,901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00" w:type="dxa"/>
            <w:vAlign w:val="bottom"/>
          </w:tcPr>
          <w:p>
            <w:pPr>
              <w:spacing w:after="0"/>
              <w:rPr>
                <w:sz w:val="20"/>
                <w:szCs w:val="20"/>
                <w:color w:val="auto"/>
              </w:rPr>
            </w:pPr>
            <w:r>
              <w:rPr>
                <w:rFonts w:ascii="Arial" w:cs="Arial" w:eastAsia="Arial" w:hAnsi="Arial"/>
                <w:sz w:val="18"/>
                <w:szCs w:val="18"/>
                <w:b w:val="1"/>
                <w:bCs w:val="1"/>
                <w:color w:val="auto"/>
              </w:rPr>
              <w:t>LESS - NET INCOME ATTRIBUTABLE TO</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5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5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146,963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120,378</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306,655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227,931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ATTRIBUTABLE TO LAZARD LTD CLASS A</w:t>
            </w: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280"/>
              <w:spacing w:after="0"/>
              <w:rPr>
                <w:sz w:val="20"/>
                <w:szCs w:val="20"/>
                <w:color w:val="auto"/>
              </w:rPr>
            </w:pPr>
            <w:r>
              <w:rPr>
                <w:rFonts w:ascii="Arial" w:cs="Arial" w:eastAsia="Arial" w:hAnsi="Arial"/>
                <w:sz w:val="18"/>
                <w:szCs w:val="18"/>
                <w:b w:val="1"/>
                <w:bCs w:val="1"/>
                <w:color w:val="auto"/>
              </w:rPr>
              <w:t>COMMON STOCKHOLDERS:</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WEIGHTED AVERAGE SHARES OF COMMON STOCK</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OUTSTANDING:</w:t>
            </w: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500"/>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120,306,257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122,368,150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120,118,182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122,591,656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130,249,054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132,139,616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131,195,725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132,414,496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b w:val="1"/>
                <w:bCs w:val="1"/>
                <w:color w:val="auto"/>
              </w:rPr>
              <w:t>NET INCOME PER SHARE OF COMMON STOCK:</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7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bottom w:val="single" w:sz="8" w:color="CFF0FC"/>
            </w:tcBorders>
            <w:vMerge w:val="restart"/>
          </w:tcPr>
          <w:p>
            <w:pPr>
              <w:ind w:left="500"/>
              <w:spacing w:after="0"/>
              <w:rPr>
                <w:sz w:val="20"/>
                <w:szCs w:val="20"/>
                <w:color w:val="auto"/>
              </w:rPr>
            </w:pPr>
            <w:r>
              <w:rPr>
                <w:rFonts w:ascii="Arial" w:cs="Arial" w:eastAsia="Arial" w:hAnsi="Arial"/>
                <w:sz w:val="18"/>
                <w:szCs w:val="18"/>
                <w:color w:val="auto"/>
              </w:rPr>
              <w:t>Diluted</w:t>
            </w: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FF0FC"/>
            </w:tcBorders>
            <w:vMerge w:val="continue"/>
          </w:tcPr>
          <w:p>
            <w:pPr>
              <w:spacing w:after="0"/>
              <w:rPr>
                <w:sz w:val="21"/>
                <w:szCs w:val="21"/>
                <w:color w:val="auto"/>
              </w:rPr>
            </w:pPr>
          </w:p>
        </w:tc>
        <w:tc>
          <w:tcPr>
            <w:tcW w:w="5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400" w:type="dxa"/>
            <w:vAlign w:val="bottom"/>
            <w:shd w:val="clear" w:color="auto" w:fill="CFF0FC"/>
          </w:tcPr>
          <w:p>
            <w:pPr>
              <w:ind w:left="260"/>
              <w:spacing w:after="0" w:line="192" w:lineRule="exact"/>
              <w:rPr>
                <w:sz w:val="20"/>
                <w:szCs w:val="20"/>
                <w:color w:val="auto"/>
              </w:rPr>
            </w:pPr>
            <w:r>
              <w:rPr>
                <w:rFonts w:ascii="Arial" w:cs="Arial" w:eastAsia="Arial" w:hAnsi="Arial"/>
                <w:sz w:val="18"/>
                <w:szCs w:val="18"/>
                <w:b w:val="1"/>
                <w:bCs w:val="1"/>
                <w:color w:val="auto"/>
              </w:rPr>
              <w:t>DIVIDENDS DECLARED PER SHARE OF</w:t>
            </w:r>
          </w:p>
        </w:tc>
        <w:tc>
          <w:tcPr>
            <w:tcW w:w="5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FF0FC"/>
          </w:tcPr>
          <w:p>
            <w:pPr>
              <w:ind w:left="480"/>
              <w:spacing w:after="0"/>
              <w:rPr>
                <w:sz w:val="20"/>
                <w:szCs w:val="20"/>
                <w:color w:val="auto"/>
              </w:rPr>
            </w:pPr>
            <w:r>
              <w:rPr>
                <w:rFonts w:ascii="Arial" w:cs="Arial" w:eastAsia="Arial" w:hAnsi="Arial"/>
                <w:sz w:val="18"/>
                <w:szCs w:val="18"/>
                <w:b w:val="1"/>
                <w:bCs w:val="1"/>
                <w:color w:val="auto"/>
              </w:rPr>
              <w:t>COMMON STOCK</w:t>
            </w:r>
          </w:p>
        </w:tc>
        <w:tc>
          <w:tcPr>
            <w:tcW w:w="7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148,379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120,901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310,040</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231,331</w:t>
            </w:r>
          </w:p>
        </w:tc>
        <w:tc>
          <w:tcPr>
            <w:tcW w:w="100" w:type="dxa"/>
            <w:vAlign w:val="bottom"/>
            <w:shd w:val="clear" w:color="auto" w:fill="CFF0FC"/>
          </w:tcPr>
          <w:p>
            <w:pPr>
              <w:spacing w:after="0"/>
              <w:rPr>
                <w:sz w:val="19"/>
                <w:szCs w:val="19"/>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(43,453)</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(26,107)</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43,099</w:t>
            </w:r>
          </w:p>
        </w:tc>
        <w:tc>
          <w:tcPr>
            <w:tcW w:w="10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gain (loss) (net of tax expense (benefit) of $1,746</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$(2,215) for the three months ended June 30, 2018</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2017, respectively, and $404 and $(2,476)</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 the six months ended June 30, 2018 and 2017,</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w:t>
            </w: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(8,609)</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(9,104)</w:t>
            </w:r>
          </w:p>
        </w:tc>
      </w:tr>
      <w:tr>
        <w:trPr>
          <w:trHeight w:val="215"/>
        </w:trPr>
        <w:tc>
          <w:tcPr>
            <w:tcW w:w="5500" w:type="dxa"/>
            <w:vAlign w:val="bottom"/>
          </w:tcPr>
          <w:p>
            <w:pPr>
              <w:ind w:left="500"/>
              <w:spacing w:after="0"/>
              <w:rPr>
                <w:sz w:val="20"/>
                <w:szCs w:val="20"/>
                <w:color w:val="auto"/>
              </w:rPr>
            </w:pPr>
            <w:r>
              <w:rPr>
                <w:rFonts w:ascii="Arial" w:cs="Arial" w:eastAsia="Arial" w:hAnsi="Arial"/>
                <w:sz w:val="18"/>
                <w:szCs w:val="18"/>
                <w:color w:val="auto"/>
              </w:rPr>
              <w:t>Adjustment for items reclassified to earnings (net of</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tax expense of $468 and $196 for the three months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ended June 30, 2018 and 2017, respectively,</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and $684 and $472 for the six months ended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0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June 30, 2018 and 2017, respectively)</w:t>
            </w:r>
          </w:p>
        </w:tc>
        <w:tc>
          <w:tcPr>
            <w:tcW w:w="5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2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FF0FC"/>
            </w:tcBorders>
          </w:tcPr>
          <w:p>
            <w:pPr>
              <w:spacing w:after="0"/>
              <w:rPr>
                <w:sz w:val="20"/>
                <w:szCs w:val="20"/>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(34,376)</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(20,982)</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36,437</w:t>
            </w:r>
          </w:p>
        </w:tc>
        <w:tc>
          <w:tcPr>
            <w:tcW w:w="10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114,003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139,815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289,058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267,768</w:t>
            </w:r>
          </w:p>
        </w:tc>
        <w:tc>
          <w:tcPr>
            <w:tcW w:w="100" w:type="dxa"/>
            <w:vAlign w:val="bottom"/>
          </w:tcPr>
          <w:p>
            <w:pPr>
              <w:spacing w:after="0"/>
              <w:rPr>
                <w:sz w:val="19"/>
                <w:szCs w:val="19"/>
                <w:color w:val="auto"/>
              </w:rPr>
            </w:pPr>
          </w:p>
        </w:tc>
      </w:tr>
      <w:tr>
        <w:trPr>
          <w:trHeight w:val="211"/>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5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2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2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FF0FC"/>
          </w:tcPr>
          <w:p>
            <w:pPr>
              <w:spacing w:after="0"/>
              <w:rPr>
                <w:sz w:val="20"/>
                <w:szCs w:val="20"/>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LAZARD LTD</w:t>
            </w:r>
          </w:p>
        </w:tc>
        <w:tc>
          <w:tcPr>
            <w:tcW w:w="8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112,588</w:t>
            </w:r>
          </w:p>
        </w:tc>
        <w:tc>
          <w:tcPr>
            <w:tcW w:w="240" w:type="dxa"/>
            <w:vAlign w:val="bottom"/>
          </w:tcPr>
          <w:p>
            <w:pPr>
              <w:spacing w:after="0"/>
              <w:rPr>
                <w:sz w:val="20"/>
                <w:szCs w:val="20"/>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139,292</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285,674</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264,368</w:t>
            </w:r>
          </w:p>
        </w:tc>
        <w:tc>
          <w:tcPr>
            <w:tcW w:w="10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6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310,040</w:t>
            </w:r>
          </w:p>
        </w:tc>
        <w:tc>
          <w:tcPr>
            <w:tcW w:w="160" w:type="dxa"/>
            <w:vAlign w:val="bottom"/>
          </w:tcPr>
          <w:p>
            <w:pPr>
              <w:spacing w:after="0"/>
              <w:rPr>
                <w:sz w:val="18"/>
                <w:szCs w:val="18"/>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231,331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expenses and share-based incentive compensation</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225,647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Amortization and other acquisition-related (benefits) costs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(7,617)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 provision</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20,799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(Increase) decrease in operating assets: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Receivables-net</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(154,430)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Investments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(79,998)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30,454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(131,314)</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(88,178)</w:t>
            </w: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Increase (decrease) in operating liabilities: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compensation and benefits and other liabilities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(135,027)</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(72,529)</w:t>
            </w:r>
          </w:p>
        </w:tc>
        <w:tc>
          <w:tcPr>
            <w:tcW w:w="0" w:type="dxa"/>
            <w:vAlign w:val="bottom"/>
          </w:tcPr>
          <w:p>
            <w:pPr>
              <w:spacing w:after="0"/>
              <w:rPr>
                <w:sz w:val="1"/>
                <w:szCs w:val="1"/>
                <w:color w:val="auto"/>
              </w:rPr>
            </w:pPr>
          </w:p>
        </w:tc>
      </w:tr>
      <w:tr>
        <w:trPr>
          <w:trHeight w:val="207"/>
        </w:trPr>
        <w:tc>
          <w:tcPr>
            <w:tcW w:w="71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70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64,776</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372,570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Additions to property</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(32,043)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(9,408)</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Disposals of property</w:t>
            </w:r>
          </w:p>
        </w:tc>
        <w:tc>
          <w:tcPr>
            <w:tcW w:w="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160" w:type="dxa"/>
            <w:vAlign w:val="bottom"/>
          </w:tcPr>
          <w:p>
            <w:pPr>
              <w:ind w:left="740"/>
              <w:spacing w:after="0"/>
              <w:rPr>
                <w:sz w:val="20"/>
                <w:szCs w:val="20"/>
                <w:color w:val="auto"/>
              </w:rPr>
            </w:pPr>
            <w:r>
              <w:rPr>
                <w:rFonts w:ascii="Arial" w:cs="Arial" w:eastAsia="Arial" w:hAnsi="Arial"/>
                <w:sz w:val="16"/>
                <w:szCs w:val="16"/>
                <w:color w:val="auto"/>
              </w:rPr>
              <w:t>Net cash used in investing activities</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(30,716)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(9,215)</w:t>
            </w:r>
          </w:p>
        </w:tc>
        <w:tc>
          <w:tcPr>
            <w:tcW w:w="0" w:type="dxa"/>
            <w:vAlign w:val="bottom"/>
          </w:tcPr>
          <w:p>
            <w:pPr>
              <w:spacing w:after="0"/>
              <w:rPr>
                <w:sz w:val="1"/>
                <w:szCs w:val="1"/>
                <w:color w:val="auto"/>
              </w:rPr>
            </w:pPr>
          </w:p>
        </w:tc>
      </w:tr>
      <w:tr>
        <w:trPr>
          <w:trHeight w:val="213"/>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Proceeds from:</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Customer deposits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196,947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Contributions from noncontrolling interests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for:</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Capital lease obligations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(7,320)</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Distributions to noncontrolling interests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(5,060)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(1,743)</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Payments under tax receivable agreement</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(31,897)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 of Class A common stock</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(223,795)</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(184,892)</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Class A common stock dividends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(255,228)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(242,427)</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Settlement of vested share-based incentive compensation</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(109,218)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(66,085)</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(4,681)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(8,970)</w:t>
            </w:r>
          </w:p>
        </w:tc>
        <w:tc>
          <w:tcPr>
            <w:tcW w:w="0" w:type="dxa"/>
            <w:vAlign w:val="bottom"/>
          </w:tcPr>
          <w:p>
            <w:pPr>
              <w:spacing w:after="0"/>
              <w:rPr>
                <w:sz w:val="1"/>
                <w:szCs w:val="1"/>
                <w:color w:val="auto"/>
              </w:rPr>
            </w:pPr>
          </w:p>
        </w:tc>
      </w:tr>
      <w:tr>
        <w:trPr>
          <w:trHeight w:val="20"/>
        </w:trPr>
        <w:tc>
          <w:tcPr>
            <w:tcW w:w="716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used in financing activities</w:t>
            </w:r>
          </w:p>
        </w:tc>
        <w:tc>
          <w:tcPr>
            <w:tcW w:w="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60" w:type="dxa"/>
            <w:vAlign w:val="bottom"/>
            <w:vMerge w:val="continue"/>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(559,186)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(315,266)</w:t>
            </w:r>
          </w:p>
        </w:tc>
        <w:tc>
          <w:tcPr>
            <w:tcW w:w="0" w:type="dxa"/>
            <w:vAlign w:val="bottom"/>
          </w:tcPr>
          <w:p>
            <w:pPr>
              <w:spacing w:after="0"/>
              <w:rPr>
                <w:sz w:val="1"/>
                <w:szCs w:val="1"/>
                <w:color w:val="auto"/>
              </w:rPr>
            </w:pPr>
          </w:p>
        </w:tc>
      </w:tr>
      <w:tr>
        <w:trPr>
          <w:trHeight w:val="196"/>
        </w:trPr>
        <w:tc>
          <w:tcPr>
            <w:tcW w:w="7160" w:type="dxa"/>
            <w:vAlign w:val="bottom"/>
          </w:tcPr>
          <w:p>
            <w:pPr>
              <w:spacing w:after="0"/>
              <w:rPr>
                <w:sz w:val="20"/>
                <w:szCs w:val="20"/>
                <w:color w:val="auto"/>
              </w:rPr>
            </w:pPr>
            <w:r>
              <w:rPr>
                <w:rFonts w:ascii="Arial" w:cs="Arial" w:eastAsia="Arial" w:hAnsi="Arial"/>
                <w:sz w:val="16"/>
                <w:szCs w:val="16"/>
                <w:b w:val="1"/>
                <w:bCs w:val="1"/>
                <w:color w:val="auto"/>
              </w:rPr>
              <w:t>EFFECT OF EXCHANGE RATE CHANGES ON CASH AND CASH EQUIVALENTS AND</w:t>
            </w:r>
          </w:p>
        </w:tc>
        <w:tc>
          <w:tcPr>
            <w:tcW w:w="7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b w:val="1"/>
                <w:bCs w:val="1"/>
                <w:color w:val="auto"/>
              </w:rPr>
              <w:t>RESTRICTED CASH</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(46,762)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91,054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(DECREASE) INCREASE IN CASH AND CASH EQUIVALENTS AND</w:t>
            </w:r>
          </w:p>
        </w:tc>
        <w:tc>
          <w:tcPr>
            <w:tcW w:w="7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RESTRICTED CASH</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(571,888)</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139,143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CASH AND CASH EQUIVALENTS AND RESTRICTED CASH—January 1</w:t>
            </w:r>
          </w:p>
        </w:tc>
        <w:tc>
          <w:tcPr>
            <w:tcW w:w="7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2,454,806</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1,607,483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AND RESTRICTED CASH—June 30</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1,882,918</w:t>
            </w:r>
          </w:p>
        </w:tc>
        <w:tc>
          <w:tcPr>
            <w:tcW w:w="1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1,746,626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WITHIN THE CONDENSED CONSOLIDATED STATEMENTS OF FINANCIAL</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CONDITION:</w:t>
      </w:r>
    </w:p>
    <w:p>
      <w:pPr>
        <w:spacing w:after="0" w:line="69" w:lineRule="exact"/>
        <w:rPr>
          <w:sz w:val="20"/>
          <w:szCs w:val="20"/>
          <w:color w:val="auto"/>
        </w:rPr>
      </w:pPr>
    </w:p>
    <w:p>
      <w:pPr>
        <w:jc w:val="center"/>
        <w:ind w:left="7920"/>
        <w:spacing w:after="0"/>
        <w:rPr>
          <w:sz w:val="20"/>
          <w:szCs w:val="20"/>
          <w:color w:val="auto"/>
        </w:rPr>
      </w:pPr>
      <w:r>
        <w:rPr>
          <w:rFonts w:ascii="Arial" w:cs="Arial" w:eastAsia="Arial" w:hAnsi="Arial"/>
          <w:sz w:val="12"/>
          <w:szCs w:val="12"/>
          <w:b w:val="1"/>
          <w:bCs w:val="1"/>
          <w:color w:val="auto"/>
        </w:rPr>
        <w:t>June 30,</w:t>
      </w:r>
    </w:p>
    <w:p>
      <w:pPr>
        <w:spacing w:after="0" w:line="78"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6350</wp:posOffset>
            </wp:positionV>
            <wp:extent cx="995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00"/>
        <w:spacing w:after="0"/>
        <w:rPr>
          <w:sz w:val="20"/>
          <w:szCs w:val="20"/>
          <w:color w:val="auto"/>
        </w:rPr>
      </w:pPr>
      <w:r>
        <w:rPr>
          <w:rFonts w:ascii="Arial" w:cs="Arial" w:eastAsia="Arial" w:hAnsi="Arial"/>
          <w:sz w:val="12"/>
          <w:szCs w:val="12"/>
          <w:b w:val="1"/>
          <w:bCs w:val="1"/>
          <w:color w:val="auto"/>
        </w:rPr>
        <w:t>December 31,</w:t>
      </w:r>
    </w:p>
    <w:p>
      <w:pPr>
        <w:spacing w:after="0" w:line="78"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6350</wp:posOffset>
            </wp:positionV>
            <wp:extent cx="10033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60" w:space="720"/>
            <w:col w:w="1340"/>
          </w:cols>
          <w:pgMar w:left="240" w:top="337" w:right="2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88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845,167</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1,483,836</w:t>
            </w:r>
          </w:p>
        </w:tc>
        <w:tc>
          <w:tcPr>
            <w:tcW w:w="120" w:type="dxa"/>
            <w:vAlign w:val="bottom"/>
            <w:shd w:val="clear" w:color="auto" w:fill="CFF0FC"/>
          </w:tcPr>
          <w:p>
            <w:pPr>
              <w:spacing w:after="0"/>
              <w:rPr>
                <w:sz w:val="18"/>
                <w:szCs w:val="18"/>
                <w:color w:val="auto"/>
              </w:rPr>
            </w:pPr>
          </w:p>
        </w:tc>
      </w:tr>
      <w:tr>
        <w:trPr>
          <w:trHeight w:val="213"/>
        </w:trPr>
        <w:tc>
          <w:tcPr>
            <w:tcW w:w="6480" w:type="dxa"/>
            <w:vAlign w:val="bottom"/>
          </w:tcPr>
          <w:p>
            <w:pPr>
              <w:ind w:left="260"/>
              <w:spacing w:after="0"/>
              <w:rPr>
                <w:sz w:val="20"/>
                <w:szCs w:val="20"/>
                <w:color w:val="auto"/>
              </w:rPr>
            </w:pPr>
            <w:r>
              <w:rPr>
                <w:rFonts w:ascii="Arial" w:cs="Arial" w:eastAsia="Arial" w:hAnsi="Arial"/>
                <w:sz w:val="16"/>
                <w:szCs w:val="16"/>
                <w:color w:val="auto"/>
              </w:rPr>
              <w:t>Deposits with banks and short-term investments</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1,000,662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935,431</w:t>
            </w:r>
          </w:p>
        </w:tc>
        <w:tc>
          <w:tcPr>
            <w:tcW w:w="120" w:type="dxa"/>
            <w:vAlign w:val="bottom"/>
          </w:tcPr>
          <w:p>
            <w:pPr>
              <w:spacing w:after="0"/>
              <w:rPr>
                <w:sz w:val="18"/>
                <w:szCs w:val="18"/>
                <w:color w:val="auto"/>
              </w:rPr>
            </w:pPr>
          </w:p>
        </w:tc>
      </w:tr>
      <w:tr>
        <w:trPr>
          <w:trHeight w:val="219"/>
        </w:trPr>
        <w:tc>
          <w:tcPr>
            <w:tcW w:w="6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13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37,089</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35,539</w:t>
            </w:r>
          </w:p>
        </w:tc>
        <w:tc>
          <w:tcPr>
            <w:tcW w:w="120" w:type="dxa"/>
            <w:vAlign w:val="bottom"/>
            <w:shd w:val="clear" w:color="auto" w:fill="CFF0FC"/>
          </w:tcPr>
          <w:p>
            <w:pPr>
              <w:spacing w:after="0"/>
              <w:rPr>
                <w:sz w:val="19"/>
                <w:szCs w:val="19"/>
                <w:color w:val="auto"/>
              </w:rPr>
            </w:pPr>
          </w:p>
        </w:tc>
      </w:tr>
      <w:tr>
        <w:trPr>
          <w:trHeight w:val="207"/>
        </w:trPr>
        <w:tc>
          <w:tcPr>
            <w:tcW w:w="6480" w:type="dxa"/>
            <w:vAlign w:val="bottom"/>
          </w:tcPr>
          <w:p>
            <w:pPr>
              <w:spacing w:after="0"/>
              <w:rPr>
                <w:sz w:val="20"/>
                <w:szCs w:val="20"/>
                <w:color w:val="auto"/>
              </w:rPr>
            </w:pPr>
            <w:r>
              <w:rPr>
                <w:rFonts w:ascii="Arial" w:cs="Arial" w:eastAsia="Arial" w:hAnsi="Arial"/>
                <w:sz w:val="16"/>
                <w:szCs w:val="16"/>
                <w:b w:val="1"/>
                <w:bCs w:val="1"/>
                <w:color w:val="auto"/>
              </w:rPr>
              <w:t>TOTAL CASH AND CASH EQUIVALENTS AND RESTRICTED CASH</w:t>
            </w:r>
          </w:p>
        </w:tc>
        <w:tc>
          <w:tcPr>
            <w:tcW w:w="18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1,882,918</w:t>
            </w:r>
          </w:p>
        </w:tc>
        <w:tc>
          <w:tcPr>
            <w:tcW w:w="280" w:type="dxa"/>
            <w:vAlign w:val="bottom"/>
          </w:tcPr>
          <w:p>
            <w:pPr>
              <w:spacing w:after="0"/>
              <w:rPr>
                <w:sz w:val="17"/>
                <w:szCs w:val="17"/>
                <w:color w:val="auto"/>
              </w:rPr>
            </w:pP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2,454,806</w:t>
            </w:r>
          </w:p>
        </w:tc>
        <w:tc>
          <w:tcPr>
            <w:tcW w:w="120" w:type="dxa"/>
            <w:vAlign w:val="bottom"/>
          </w:tcPr>
          <w:p>
            <w:pPr>
              <w:spacing w:after="0"/>
              <w:rPr>
                <w:sz w:val="17"/>
                <w:szCs w:val="17"/>
                <w:color w:val="auto"/>
              </w:rPr>
            </w:pPr>
          </w:p>
        </w:tc>
      </w:tr>
      <w:tr>
        <w:trPr>
          <w:trHeight w:val="20"/>
        </w:trPr>
        <w:tc>
          <w:tcPr>
            <w:tcW w:w="6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8" w:name="page9"/>
    <w:bookmarkEnd w:id="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119"/>
              <w:spacing w:after="0"/>
              <w:rPr>
                <w:sz w:val="20"/>
                <w:szCs w:val="20"/>
                <w:color w:val="auto"/>
              </w:rPr>
            </w:pPr>
            <w:r>
              <w:rPr>
                <w:rFonts w:ascii="Arial" w:cs="Arial" w:eastAsia="Arial" w:hAnsi="Arial"/>
                <w:sz w:val="14"/>
                <w:szCs w:val="14"/>
                <w:b w:val="1"/>
                <w:bCs w:val="1"/>
                <w:color w:val="auto"/>
                <w:w w:val="86"/>
              </w:rPr>
              <w:t>Accumulated</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0"/>
              </w:rPr>
              <w:t>Other</w:t>
            </w:r>
          </w:p>
        </w:tc>
        <w:tc>
          <w:tcPr>
            <w:tcW w:w="1800" w:type="dxa"/>
            <w:vAlign w:val="bottom"/>
            <w:gridSpan w:val="4"/>
          </w:tcPr>
          <w:p>
            <w:pPr>
              <w:jc w:val="center"/>
              <w:ind w:right="39"/>
              <w:spacing w:after="0" w:line="149"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1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Additional</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85"/>
              </w:rPr>
              <w:t>Comprehensive</w:t>
            </w:r>
          </w:p>
        </w:tc>
        <w:tc>
          <w:tcPr>
            <w:tcW w:w="180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Lazard Ltd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Total</w:t>
            </w:r>
          </w:p>
        </w:tc>
      </w:tr>
      <w:tr>
        <w:trPr>
          <w:trHeight w:val="161"/>
        </w:trPr>
        <w:tc>
          <w:tcPr>
            <w:tcW w:w="1980" w:type="dxa"/>
            <w:vAlign w:val="bottom"/>
          </w:tcPr>
          <w:p>
            <w:pPr>
              <w:spacing w:after="0"/>
              <w:rPr>
                <w:sz w:val="14"/>
                <w:szCs w:val="14"/>
                <w:color w:val="auto"/>
              </w:rPr>
            </w:pPr>
          </w:p>
        </w:tc>
        <w:tc>
          <w:tcPr>
            <w:tcW w:w="176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Paid-In-</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1080" w:type="dxa"/>
            <w:vAlign w:val="bottom"/>
            <w:gridSpan w:val="3"/>
          </w:tcPr>
          <w:p>
            <w:pPr>
              <w:jc w:val="center"/>
              <w:ind w:right="119"/>
              <w:spacing w:after="0"/>
              <w:rPr>
                <w:sz w:val="20"/>
                <w:szCs w:val="20"/>
                <w:color w:val="auto"/>
              </w:rPr>
            </w:pPr>
            <w:r>
              <w:rPr>
                <w:rFonts w:ascii="Arial" w:cs="Arial" w:eastAsia="Arial" w:hAnsi="Arial"/>
                <w:sz w:val="14"/>
                <w:szCs w:val="14"/>
                <w:b w:val="1"/>
                <w:bCs w:val="1"/>
                <w:color w:val="auto"/>
                <w:w w:val="84"/>
              </w:rPr>
              <w:t>Income (Loss),</w:t>
            </w:r>
          </w:p>
        </w:tc>
        <w:tc>
          <w:tcPr>
            <w:tcW w:w="180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86"/>
              </w:rPr>
              <w:t>Held By Subsidiaries</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Stockholders’</w:t>
            </w:r>
          </w:p>
        </w:tc>
        <w:tc>
          <w:tcPr>
            <w:tcW w:w="1100" w:type="dxa"/>
            <w:vAlign w:val="bottom"/>
            <w:gridSpan w:val="4"/>
          </w:tcPr>
          <w:p>
            <w:pPr>
              <w:ind w:left="60"/>
              <w:spacing w:after="0"/>
              <w:rPr>
                <w:sz w:val="20"/>
                <w:szCs w:val="20"/>
                <w:color w:val="auto"/>
              </w:rPr>
            </w:pPr>
            <w:r>
              <w:rPr>
                <w:rFonts w:ascii="Arial" w:cs="Arial" w:eastAsia="Arial" w:hAnsi="Arial"/>
                <w:sz w:val="14"/>
                <w:szCs w:val="14"/>
                <w:b w:val="1"/>
                <w:bCs w:val="1"/>
                <w:color w:val="auto"/>
              </w:rPr>
              <w:t>Noncontrolling</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Stockholders’</w:t>
            </w:r>
          </w:p>
        </w:tc>
      </w:tr>
      <w:tr>
        <w:trPr>
          <w:trHeight w:val="156"/>
        </w:trPr>
        <w:tc>
          <w:tcPr>
            <w:tcW w:w="1980" w:type="dxa"/>
            <w:vAlign w:val="bottom"/>
          </w:tcPr>
          <w:p>
            <w:pPr>
              <w:spacing w:after="0"/>
              <w:rPr>
                <w:sz w:val="13"/>
                <w:szCs w:val="13"/>
                <w:color w:val="auto"/>
              </w:rPr>
            </w:pPr>
          </w:p>
        </w:tc>
        <w:tc>
          <w:tcPr>
            <w:tcW w:w="900" w:type="dxa"/>
            <w:vAlign w:val="bottom"/>
            <w:tcBorders>
              <w:top w:val="single" w:sz="8" w:color="auto"/>
            </w:tcBorders>
          </w:tcPr>
          <w:p>
            <w:pPr>
              <w:jc w:val="right"/>
              <w:ind w:right="184"/>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89"/>
              </w:rPr>
              <w:t>Capital</w:t>
            </w: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39"/>
              <w:spacing w:after="0" w:line="155" w:lineRule="exact"/>
              <w:rPr>
                <w:sz w:val="20"/>
                <w:szCs w:val="20"/>
                <w:color w:val="auto"/>
              </w:rPr>
            </w:pPr>
            <w:r>
              <w:rPr>
                <w:rFonts w:ascii="Arial" w:cs="Arial" w:eastAsia="Arial" w:hAnsi="Arial"/>
                <w:sz w:val="14"/>
                <w:szCs w:val="14"/>
                <w:b w:val="1"/>
                <w:bCs w:val="1"/>
                <w:color w:val="auto"/>
                <w:w w:val="88"/>
              </w:rPr>
              <w:t>Net of Tax</w:t>
            </w:r>
          </w:p>
        </w:tc>
        <w:tc>
          <w:tcPr>
            <w:tcW w:w="98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2"/>
              </w:rPr>
              <w:t>Interests</w:t>
            </w:r>
          </w:p>
        </w:tc>
        <w:tc>
          <w:tcPr>
            <w:tcW w:w="20" w:type="dxa"/>
            <w:vAlign w:val="bottom"/>
          </w:tcPr>
          <w:p>
            <w:pPr>
              <w:spacing w:after="0"/>
              <w:rPr>
                <w:sz w:val="13"/>
                <w:szCs w:val="13"/>
                <w:color w:val="auto"/>
              </w:rPr>
            </w:pPr>
          </w:p>
        </w:tc>
        <w:tc>
          <w:tcPr>
            <w:tcW w:w="8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3"/>
              </w:rPr>
              <w:t>Equity</w:t>
            </w:r>
          </w:p>
        </w:tc>
      </w:tr>
      <w:tr>
        <w:trPr>
          <w:trHeight w:val="210"/>
        </w:trPr>
        <w:tc>
          <w:tcPr>
            <w:tcW w:w="1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 2017</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688,231</w:t>
            </w:r>
          </w:p>
        </w:tc>
        <w:tc>
          <w:tcPr>
            <w:tcW w:w="1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5"/>
              </w:rPr>
              <w:t>$ 1,134,186</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(314,222)</w:t>
            </w:r>
          </w:p>
        </w:tc>
        <w:tc>
          <w:tcPr>
            <w:tcW w:w="1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7,628,786</w:t>
            </w: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(273,506)</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$ 1,235,987</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57,826</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$ 1,293,813</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rPr>
              <w:t>Adjustment for the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cumulative effect on prior</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80" w:type="dxa"/>
            <w:vAlign w:val="bottom"/>
          </w:tcPr>
          <w:p>
            <w:pPr>
              <w:ind w:left="120"/>
              <w:spacing w:after="0"/>
              <w:rPr>
                <w:sz w:val="20"/>
                <w:szCs w:val="20"/>
                <w:color w:val="auto"/>
              </w:rPr>
            </w:pPr>
            <w:r>
              <w:rPr>
                <w:rFonts w:ascii="Arial" w:cs="Arial" w:eastAsia="Arial" w:hAnsi="Arial"/>
                <w:sz w:val="16"/>
                <w:szCs w:val="16"/>
                <w:color w:val="auto"/>
                <w:w w:val="98"/>
              </w:rPr>
              <w:t>years from the adoption of</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new accounting</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80" w:type="dxa"/>
            <w:vAlign w:val="bottom"/>
          </w:tcPr>
          <w:p>
            <w:pPr>
              <w:ind w:left="120"/>
              <w:spacing w:after="0"/>
              <w:rPr>
                <w:sz w:val="20"/>
                <w:szCs w:val="20"/>
                <w:color w:val="auto"/>
              </w:rPr>
            </w:pPr>
            <w:r>
              <w:rPr>
                <w:rFonts w:ascii="Arial" w:cs="Arial" w:eastAsia="Arial" w:hAnsi="Arial"/>
                <w:sz w:val="16"/>
                <w:szCs w:val="16"/>
                <w:color w:val="auto"/>
                <w:w w:val="98"/>
              </w:rPr>
              <w:t>guidance related to share-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based incentive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8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81,544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81,544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81,544</w:t>
            </w:r>
          </w:p>
        </w:tc>
        <w:tc>
          <w:tcPr>
            <w:tcW w:w="100" w:type="dxa"/>
            <w:vAlign w:val="bottom"/>
          </w:tcPr>
          <w:p>
            <w:pPr>
              <w:spacing w:after="0"/>
              <w:rPr>
                <w:sz w:val="18"/>
                <w:szCs w:val="18"/>
                <w:color w:val="auto"/>
              </w:rPr>
            </w:pPr>
          </w:p>
        </w:tc>
      </w:tr>
      <w:tr>
        <w:trPr>
          <w:trHeight w:val="203"/>
        </w:trPr>
        <w:tc>
          <w:tcPr>
            <w:tcW w:w="1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adjusted -</w:t>
            </w: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2"/>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January 1, 2017</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129,766,091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1,298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688,231</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1,215,730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(314,222)</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7,628,786</w:t>
            </w: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(273,506)</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1,317,531</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57,826</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1,375,357</w:t>
            </w:r>
          </w:p>
        </w:tc>
        <w:tc>
          <w:tcPr>
            <w:tcW w:w="100" w:type="dxa"/>
            <w:vAlign w:val="bottom"/>
            <w:shd w:val="clear" w:color="auto" w:fill="CFF0FC"/>
          </w:tcPr>
          <w:p>
            <w:pPr>
              <w:spacing w:after="0"/>
              <w:rPr>
                <w:sz w:val="18"/>
                <w:szCs w:val="18"/>
                <w:color w:val="auto"/>
              </w:rPr>
            </w:pPr>
          </w:p>
        </w:tc>
      </w:tr>
      <w:tr>
        <w:trPr>
          <w:trHeight w:val="213"/>
        </w:trPr>
        <w:tc>
          <w:tcPr>
            <w:tcW w:w="1980" w:type="dxa"/>
            <w:vAlign w:val="bottom"/>
          </w:tcPr>
          <w:p>
            <w:pPr>
              <w:spacing w:after="0"/>
              <w:rPr>
                <w:sz w:val="20"/>
                <w:szCs w:val="20"/>
                <w:color w:val="auto"/>
              </w:rPr>
            </w:pPr>
            <w:r>
              <w:rPr>
                <w:rFonts w:ascii="Arial" w:cs="Arial" w:eastAsia="Arial" w:hAnsi="Arial"/>
                <w:sz w:val="16"/>
                <w:szCs w:val="16"/>
                <w:color w:val="auto"/>
              </w:rPr>
              <w:t>Comprehensive income: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1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227,931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227,931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3,400</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231,331</w:t>
            </w:r>
          </w:p>
        </w:tc>
        <w:tc>
          <w:tcPr>
            <w:tcW w:w="100" w:type="dxa"/>
            <w:vAlign w:val="bottom"/>
            <w:shd w:val="clear" w:color="auto" w:fill="CFF0FC"/>
          </w:tcPr>
          <w:p>
            <w:pPr>
              <w:spacing w:after="0"/>
              <w:rPr>
                <w:sz w:val="19"/>
                <w:szCs w:val="19"/>
                <w:color w:val="auto"/>
              </w:rPr>
            </w:pPr>
          </w:p>
        </w:tc>
      </w:tr>
      <w:tr>
        <w:trPr>
          <w:trHeight w:val="206"/>
        </w:trPr>
        <w:tc>
          <w:tcPr>
            <w:tcW w:w="1980" w:type="dxa"/>
            <w:vAlign w:val="bottom"/>
          </w:tcPr>
          <w:p>
            <w:pPr>
              <w:ind w:left="140"/>
              <w:spacing w:after="0"/>
              <w:rPr>
                <w:sz w:val="20"/>
                <w:szCs w:val="20"/>
                <w:color w:val="auto"/>
              </w:rPr>
            </w:pPr>
            <w:r>
              <w:rPr>
                <w:rFonts w:ascii="Arial" w:cs="Arial" w:eastAsia="Arial" w:hAnsi="Arial"/>
                <w:sz w:val="16"/>
                <w:szCs w:val="16"/>
                <w:color w:val="auto"/>
              </w:rPr>
              <w:t>Other comprehensive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80" w:type="dxa"/>
            <w:vAlign w:val="bottom"/>
          </w:tcPr>
          <w:p>
            <w:pPr>
              <w:ind w:left="140"/>
              <w:spacing w:after="0"/>
              <w:rPr>
                <w:sz w:val="20"/>
                <w:szCs w:val="20"/>
                <w:color w:val="auto"/>
              </w:rPr>
            </w:pPr>
            <w:r>
              <w:rPr>
                <w:rFonts w:ascii="Arial" w:cs="Arial" w:eastAsia="Arial" w:hAnsi="Arial"/>
                <w:sz w:val="16"/>
                <w:szCs w:val="16"/>
                <w:color w:val="auto"/>
              </w:rPr>
              <w:t>income - net</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80" w:type="dxa"/>
            <w:vAlign w:val="bottom"/>
          </w:tcPr>
          <w:p>
            <w:pPr>
              <w:ind w:left="260"/>
              <w:spacing w:after="0"/>
              <w:rPr>
                <w:sz w:val="20"/>
                <w:szCs w:val="20"/>
                <w:color w:val="auto"/>
              </w:rPr>
            </w:pPr>
            <w:r>
              <w:rPr>
                <w:rFonts w:ascii="Arial" w:cs="Arial" w:eastAsia="Arial" w:hAnsi="Arial"/>
                <w:sz w:val="16"/>
                <w:szCs w:val="16"/>
                <w:color w:val="auto"/>
              </w:rPr>
              <w:t>of tax</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36,437</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36,437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36,437</w:t>
            </w:r>
          </w:p>
        </w:tc>
        <w:tc>
          <w:tcPr>
            <w:tcW w:w="100" w:type="dxa"/>
            <w:vAlign w:val="bottom"/>
          </w:tcPr>
          <w:p>
            <w:pPr>
              <w:spacing w:after="0"/>
              <w:rPr>
                <w:sz w:val="18"/>
                <w:szCs w:val="18"/>
                <w:color w:val="auto"/>
              </w:rPr>
            </w:pPr>
          </w:p>
        </w:tc>
      </w:tr>
      <w:tr>
        <w:trPr>
          <w:trHeight w:val="209"/>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w w:val="97"/>
              </w:rPr>
              <w:t>Amortization of share-based</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163,001</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163,001</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163,001</w:t>
            </w:r>
          </w:p>
        </w:tc>
        <w:tc>
          <w:tcPr>
            <w:tcW w:w="100" w:type="dxa"/>
            <w:vAlign w:val="bottom"/>
            <w:shd w:val="clear" w:color="auto" w:fill="CFF0FC"/>
          </w:tcPr>
          <w:p>
            <w:pPr>
              <w:spacing w:after="0"/>
              <w:rPr>
                <w:sz w:val="18"/>
                <w:szCs w:val="18"/>
                <w:color w:val="auto"/>
              </w:rPr>
            </w:pPr>
          </w:p>
        </w:tc>
      </w:tr>
      <w:tr>
        <w:trPr>
          <w:trHeight w:val="213"/>
        </w:trPr>
        <w:tc>
          <w:tcPr>
            <w:tcW w:w="1980" w:type="dxa"/>
            <w:vAlign w:val="bottom"/>
          </w:tcPr>
          <w:p>
            <w:pPr>
              <w:spacing w:after="0"/>
              <w:rPr>
                <w:sz w:val="20"/>
                <w:szCs w:val="20"/>
                <w:color w:val="auto"/>
              </w:rPr>
            </w:pPr>
            <w:r>
              <w:rPr>
                <w:rFonts w:ascii="Arial" w:cs="Arial" w:eastAsia="Arial" w:hAnsi="Arial"/>
                <w:sz w:val="16"/>
                <w:szCs w:val="16"/>
                <w:color w:val="auto"/>
              </w:rPr>
              <w:t>Dividend equivalents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31,335</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(35,412)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(4,077)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(4,077)</w:t>
            </w:r>
          </w:p>
        </w:tc>
      </w:tr>
      <w:tr>
        <w:trPr>
          <w:trHeight w:val="209"/>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dividends</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(242,427)</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(242,427)</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(242,427)</w:t>
            </w: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rPr>
              <w:t>Purchase of Class A</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80" w:type="dxa"/>
            <w:vAlign w:val="bottom"/>
          </w:tcPr>
          <w:p>
            <w:pPr>
              <w:spacing w:after="0"/>
              <w:rPr>
                <w:sz w:val="20"/>
                <w:szCs w:val="20"/>
                <w:color w:val="auto"/>
              </w:rPr>
            </w:pPr>
            <w:r>
              <w:rPr>
                <w:rFonts w:ascii="Arial" w:cs="Arial" w:eastAsia="Arial" w:hAnsi="Arial"/>
                <w:sz w:val="16"/>
                <w:szCs w:val="16"/>
                <w:color w:val="auto"/>
              </w:rPr>
              <w:t>common stock</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4,268,479</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(184,892)</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(184,892)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(184,892)</w:t>
            </w:r>
          </w:p>
        </w:tc>
      </w:tr>
      <w:tr>
        <w:trPr>
          <w:trHeight w:val="209"/>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Delivery of Class A</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common stock in</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8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9"/>
              </w:rPr>
              <w:t>compensation and related</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tax expense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$4,815</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3"/>
              </w:rPr>
              <w:t>(209,543)</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(3,736,461)</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138,643</w:t>
            </w: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(70,900)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(70,900)</w:t>
            </w: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related equity</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8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A common stock</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1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issuable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19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(including related</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1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FF0FC"/>
          </w:tcPr>
          <w:p>
            <w:pPr>
              <w:spacing w:after="0"/>
              <w:rPr>
                <w:sz w:val="18"/>
                <w:szCs w:val="18"/>
                <w:color w:val="auto"/>
              </w:rPr>
            </w:pP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rPr>
              <w:t>Distributions to</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1980" w:type="dxa"/>
            <w:vAlign w:val="bottom"/>
          </w:tcPr>
          <w:p>
            <w:pPr>
              <w:spacing w:after="0"/>
              <w:rPr>
                <w:sz w:val="20"/>
                <w:szCs w:val="20"/>
                <w:color w:val="auto"/>
              </w:rPr>
            </w:pPr>
            <w:r>
              <w:rPr>
                <w:rFonts w:ascii="Arial" w:cs="Arial" w:eastAsia="Arial" w:hAnsi="Arial"/>
                <w:sz w:val="16"/>
                <w:szCs w:val="16"/>
                <w:color w:val="auto"/>
              </w:rPr>
              <w:t>noncontrolling interests, net</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(1,743)</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(1,743)</w:t>
            </w:r>
          </w:p>
        </w:tc>
      </w:tr>
      <w:tr>
        <w:trPr>
          <w:trHeight w:val="219"/>
        </w:trPr>
        <w:tc>
          <w:tcPr>
            <w:tcW w:w="198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FF0FC"/>
          </w:tcPr>
          <w:p>
            <w:pPr>
              <w:spacing w:after="0"/>
              <w:rPr>
                <w:sz w:val="19"/>
                <w:szCs w:val="19"/>
                <w:color w:val="auto"/>
              </w:rPr>
            </w:pPr>
          </w:p>
        </w:tc>
      </w:tr>
      <w:tr>
        <w:trPr>
          <w:trHeight w:val="207"/>
        </w:trPr>
        <w:tc>
          <w:tcPr>
            <w:tcW w:w="1980" w:type="dxa"/>
            <w:vAlign w:val="bottom"/>
          </w:tcPr>
          <w:p>
            <w:pPr>
              <w:spacing w:after="0"/>
              <w:rPr>
                <w:sz w:val="20"/>
                <w:szCs w:val="20"/>
                <w:color w:val="auto"/>
              </w:rPr>
            </w:pPr>
            <w:r>
              <w:rPr>
                <w:rFonts w:ascii="Arial" w:cs="Arial" w:eastAsia="Arial" w:hAnsi="Arial"/>
                <w:sz w:val="16"/>
                <w:szCs w:val="16"/>
                <w:b w:val="1"/>
                <w:bCs w:val="1"/>
                <w:color w:val="auto"/>
              </w:rPr>
              <w:t>Balance - June 30, 2017</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1,298</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673,242</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$ 1,166,026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(277,785</w:t>
            </w:r>
          </w:p>
        </w:tc>
        <w:tc>
          <w:tcPr>
            <w:tcW w:w="180" w:type="dxa"/>
            <w:vAlign w:val="bottom"/>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8,160,804</w:t>
            </w:r>
          </w:p>
        </w:tc>
        <w:tc>
          <w:tcPr>
            <w:tcW w:w="1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8"/>
              </w:rPr>
              <w:t>$ (319,755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$ 1,243,026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59,687</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$ 1,302,713</w:t>
            </w:r>
          </w:p>
        </w:tc>
        <w:tc>
          <w:tcPr>
            <w:tcW w:w="100" w:type="dxa"/>
            <w:vAlign w:val="bottom"/>
          </w:tcPr>
          <w:p>
            <w:pPr>
              <w:spacing w:after="0"/>
              <w:rPr>
                <w:sz w:val="17"/>
                <w:szCs w:val="17"/>
                <w:color w:val="auto"/>
              </w:rPr>
            </w:pPr>
          </w:p>
        </w:tc>
      </w:tr>
      <w:tr>
        <w:trPr>
          <w:trHeight w:val="20"/>
        </w:trPr>
        <w:tc>
          <w:tcPr>
            <w:tcW w:w="1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 w:name="page10"/>
    <w:bookmarkEnd w:id="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99"/>
              <w:spacing w:after="0"/>
              <w:rPr>
                <w:sz w:val="20"/>
                <w:szCs w:val="20"/>
                <w:color w:val="auto"/>
              </w:rPr>
            </w:pPr>
            <w:r>
              <w:rPr>
                <w:rFonts w:ascii="Arial" w:cs="Arial" w:eastAsia="Arial" w:hAnsi="Arial"/>
                <w:sz w:val="14"/>
                <w:szCs w:val="14"/>
                <w:b w:val="1"/>
                <w:bCs w:val="1"/>
                <w:color w:val="auto"/>
                <w:w w:val="86"/>
              </w:rPr>
              <w:t>Accumulated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6"/>
              </w:rPr>
              <w:t>Other</w:t>
            </w:r>
          </w:p>
        </w:tc>
        <w:tc>
          <w:tcPr>
            <w:tcW w:w="1800" w:type="dxa"/>
            <w:vAlign w:val="bottom"/>
            <w:gridSpan w:val="4"/>
          </w:tcPr>
          <w:p>
            <w:pPr>
              <w:jc w:val="center"/>
              <w:ind w:right="39"/>
              <w:spacing w:after="0" w:line="149"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Additional</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79"/>
              <w:spacing w:after="0"/>
              <w:rPr>
                <w:sz w:val="20"/>
                <w:szCs w:val="20"/>
                <w:color w:val="auto"/>
              </w:rPr>
            </w:pPr>
            <w:r>
              <w:rPr>
                <w:rFonts w:ascii="Arial" w:cs="Arial" w:eastAsia="Arial" w:hAnsi="Arial"/>
                <w:sz w:val="14"/>
                <w:szCs w:val="14"/>
                <w:b w:val="1"/>
                <w:bCs w:val="1"/>
                <w:color w:val="auto"/>
                <w:w w:val="85"/>
              </w:rPr>
              <w:t>Comprehensive</w:t>
            </w:r>
          </w:p>
        </w:tc>
        <w:tc>
          <w:tcPr>
            <w:tcW w:w="180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Lazard Ltd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Total</w:t>
            </w:r>
          </w:p>
        </w:tc>
      </w:tr>
      <w:tr>
        <w:trPr>
          <w:trHeight w:val="161"/>
        </w:trPr>
        <w:tc>
          <w:tcPr>
            <w:tcW w:w="2000" w:type="dxa"/>
            <w:vAlign w:val="bottom"/>
          </w:tcPr>
          <w:p>
            <w:pPr>
              <w:spacing w:after="0"/>
              <w:rPr>
                <w:sz w:val="14"/>
                <w:szCs w:val="14"/>
                <w:color w:val="auto"/>
              </w:rPr>
            </w:pPr>
          </w:p>
        </w:tc>
        <w:tc>
          <w:tcPr>
            <w:tcW w:w="178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Paid-In-</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Retained</w:t>
            </w:r>
          </w:p>
        </w:tc>
        <w:tc>
          <w:tcPr>
            <w:tcW w:w="1060" w:type="dxa"/>
            <w:vAlign w:val="bottom"/>
            <w:gridSpan w:val="3"/>
          </w:tcPr>
          <w:p>
            <w:pPr>
              <w:jc w:val="center"/>
              <w:ind w:right="99"/>
              <w:spacing w:after="0"/>
              <w:rPr>
                <w:sz w:val="20"/>
                <w:szCs w:val="20"/>
                <w:color w:val="auto"/>
              </w:rPr>
            </w:pPr>
            <w:r>
              <w:rPr>
                <w:rFonts w:ascii="Arial" w:cs="Arial" w:eastAsia="Arial" w:hAnsi="Arial"/>
                <w:sz w:val="14"/>
                <w:szCs w:val="14"/>
                <w:b w:val="1"/>
                <w:bCs w:val="1"/>
                <w:color w:val="auto"/>
                <w:w w:val="84"/>
              </w:rPr>
              <w:t>Income (Loss),</w:t>
            </w:r>
          </w:p>
        </w:tc>
        <w:tc>
          <w:tcPr>
            <w:tcW w:w="180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86"/>
              </w:rPr>
              <w:t>Held By Subsidiaries</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Stockholders’</w:t>
            </w: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Noncontrolling</w:t>
            </w: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Stockholders’</w:t>
            </w:r>
          </w:p>
        </w:tc>
      </w:tr>
      <w:tr>
        <w:trPr>
          <w:trHeight w:val="156"/>
        </w:trPr>
        <w:tc>
          <w:tcPr>
            <w:tcW w:w="2000" w:type="dxa"/>
            <w:vAlign w:val="bottom"/>
          </w:tcPr>
          <w:p>
            <w:pPr>
              <w:spacing w:after="0"/>
              <w:rPr>
                <w:sz w:val="13"/>
                <w:szCs w:val="13"/>
                <w:color w:val="auto"/>
              </w:rPr>
            </w:pPr>
          </w:p>
        </w:tc>
        <w:tc>
          <w:tcPr>
            <w:tcW w:w="920" w:type="dxa"/>
            <w:vAlign w:val="bottom"/>
            <w:tcBorders>
              <w:top w:val="single" w:sz="8" w:color="auto"/>
            </w:tcBorders>
          </w:tcPr>
          <w:p>
            <w:pPr>
              <w:jc w:val="right"/>
              <w:ind w:right="206"/>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163"/>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4"/>
              </w:rPr>
              <w:t>Capital</w:t>
            </w:r>
          </w:p>
        </w:tc>
        <w:tc>
          <w:tcPr>
            <w:tcW w:w="9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960" w:type="dxa"/>
            <w:vAlign w:val="bottom"/>
            <w:gridSpan w:val="2"/>
          </w:tcPr>
          <w:p>
            <w:pPr>
              <w:jc w:val="center"/>
              <w:ind w:right="199"/>
              <w:spacing w:after="0" w:line="155" w:lineRule="exact"/>
              <w:rPr>
                <w:sz w:val="20"/>
                <w:szCs w:val="20"/>
                <w:color w:val="auto"/>
              </w:rPr>
            </w:pPr>
            <w:r>
              <w:rPr>
                <w:rFonts w:ascii="Arial" w:cs="Arial" w:eastAsia="Arial" w:hAnsi="Arial"/>
                <w:sz w:val="14"/>
                <w:szCs w:val="14"/>
                <w:b w:val="1"/>
                <w:bCs w:val="1"/>
                <w:color w:val="auto"/>
                <w:w w:val="88"/>
              </w:rPr>
              <w:t>Net of Tax</w:t>
            </w:r>
          </w:p>
        </w:tc>
        <w:tc>
          <w:tcPr>
            <w:tcW w:w="98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13"/>
                <w:szCs w:val="13"/>
                <w:color w:val="auto"/>
              </w:rPr>
            </w:pPr>
          </w:p>
        </w:tc>
        <w:tc>
          <w:tcPr>
            <w:tcW w:w="90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Equity</w:t>
            </w:r>
          </w:p>
        </w:tc>
      </w:tr>
      <w:tr>
        <w:trPr>
          <w:trHeight w:val="210"/>
        </w:trPr>
        <w:tc>
          <w:tcPr>
            <w:tcW w:w="2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 2018</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788,140</w:t>
            </w:r>
          </w:p>
        </w:tc>
        <w:tc>
          <w:tcPr>
            <w:tcW w:w="1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$ 1,080,413</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(232,518)</w:t>
            </w:r>
          </w:p>
        </w:tc>
        <w:tc>
          <w:tcPr>
            <w:tcW w:w="16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10,747,142</w:t>
            </w:r>
          </w:p>
        </w:tc>
        <w:tc>
          <w:tcPr>
            <w:tcW w:w="1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3"/>
              </w:rPr>
              <w:t>$ (437,530)</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$ 1,199,803</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59,102</w:t>
            </w: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$ 1,258,905</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rPr>
              <w:t>Comprehensive income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(loss):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306,655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306,655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3,385</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310,040</w:t>
            </w:r>
          </w:p>
        </w:tc>
        <w:tc>
          <w:tcPr>
            <w:tcW w:w="100" w:type="dxa"/>
            <w:vAlign w:val="bottom"/>
            <w:shd w:val="clear" w:color="auto" w:fill="CFF0FC"/>
          </w:tcPr>
          <w:p>
            <w:pPr>
              <w:spacing w:after="0"/>
              <w:rPr>
                <w:sz w:val="19"/>
                <w:szCs w:val="19"/>
                <w:color w:val="auto"/>
              </w:rPr>
            </w:pPr>
          </w:p>
        </w:tc>
      </w:tr>
      <w:tr>
        <w:trPr>
          <w:trHeight w:val="206"/>
        </w:trPr>
        <w:tc>
          <w:tcPr>
            <w:tcW w:w="2000" w:type="dxa"/>
            <w:vAlign w:val="bottom"/>
          </w:tcPr>
          <w:p>
            <w:pPr>
              <w:ind w:left="260"/>
              <w:spacing w:after="0"/>
              <w:rPr>
                <w:sz w:val="20"/>
                <w:szCs w:val="20"/>
                <w:color w:val="auto"/>
              </w:rPr>
            </w:pPr>
            <w:r>
              <w:rPr>
                <w:rFonts w:ascii="Arial" w:cs="Arial" w:eastAsia="Arial" w:hAnsi="Arial"/>
                <w:sz w:val="16"/>
                <w:szCs w:val="16"/>
                <w:color w:val="auto"/>
              </w:rPr>
              <w:t>Other comprehensive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ind w:left="260"/>
              <w:spacing w:after="0"/>
              <w:rPr>
                <w:sz w:val="20"/>
                <w:szCs w:val="20"/>
                <w:color w:val="auto"/>
              </w:rPr>
            </w:pPr>
            <w:r>
              <w:rPr>
                <w:rFonts w:ascii="Arial" w:cs="Arial" w:eastAsia="Arial" w:hAnsi="Arial"/>
                <w:sz w:val="16"/>
                <w:szCs w:val="16"/>
                <w:color w:val="auto"/>
              </w:rPr>
              <w:t>loss - net of tax</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9"/>
              <w:spacing w:after="0"/>
              <w:rPr>
                <w:sz w:val="20"/>
                <w:szCs w:val="20"/>
                <w:color w:val="auto"/>
              </w:rPr>
            </w:pPr>
            <w:r>
              <w:rPr>
                <w:rFonts w:ascii="Arial" w:cs="Arial" w:eastAsia="Arial" w:hAnsi="Arial"/>
                <w:sz w:val="16"/>
                <w:szCs w:val="16"/>
                <w:color w:val="auto"/>
              </w:rPr>
              <w:t>(20,981)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(20,981)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(20,982)</w:t>
            </w:r>
          </w:p>
        </w:tc>
      </w:tr>
      <w:tr>
        <w:trPr>
          <w:trHeight w:val="209"/>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w w:val="98"/>
              </w:rPr>
              <w:t>Amortization of share-based</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incentive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169,830</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169,830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169,830</w:t>
            </w:r>
          </w:p>
        </w:tc>
        <w:tc>
          <w:tcPr>
            <w:tcW w:w="100" w:type="dxa"/>
            <w:vAlign w:val="bottom"/>
            <w:shd w:val="clear" w:color="auto" w:fill="CFF0FC"/>
          </w:tcPr>
          <w:p>
            <w:pPr>
              <w:spacing w:after="0"/>
              <w:rPr>
                <w:sz w:val="18"/>
                <w:szCs w:val="18"/>
                <w:color w:val="auto"/>
              </w:rPr>
            </w:pPr>
          </w:p>
        </w:tc>
      </w:tr>
      <w:tr>
        <w:trPr>
          <w:trHeight w:val="213"/>
        </w:trPr>
        <w:tc>
          <w:tcPr>
            <w:tcW w:w="2000" w:type="dxa"/>
            <w:vAlign w:val="bottom"/>
          </w:tcPr>
          <w:p>
            <w:pPr>
              <w:spacing w:after="0"/>
              <w:rPr>
                <w:sz w:val="20"/>
                <w:szCs w:val="20"/>
                <w:color w:val="auto"/>
              </w:rPr>
            </w:pPr>
            <w:r>
              <w:rPr>
                <w:rFonts w:ascii="Arial" w:cs="Arial" w:eastAsia="Arial" w:hAnsi="Arial"/>
                <w:sz w:val="16"/>
                <w:szCs w:val="16"/>
                <w:color w:val="auto"/>
              </w:rPr>
              <w:t>Dividend equivalents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33,627</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(38,308)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(4,681)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(4,681)</w:t>
            </w:r>
          </w:p>
        </w:tc>
      </w:tr>
      <w:tr>
        <w:trPr>
          <w:trHeight w:val="209"/>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Class A common stock</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dividends</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(255,228)</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(255,228)</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(255,228)</w:t>
            </w: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w w:val="93"/>
              </w:rPr>
              <w:t>Purchase of Class A common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4,147,526</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(223,795)</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(223,795)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(223,795)</w:t>
            </w:r>
          </w:p>
        </w:tc>
      </w:tr>
      <w:tr>
        <w:trPr>
          <w:trHeight w:val="209"/>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w w:val="98"/>
              </w:rPr>
              <w:t>Delivery of Class A common</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stock in</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connection with share-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based incentive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and related</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00" w:type="dxa"/>
            <w:vAlign w:val="bottom"/>
            <w:shd w:val="clear" w:color="auto" w:fill="CFF0FC"/>
          </w:tcPr>
          <w:p>
            <w:pPr>
              <w:spacing w:after="0"/>
              <w:rPr>
                <w:sz w:val="20"/>
                <w:szCs w:val="20"/>
                <w:color w:val="auto"/>
              </w:rPr>
            </w:pPr>
            <w:r>
              <w:rPr>
                <w:rFonts w:ascii="Arial" w:cs="Arial" w:eastAsia="Arial" w:hAnsi="Arial"/>
                <w:sz w:val="16"/>
                <w:szCs w:val="16"/>
                <w:color w:val="auto"/>
              </w:rPr>
              <w:t>tax expense</w:t>
            </w: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20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 $7,512</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6"/>
              </w:rPr>
              <w:t>(340,963)</w:t>
            </w: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(5,172,915)</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224,233</w:t>
            </w:r>
          </w:p>
        </w:tc>
        <w:tc>
          <w:tcPr>
            <w:tcW w:w="12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(116,730)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(116,730)</w:t>
            </w: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rPr>
              <w:t>Business acquisitions and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related equity</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ind w:left="120"/>
              <w:spacing w:after="0"/>
              <w:rPr>
                <w:sz w:val="20"/>
                <w:szCs w:val="20"/>
                <w:color w:val="auto"/>
              </w:rPr>
            </w:pPr>
            <w:r>
              <w:rPr>
                <w:rFonts w:ascii="Arial" w:cs="Arial" w:eastAsia="Arial" w:hAnsi="Arial"/>
                <w:sz w:val="16"/>
                <w:szCs w:val="16"/>
                <w:color w:val="auto"/>
              </w:rPr>
              <w:t>transactions: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Delivery of Class A</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(61)</w:t>
            </w: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(1,858)</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06"/>
        </w:trPr>
        <w:tc>
          <w:tcPr>
            <w:tcW w:w="2000" w:type="dxa"/>
            <w:vAlign w:val="bottom"/>
          </w:tcPr>
          <w:p>
            <w:pPr>
              <w:ind w:left="260"/>
              <w:spacing w:after="0"/>
              <w:rPr>
                <w:sz w:val="20"/>
                <w:szCs w:val="20"/>
                <w:color w:val="auto"/>
              </w:rPr>
            </w:pPr>
            <w:r>
              <w:rPr>
                <w:rFonts w:ascii="Arial" w:cs="Arial" w:eastAsia="Arial" w:hAnsi="Arial"/>
                <w:sz w:val="16"/>
                <w:szCs w:val="16"/>
                <w:color w:val="auto"/>
              </w:rPr>
              <w:t>Class A common stock</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00" w:type="dxa"/>
            <w:vAlign w:val="bottom"/>
          </w:tcPr>
          <w:p>
            <w:pPr>
              <w:ind w:left="260"/>
              <w:spacing w:after="0"/>
              <w:rPr>
                <w:sz w:val="20"/>
                <w:szCs w:val="20"/>
                <w:color w:val="auto"/>
              </w:rPr>
            </w:pPr>
            <w:r>
              <w:rPr>
                <w:rFonts w:ascii="Arial" w:cs="Arial" w:eastAsia="Arial" w:hAnsi="Arial"/>
                <w:sz w:val="16"/>
                <w:szCs w:val="16"/>
                <w:color w:val="auto"/>
              </w:rPr>
              <w:t>issuable</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00" w:type="dxa"/>
            <w:vAlign w:val="bottom"/>
          </w:tcPr>
          <w:p>
            <w:pPr>
              <w:ind w:left="380"/>
              <w:spacing w:after="0"/>
              <w:rPr>
                <w:sz w:val="20"/>
                <w:szCs w:val="20"/>
                <w:color w:val="auto"/>
              </w:rPr>
            </w:pPr>
            <w:r>
              <w:rPr>
                <w:rFonts w:ascii="Arial" w:cs="Arial" w:eastAsia="Arial" w:hAnsi="Arial"/>
                <w:sz w:val="16"/>
                <w:szCs w:val="16"/>
                <w:color w:val="auto"/>
              </w:rPr>
              <w:t>(including related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ind w:left="260"/>
              <w:spacing w:after="0"/>
              <w:rPr>
                <w:sz w:val="20"/>
                <w:szCs w:val="20"/>
                <w:color w:val="auto"/>
              </w:rPr>
            </w:pPr>
            <w:r>
              <w:rPr>
                <w:rFonts w:ascii="Arial" w:cs="Arial" w:eastAsia="Arial" w:hAnsi="Arial"/>
                <w:sz w:val="16"/>
                <w:szCs w:val="16"/>
                <w:color w:val="auto"/>
              </w:rPr>
              <w:t>amortization)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289</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r>
      <w:tr>
        <w:trPr>
          <w:trHeight w:val="219"/>
        </w:trPr>
        <w:tc>
          <w:tcPr>
            <w:tcW w:w="2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 equivalents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1,151</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(1,151)</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rPr>
              <w:t>Distributions to</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noncontrolling interests, net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(4,544)</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(4,544)</w:t>
            </w:r>
          </w:p>
        </w:tc>
      </w:tr>
      <w:tr>
        <w:trPr>
          <w:trHeight w:val="210"/>
        </w:trPr>
        <w:tc>
          <w:tcPr>
            <w:tcW w:w="2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June 30, 2018</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129,766,091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1,298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652,013</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7"/>
              </w:rPr>
              <w:t>$ 1,092,381</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(253,499</w:t>
            </w:r>
          </w:p>
        </w:tc>
        <w:tc>
          <w:tcPr>
            <w:tcW w:w="16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9,719,895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8"/>
              </w:rPr>
              <w:t>$ (437,031</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$ 1,055,162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57,942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2"/>
              </w:rPr>
              <w:t>$ 1,113,104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38"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8"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Lazard Ltd indirectly held 100% of all outstanding Lazard Group common membership interests as of June 30, 2018 and December 31, 2017. Lazard Ltd, through its control of the managing members of Lazard Group, controls Lazard Group, which is governed by an Amended and Restated Operating Agreement dated as of October 26, 2015, as amended (the “Operating Agreement”).</w:t>
      </w:r>
    </w:p>
    <w:p>
      <w:pPr>
        <w:spacing w:after="0" w:line="18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Lazard Ltd’s primary operating asset is its indirect ownership of the common membership interests of, and managing member interests in, Lazard Group, whose principal operating activities are included in two business segments:</w:t>
      </w:r>
    </w:p>
    <w:p>
      <w:pPr>
        <w:spacing w:after="0" w:line="62" w:lineRule="exact"/>
        <w:rPr>
          <w:sz w:val="20"/>
          <w:szCs w:val="20"/>
          <w:color w:val="auto"/>
        </w:rPr>
      </w:pPr>
    </w:p>
    <w:p>
      <w:pPr>
        <w:jc w:val="both"/>
        <w:ind w:left="900" w:right="6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capital raising, restructurings, shareholder advisory, sovereign advisory and other strategic advisory, and</w:t>
      </w:r>
    </w:p>
    <w:p>
      <w:pPr>
        <w:spacing w:after="0" w:line="73" w:lineRule="exact"/>
        <w:rPr>
          <w:rFonts w:ascii="Arial" w:cs="Arial" w:eastAsia="Arial" w:hAnsi="Arial"/>
          <w:sz w:val="18"/>
          <w:szCs w:val="18"/>
          <w:color w:val="auto"/>
        </w:rPr>
      </w:pPr>
    </w:p>
    <w:p>
      <w:pPr>
        <w:ind w:left="900" w:right="200" w:hanging="379"/>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The accompanying condensed consolidated financial statements of Lazard Ltd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2017. The accompanying December 31, 2017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consolidated results of operations for the three month and six month periods ended June 30, 2018 are not indicative of the results to be expected for any future interim or annual period.</w:t>
      </w:r>
    </w:p>
    <w:p>
      <w:pPr>
        <w:spacing w:after="0" w:line="170" w:lineRule="exact"/>
        <w:rPr>
          <w:sz w:val="20"/>
          <w:szCs w:val="20"/>
          <w:color w:val="auto"/>
        </w:rPr>
      </w:pPr>
    </w:p>
    <w:p>
      <w:pPr>
        <w:ind w:right="500" w:firstLine="518"/>
        <w:spacing w:after="0" w:line="264" w:lineRule="auto"/>
        <w:rPr>
          <w:sz w:val="20"/>
          <w:szCs w:val="20"/>
          <w:color w:val="auto"/>
        </w:rPr>
      </w:pPr>
      <w:r>
        <w:rPr>
          <w:rFonts w:ascii="Arial" w:cs="Arial" w:eastAsia="Arial" w:hAnsi="Arial"/>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900" w:right="260" w:hanging="379"/>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8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specifically related to the adoption of new guidance impacting the condensed consolidated statements of cash flows (see Note 2).</w:t>
      </w:r>
    </w:p>
    <w:p>
      <w:pPr>
        <w:spacing w:after="0" w:line="360"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In May 2014, the FASB issued comprehensive new revenue recognition guidance.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recognize revenue when it transfers promised services to customers in an amount that reflects the consideration to which the company expects to be entitled in exchange for those services and requires enhanced disclosures. The guidance also changes the accounting for certain contract costs, including whether they may be offset against revenue in the condensed consolidated statements of operations. On July 9, 2015, the FASB approved the deferral of the effective date of the new revenue guidance by one year to annual reporting periods beginning after December 15, 2017. The guidance may be adopted using a full retrospective approach or a modified cumulative effect approach. The Company adopted the revenue recognition guidance upon its effective date of January 1, 2018 using the modified cumulative effect approach. The Company applied the new guidance to contracts that have not yet been completed as of the adoption date. The Company’s adoption efforts included the identification of revenue within the scope of the guidance and the evaluation of revenue contracts.</w:t>
      </w:r>
    </w:p>
    <w:p>
      <w:pPr>
        <w:spacing w:after="0" w:line="182"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The Company evaluated the potential impact of the new guidance, including (i) the timing of revenue recognition for Financial Advisory and Asset Management fees and (ii) the presentation of certain contract costs. With respect to revenue recognition, the Company assessed the impact of the new guidance on the recognition of fees for Financial Advisory (e.g., transaction completion, transaction announcement and retainers), and Asset Management (e.g., management and incentive fees). This assessment included an analysis of whether the Company’s fulfillment of its performance obligations would be deemed to occur over time, or at specific points in time, under the new guidance. Specifically, recognition would be deemed to occur over time if the client receives and consumes benefits from the services as the Company performs the services. The Company concluded that Financial Advisory and Asset Management fees would typically be recognized over time as performance occurs, subject to constraints, using an appropriate measure of progress based on resources consumed, which is consistent with when the client receives benefits. There was no material impact to the Company’s recognition of revenue upon adoption of the new guidance.</w:t>
      </w:r>
    </w:p>
    <w:p>
      <w:pPr>
        <w:spacing w:after="0" w:line="18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new guidance requires the Company to prospectively present certain contract costs on a gross basis. The most significant changes with respect to presentation relate to (a) certain distribution costs within our Asset Management business and (b) certain reimbursable deal costs within our Financial Advisory business, both of which were previously presented net against revenues and are now presented as expenses on a gross basis under the new guidance because the Company is primarily responsible for fulfilling the promise of the arrangement. For the three month and six month periods ended June 30, 2018, the presentation of such costs on a gross basis resulted in an increase to net revenue of $24,052 and $47,614, respectively, primarily comprised of increases to asset management fees and investment banking and other advisory fees. In addition, there was a corresponding increase to operating expenses of $24,052 and $47,614, respectively, primarily comprised of an increase to distribution costs presented within fund administration and outsourced services and an increase to reimbursable deal costs presented within marketing and business development. These amounts would have been presented on a net basis prior to the adoption of the new guidance, and there was no material impact to net income as a result of the gross basis of presentation under the new guidance.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3 for further information on contracts within the scope of the new guidance.</w:t>
      </w:r>
    </w:p>
    <w:p>
      <w:pPr>
        <w:spacing w:after="0" w:line="225"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In August and November 2016, the FASB issued updated guidance which clarifies how</w:t>
      </w:r>
      <w:r>
        <w:rPr>
          <w:rFonts w:ascii="Arial" w:cs="Arial" w:eastAsia="Arial" w:hAnsi="Arial"/>
          <w:sz w:val="17"/>
          <w:szCs w:val="17"/>
          <w:i w:val="1"/>
          <w:iCs w:val="1"/>
          <w:color w:val="auto"/>
        </w:rPr>
        <w:t xml:space="preserve"> </w:t>
      </w:r>
      <w:r>
        <w:rPr>
          <w:rFonts w:ascii="Arial" w:cs="Arial" w:eastAsia="Arial" w:hAnsi="Arial"/>
          <w:sz w:val="17"/>
          <w:szCs w:val="17"/>
          <w:color w:val="auto"/>
        </w:rPr>
        <w:t>a company should classify certain cash receipts and cash payments on the statement of cash flows and clarifies that restricted cash should be included in the total of cash and cash equivalents on the statement of cash flows. The new guidance for both updates is effective for annual and interim periods beginning after December 15, 2017 and is to be applied on a retrospective basis. The Company adopted this new guidance on January 1, 2018. The adoption of the new guidance in the first quarter of 2018 resulted in the reclassification of “cash deposited with clearing organization and other segregated cash” and “deposits with banks and short-term investments” from operating activities to components of “cash and cash equivalents and restricted cash” on the condensed consolidated statement of cash flows. In addition, the Company reclassified cash flows related to customer deposits from operating activities to financing activities. This resulted in changes in deposits with banks and short-term investments and customer deposits no longer being reflected in cash flows from operating activities. Except for the reclassification of these items on the condensed consolidated statement of cash flows, the new guidance had no impact on the Company’s financial statements.</w:t>
      </w:r>
    </w:p>
    <w:p>
      <w:pPr>
        <w:spacing w:after="0" w:line="17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In January 2017, the FASB issued updated guidance to clarify the definition of a business within the context</w:t>
      </w:r>
      <w:r>
        <w:rPr>
          <w:rFonts w:ascii="Arial" w:cs="Arial" w:eastAsia="Arial" w:hAnsi="Arial"/>
          <w:sz w:val="17"/>
          <w:szCs w:val="17"/>
          <w:i w:val="1"/>
          <w:iCs w:val="1"/>
          <w:color w:val="auto"/>
        </w:rPr>
        <w:t xml:space="preserve"> </w:t>
      </w:r>
      <w:r>
        <w:rPr>
          <w:rFonts w:ascii="Arial" w:cs="Arial" w:eastAsia="Arial" w:hAnsi="Arial"/>
          <w:sz w:val="17"/>
          <w:szCs w:val="17"/>
          <w:color w:val="auto"/>
        </w:rPr>
        <w:t>of business combinations. The updated guidance requires that when substantially all of the fair value of the gross assets acquired (or disposed of) is concentrated in a single identifiable asset or a group of similar identifiable assets, such asset or group of assets is not a business. This updated guidance is expected to reduce the number of transactions that need to be further evaluated as business combinations. If further evaluation is necessary, the updated guidance will require that a business set include, at a minimum, an input and a substantive process that together significantly contribute to the ability to create output. The updated guidance will remove the evaluation of whether a market participant could replace missing elements. The new guidance is effective for annual and interim periods beginning after December 15, 2017 and is to be applied on a prospective basis. The Company adopted the new guidance on January 1, 2018 and it will be applied to business combinations on a prospective basis.</w:t>
      </w:r>
    </w:p>
    <w:p>
      <w:pPr>
        <w:spacing w:after="0" w:line="179" w:lineRule="exact"/>
        <w:rPr>
          <w:sz w:val="20"/>
          <w:szCs w:val="20"/>
          <w:color w:val="auto"/>
        </w:rPr>
      </w:pPr>
    </w:p>
    <w:p>
      <w:pPr>
        <w:ind w:right="320" w:firstLine="518"/>
        <w:spacing w:after="0" w:line="271" w:lineRule="auto"/>
        <w:rPr>
          <w:sz w:val="20"/>
          <w:szCs w:val="20"/>
          <w:color w:val="auto"/>
        </w:rPr>
      </w:pPr>
      <w:r>
        <w:rPr>
          <w:rFonts w:ascii="Arial" w:cs="Arial" w:eastAsia="Arial" w:hAnsi="Arial"/>
          <w:sz w:val="17"/>
          <w:szCs w:val="17"/>
          <w:i w:val="1"/>
          <w:iCs w:val="1"/>
          <w:color w:val="auto"/>
        </w:rPr>
        <w:t>Compensation</w:t>
      </w:r>
      <w:r>
        <w:rPr>
          <w:rFonts w:ascii="Arial" w:cs="Arial" w:eastAsia="Arial" w:hAnsi="Arial"/>
          <w:sz w:val="17"/>
          <w:szCs w:val="17"/>
          <w:color w:val="auto"/>
        </w:rPr>
        <w:t>—</w:t>
      </w:r>
      <w:r>
        <w:rPr>
          <w:rFonts w:ascii="Arial" w:cs="Arial" w:eastAsia="Arial" w:hAnsi="Arial"/>
          <w:sz w:val="17"/>
          <w:szCs w:val="17"/>
          <w:i w:val="1"/>
          <w:iCs w:val="1"/>
          <w:color w:val="auto"/>
        </w:rPr>
        <w:t>Retirement Benefits</w:t>
      </w:r>
      <w:r>
        <w:rPr>
          <w:rFonts w:ascii="Arial" w:cs="Arial" w:eastAsia="Arial" w:hAnsi="Arial"/>
          <w:sz w:val="17"/>
          <w:szCs w:val="17"/>
          <w:color w:val="auto"/>
        </w:rPr>
        <w:t>—</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2016, the FASB issued updated guidance on the presentation of net benefit cost in the statement of operations and the components eligible for capitalization. The new guidance requires that only the service cost component of net periodic pension cost and net periodic postretirement benefit cost be presented with other employee compensation costs in operating expenses, applied on a retrospective basis. The other components of net benefit cost, including amortization of prior service cost, and gains and losses from settlements and curtailments, are included in other operating expenses. The new guidance also stipulates that only the service cost component of net benefit cost is eligible for capitalization, applied on a prospective basis. This new guidance is effective for annual and interim periods beginning after December 15, 2017. The Company adopted the new guidance on January 1, 2018 and there was no material impact to the Company’s financial statements.</w:t>
      </w:r>
    </w:p>
    <w:p>
      <w:pPr>
        <w:spacing w:after="0" w:line="1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Compensation—Stock Compensation: Scope of Modification Accounting—</w:t>
      </w:r>
      <w:r>
        <w:rPr>
          <w:rFonts w:ascii="Arial" w:cs="Arial" w:eastAsia="Arial" w:hAnsi="Arial"/>
          <w:sz w:val="18"/>
          <w:szCs w:val="18"/>
          <w:color w:val="auto"/>
        </w:rPr>
        <w:t>In May 2017, the FASB issued updated guidance on modifications to share-based payment awards. The updated guidance requires entities to account for the effects of a modification to a share-based payment award unless the following are all the same immediately before and after the modification: (i) the fair value of the award, (ii) the vesting conditions of the award, and (iii) the classification of the award as an equity instrument or a liability instrument. This new guidance is effective for annual and interim periods beginning after December 15, 2017 and is to be applied on a prospective basis. The Company adopted the new guidance on January 1, 2018, and there was no material impact to the Company’s financial statements.</w:t>
      </w:r>
    </w:p>
    <w:p>
      <w:pPr>
        <w:spacing w:after="0" w:line="193" w:lineRule="exact"/>
        <w:rPr>
          <w:sz w:val="20"/>
          <w:szCs w:val="20"/>
          <w:color w:val="auto"/>
        </w:rPr>
      </w:pPr>
    </w:p>
    <w:p>
      <w:pPr>
        <w:ind w:right="20" w:firstLine="552"/>
        <w:spacing w:after="0" w:line="271" w:lineRule="auto"/>
        <w:rPr>
          <w:sz w:val="20"/>
          <w:szCs w:val="20"/>
          <w:color w:val="auto"/>
        </w:rPr>
      </w:pP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In February 2018, the FASB issued updated guidance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effects of items in “accumulated other comprehensive income (loss), net of tax” (“AOCI”). Specifically, the new guidance will permit, but not require, a reclassification from AOCI to retained earnings for stranded tax effects resulting from the newly enacted federal corporate income tax rate under the Tax Cuts and Jobs Act of 2017 (see Note 15). The amount of the reclassification would be the difference between the historical corporate income tax rate and the newly enacted 21% corporate income tax rate. The new guidance is effective for annual and interim periods beginning after December 15, 2018, with an option to apply it in the period of adoption or on a retrospective basis for each period in which the effect of the change in the U.S. federal corporate income tax rate is recognized. Early adoption of the new guidance is permitted for public business entities for reporting periods for which financial statements have not yet been issued. The Company is currently evaluating the new guidance.</w:t>
      </w:r>
    </w:p>
    <w:p>
      <w:pPr>
        <w:spacing w:after="0" w:line="179"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—In February 2016, the FASB issued updated guidance for leases. The guidance requires a lessee to (i) recognize a right-of-use asset and a</w:t>
      </w:r>
      <w:r>
        <w:rPr>
          <w:rFonts w:ascii="Arial" w:cs="Arial" w:eastAsia="Arial" w:hAnsi="Arial"/>
          <w:sz w:val="18"/>
          <w:szCs w:val="18"/>
          <w:i w:val="1"/>
          <w:iCs w:val="1"/>
          <w:color w:val="auto"/>
        </w:rPr>
        <w:t xml:space="preserve"> </w:t>
      </w:r>
      <w:r>
        <w:rPr>
          <w:rFonts w:ascii="Arial" w:cs="Arial" w:eastAsia="Arial" w:hAnsi="Arial"/>
          <w:sz w:val="18"/>
          <w:szCs w:val="18"/>
          <w:color w:val="auto"/>
        </w:rPr>
        <w:t>lease liability, initially measured at the present value of the lease payments, in the statement of financial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0" w:firstLine="8"/>
        <w:spacing w:after="0" w:line="259"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187"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In June 2018, the FASB issued updated guidance to simplify the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share-based payment transactions. The new guidance generally requires equity-classified nonemployee share-based payment awards to be measured at the grant date, which is the date at which a grantor and grantee reach a mutual understanding of the key terms and conditions of a share-based payment award. This update generally aligns the accounting for equity-classified share-based payment awards to nonemployees with the measurement date required for employees. The new guidance is effective for annual and interim periods beginning after December 15, 2018, with early adoption permitted. Upon adoption, the new guidance would be applied on a modified retrospective basis. The Company is currently evaluating the new guidance.</w:t>
      </w:r>
    </w:p>
    <w:p>
      <w:pPr>
        <w:spacing w:after="0" w:line="165"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—In June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73"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368"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b w:val="1"/>
          <w:bCs w:val="1"/>
          <w:i w:val="1"/>
          <w:iCs w:val="1"/>
          <w:color w:val="auto"/>
        </w:rPr>
        <w:t>Investment Banking and Other Advisory Fees</w:t>
      </w:r>
      <w:r>
        <w:rPr>
          <w:rFonts w:ascii="Arial" w:cs="Arial" w:eastAsia="Arial" w:hAnsi="Arial"/>
          <w:sz w:val="17"/>
          <w:szCs w:val="17"/>
          <w:color w:val="auto"/>
        </w:rPr>
        <w:t>—Fees for Financial Advisory services are recorded when: (i) a contract with a client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identified, (ii) the performance obligations in the contract have been identified, (iii) 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investment banking and other advisory fees.</w:t>
      </w:r>
    </w:p>
    <w:p>
      <w:pPr>
        <w:spacing w:after="0" w:line="178"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b w:val="1"/>
          <w:bCs w:val="1"/>
          <w:i w:val="1"/>
          <w:iCs w:val="1"/>
          <w:color w:val="auto"/>
        </w:rPr>
        <w:t>Asset Management Fees</w:t>
      </w:r>
      <w:r>
        <w:rPr>
          <w:rFonts w:ascii="Arial" w:cs="Arial" w:eastAsia="Arial" w:hAnsi="Arial"/>
          <w:sz w:val="17"/>
          <w:szCs w:val="17"/>
          <w:color w:val="auto"/>
        </w:rPr>
        <w:t>—Fees for Asset Management services are primarily comprised of management fees and incentive fees. Management fees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derived from fees for investment management and other services provided to clients. Revenue is recorded in accordance with the same five criteria as Financial Advisory fees, which generally results in management fees being recorded on a daily, monthly or quarterly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asset management fees.</w:t>
      </w:r>
    </w:p>
    <w:p>
      <w:pPr>
        <w:spacing w:after="0" w:line="179"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8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 private equity funds when a significant reversal in the amount of the cumulative revenue to be recognized is not probable, which is typically at the end of the relevant performance period.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248" w:lineRule="exact"/>
        <w:rPr>
          <w:sz w:val="20"/>
          <w:szCs w:val="20"/>
          <w:color w:val="auto"/>
        </w:rPr>
      </w:pPr>
    </w:p>
    <w:p>
      <w:pPr>
        <w:ind w:right="760" w:firstLine="518"/>
        <w:spacing w:after="0" w:line="308" w:lineRule="auto"/>
        <w:rPr>
          <w:sz w:val="20"/>
          <w:szCs w:val="20"/>
          <w:color w:val="auto"/>
        </w:rPr>
      </w:pPr>
      <w:r>
        <w:rPr>
          <w:rFonts w:ascii="Arial" w:cs="Arial" w:eastAsia="Arial" w:hAnsi="Arial"/>
          <w:sz w:val="17"/>
          <w:szCs w:val="17"/>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56"/>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196"/>
              <w:spacing w:after="0"/>
              <w:rPr>
                <w:sz w:val="20"/>
                <w:szCs w:val="20"/>
                <w:color w:val="auto"/>
              </w:rPr>
            </w:pPr>
            <w:r>
              <w:rPr>
                <w:rFonts w:ascii="Arial" w:cs="Arial" w:eastAsia="Arial" w:hAnsi="Arial"/>
                <w:sz w:val="14"/>
                <w:szCs w:val="14"/>
                <w:b w:val="1"/>
                <w:bCs w:val="1"/>
                <w:color w:val="auto"/>
              </w:rPr>
              <w:t>June 30, 2018 (d)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2018 (d)</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16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Financial Advisory (a)</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422,089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831,210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Management Fees and Other (b)</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340,160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688,844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8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Incentive Fees (c)</w:t>
            </w:r>
          </w:p>
        </w:tc>
        <w:tc>
          <w:tcPr>
            <w:tcW w:w="16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 Management</w:t>
            </w:r>
          </w:p>
        </w:tc>
        <w:tc>
          <w:tcPr>
            <w:tcW w:w="16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352,588</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706,871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right="200" w:hanging="372"/>
        <w:spacing w:after="0" w:line="268"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35" w:lineRule="exact"/>
        <w:rPr>
          <w:rFonts w:ascii="Arial" w:cs="Arial" w:eastAsia="Arial" w:hAnsi="Arial"/>
          <w:sz w:val="17"/>
          <w:szCs w:val="17"/>
          <w:color w:val="auto"/>
        </w:rPr>
      </w:pPr>
    </w:p>
    <w:p>
      <w:pPr>
        <w:ind w:left="380" w:right="80" w:hanging="372"/>
        <w:spacing w:after="0" w:line="25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39" w:lineRule="exact"/>
        <w:rPr>
          <w:rFonts w:ascii="Arial" w:cs="Arial" w:eastAsia="Arial" w:hAnsi="Arial"/>
          <w:sz w:val="18"/>
          <w:szCs w:val="18"/>
          <w:color w:val="auto"/>
        </w:rPr>
      </w:pPr>
    </w:p>
    <w:p>
      <w:pPr>
        <w:ind w:left="380" w:right="100" w:hanging="372"/>
        <w:spacing w:after="0" w:line="259"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38" w:lineRule="exact"/>
        <w:rPr>
          <w:rFonts w:ascii="Arial" w:cs="Arial" w:eastAsia="Arial" w:hAnsi="Arial"/>
          <w:sz w:val="18"/>
          <w:szCs w:val="18"/>
          <w:color w:val="auto"/>
        </w:rPr>
      </w:pPr>
    </w:p>
    <w:p>
      <w:pPr>
        <w:ind w:left="380" w:right="440" w:hanging="372"/>
        <w:spacing w:after="0" w:line="26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319"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 Therefore, when applying the practical expedients, amounts related to remaining performance obligations are not material to the Company’s financial statements.</w:t>
      </w:r>
    </w:p>
    <w:p>
      <w:pPr>
        <w:spacing w:after="0" w:line="362"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fee receivables, amounts due from customers and other receivables.</w:t>
      </w:r>
    </w:p>
    <w:p>
      <w:pPr>
        <w:spacing w:after="0" w:line="225"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in the allowance for doubtful accounts for the three month and six month periods ended June 30, 2018 and 2017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38,557</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29,662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16,386</w:t>
            </w: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16,618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13,831</w:t>
            </w:r>
          </w:p>
        </w:tc>
        <w:tc>
          <w:tcPr>
            <w:tcW w:w="120" w:type="dxa"/>
            <w:vAlign w:val="bottom"/>
          </w:tcPr>
          <w:p>
            <w:pPr>
              <w:spacing w:after="0"/>
              <w:rPr>
                <w:sz w:val="19"/>
                <w:szCs w:val="19"/>
                <w:color w:val="auto"/>
              </w:rPr>
            </w:pP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8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(4,267)</w:t>
            </w:r>
          </w:p>
        </w:tc>
        <w:tc>
          <w:tcPr>
            <w:tcW w:w="8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(4,748)</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(5,408)</w:t>
            </w: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(5,123)</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Ending Balance</w:t>
            </w:r>
          </w:p>
        </w:tc>
        <w:tc>
          <w:tcPr>
            <w:tcW w:w="80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34,956</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25,094</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34,956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25,094</w:t>
            </w:r>
          </w:p>
        </w:tc>
        <w:tc>
          <w:tcPr>
            <w:tcW w:w="12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Bad debt expense, net of recoveries is included in “operating expenses</w:t>
      </w:r>
      <w:r>
        <w:rPr>
          <w:rFonts w:ascii="Arial" w:cs="Arial" w:eastAsia="Arial" w:hAnsi="Arial"/>
          <w:sz w:val="17"/>
          <w:szCs w:val="17"/>
          <w:i w:val="1"/>
          <w:iCs w:val="1"/>
          <w:color w:val="auto"/>
        </w:rPr>
        <w:t>—</w:t>
      </w:r>
      <w:r>
        <w:rPr>
          <w:rFonts w:ascii="Arial" w:cs="Arial" w:eastAsia="Arial" w:hAnsi="Arial"/>
          <w:sz w:val="17"/>
          <w:szCs w:val="17"/>
          <w:color w:val="auto"/>
        </w:rPr>
        <w:t>other” on the condensed consolidated statements of operations.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June 30, 2018 and December 31, 2017, the Company had receivables past due or deemed uncollectible of $42,434 and $34,865, respectively.</w:t>
      </w:r>
    </w:p>
    <w:p>
      <w:pPr>
        <w:spacing w:after="0" w:line="248"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Of the Company’s fee receivables at June 30, 2018 and December 31, 2017, $74,668 and $80,536, respectively, represented interest-bearing financing receivables. Based upon our historical loss experience, the credit quality of the counterparties, and the lack of past due or uncollectible amounts, there was no allowance for doubtful accounts required at those dates related to such receivables.</w:t>
      </w:r>
    </w:p>
    <w:p>
      <w:pPr>
        <w:spacing w:after="0" w:line="181"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$639,729 and $491,080 at June 30, 2018 and December 31, 2017, respectively, approximates fair value.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June 30, 2018 and December 31,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1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1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Funds: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87,529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1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67,258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48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381,367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505,194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1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504,664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426,630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200" w:hanging="372"/>
        <w:spacing w:after="0" w:line="25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$11,898, $57,444 and $147,862, respectively, at June 30, 2018 and $11,213, $48,391 and $131,893, respectively, at December 31, 2017,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7 and 13).</w:t>
      </w:r>
    </w:p>
    <w:p>
      <w:pPr>
        <w:spacing w:after="0" w:line="202"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primarily consists of U.S. Treasury securities with original maturities of greater than three months and less than one year.</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Alternative investment funds primarily consist of interests in various Lazard-managed hedge funds, funds of funds and mutual funds. Such amounts primarily consist of seed investments in funds related to our Asset Management business and amounts related to LFI discussed above.</w:t>
      </w:r>
    </w:p>
    <w:p>
      <w:pPr>
        <w:spacing w:after="0" w:line="14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right="300" w:firstLine="518"/>
        <w:spacing w:after="0" w:line="297"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a fund targeting significant noncontrolling-stake investments in established private companies and (iii) until the second quarter of 2017, a mezzanine fund (the “Mezzanine Fund”), which invests in mezzanine debt of a diversified selection of small- to mid-cap European companies. Lazard sold its interest in the Mezzanine Fund in May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During the three month and six month periods ended June 30, 2018 and 2017, the Company reported in “revenue-other” on its condensed consolidated statements of operations net unrealized investment gains and losses pertaining to “trading” securities still held as of the reporting date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3"/>
          </w:tcPr>
          <w:p>
            <w:pPr>
              <w:jc w:val="center"/>
              <w:ind w:left="84"/>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84"/>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investment gains (losses)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7,803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(15,155)</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580" w:right="420" w:hanging="58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580" w:right="200" w:hanging="58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580" w:hanging="580"/>
        <w:spacing w:after="0" w:line="30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Assets and liabilities whose values are based on prices or valuation techniques that require inputs that are both unobservable and significant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54"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(benefits) costs” in the condensed 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condensed consolidated statements of financial condition. See Note 11.</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The following tables present, as of June 30, 2018 and December 31, 2017, the classification of (i) investments and certain other assets and liabilities measured at fair value on a recurring basis within the fair value hierarchy and (ii) investments measured at NAV or its equivalent as a practical expedient: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2018</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74,583</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74,583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209,326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209,379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67,258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434,788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6,399</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68,247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511,063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202,975</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202,975</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19,628</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199,565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199,618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344,660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80,378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430,362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198,417</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9" w:name="page20"/>
    <w:bookmarkEnd w:id="1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three month and six month periods ended June 30, 2018 and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12"/>
          </w:tcPr>
          <w:p>
            <w:pPr>
              <w:jc w:val="center"/>
              <w:ind w:right="20"/>
              <w:spacing w:after="0"/>
              <w:rPr>
                <w:sz w:val="20"/>
                <w:szCs w:val="20"/>
                <w:color w:val="auto"/>
              </w:rPr>
            </w:pPr>
            <w:r>
              <w:rPr>
                <w:rFonts w:ascii="Arial" w:cs="Arial" w:eastAsia="Arial" w:hAnsi="Arial"/>
                <w:sz w:val="14"/>
                <w:szCs w:val="14"/>
                <w:b w:val="1"/>
                <w:bCs w:val="1"/>
                <w:color w:val="auto"/>
                <w:w w:val="93"/>
              </w:rPr>
              <w:t>Three Months Ended June 30, 2018</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6"/>
          </w:tcPr>
          <w:p>
            <w:pPr>
              <w:ind w:left="40"/>
              <w:spacing w:after="0" w:line="133" w:lineRule="exact"/>
              <w:rPr>
                <w:sz w:val="20"/>
                <w:szCs w:val="20"/>
                <w:color w:val="auto"/>
              </w:rPr>
            </w:pPr>
            <w:r>
              <w:rPr>
                <w:rFonts w:ascii="Arial" w:cs="Arial" w:eastAsia="Arial" w:hAnsi="Arial"/>
                <w:sz w:val="14"/>
                <w:szCs w:val="14"/>
                <w:b w:val="1"/>
                <w:bCs w:val="1"/>
                <w:color w:val="auto"/>
              </w:rPr>
              <w:t>Net Unrealized/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28"/>
              <w:spacing w:after="0" w:line="149" w:lineRule="exact"/>
              <w:rPr>
                <w:sz w:val="20"/>
                <w:szCs w:val="20"/>
                <w:color w:val="auto"/>
              </w:rPr>
            </w:pPr>
            <w:r>
              <w:rPr>
                <w:rFonts w:ascii="Arial" w:cs="Arial" w:eastAsia="Arial" w:hAnsi="Arial"/>
                <w:sz w:val="14"/>
                <w:szCs w:val="14"/>
                <w:b w:val="1"/>
                <w:bCs w:val="1"/>
                <w:color w:val="auto"/>
                <w:w w:val="91"/>
              </w:rPr>
              <w:t>Realized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12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12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93"/>
              </w:rPr>
              <w:t>Earnings (a)</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w w:val="88"/>
              </w:rPr>
              <w:t>Dispositions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664"/>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gridSpan w:val="2"/>
          </w:tcPr>
          <w:p>
            <w:pPr>
              <w:jc w:val="right"/>
              <w:ind w:right="664"/>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8"/>
              <w:spacing w:after="0"/>
              <w:rPr>
                <w:sz w:val="20"/>
                <w:szCs w:val="20"/>
                <w:color w:val="auto"/>
              </w:rPr>
            </w:pPr>
            <w:r>
              <w:rPr>
                <w:rFonts w:ascii="Arial" w:cs="Arial" w:eastAsia="Arial" w:hAnsi="Arial"/>
                <w:sz w:val="18"/>
                <w:szCs w:val="18"/>
                <w:color w:val="auto"/>
              </w:rPr>
              <w:t>(9,346)</w:t>
            </w: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664"/>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28,974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664"/>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1"/>
          </w:tcPr>
          <w:p>
            <w:pPr>
              <w:jc w:val="center"/>
              <w:ind w:right="140"/>
              <w:spacing w:after="0"/>
              <w:rPr>
                <w:sz w:val="20"/>
                <w:szCs w:val="20"/>
                <w:color w:val="auto"/>
              </w:rPr>
            </w:pPr>
            <w:r>
              <w:rPr>
                <w:rFonts w:ascii="Arial" w:cs="Arial" w:eastAsia="Arial" w:hAnsi="Arial"/>
                <w:sz w:val="14"/>
                <w:szCs w:val="14"/>
                <w:b w:val="1"/>
                <w:bCs w:val="1"/>
                <w:color w:val="auto"/>
                <w:w w:val="92"/>
              </w:rPr>
              <w:t>Six Months Ended June 30, 2018</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6"/>
          </w:tcPr>
          <w:p>
            <w:pPr>
              <w:ind w:left="40"/>
              <w:spacing w:after="0" w:line="133" w:lineRule="exact"/>
              <w:rPr>
                <w:sz w:val="20"/>
                <w:szCs w:val="20"/>
                <w:color w:val="auto"/>
              </w:rPr>
            </w:pPr>
            <w:r>
              <w:rPr>
                <w:rFonts w:ascii="Arial" w:cs="Arial" w:eastAsia="Arial" w:hAnsi="Arial"/>
                <w:sz w:val="14"/>
                <w:szCs w:val="14"/>
                <w:b w:val="1"/>
                <w:bCs w:val="1"/>
                <w:color w:val="auto"/>
              </w:rPr>
              <w:t>Net Unrealized/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228"/>
              <w:spacing w:after="0" w:line="149" w:lineRule="exact"/>
              <w:rPr>
                <w:sz w:val="20"/>
                <w:szCs w:val="20"/>
                <w:color w:val="auto"/>
              </w:rPr>
            </w:pPr>
            <w:r>
              <w:rPr>
                <w:rFonts w:ascii="Arial" w:cs="Arial" w:eastAsia="Arial" w:hAnsi="Arial"/>
                <w:sz w:val="14"/>
                <w:szCs w:val="14"/>
                <w:b w:val="1"/>
                <w:bCs w:val="1"/>
                <w:color w:val="auto"/>
                <w:w w:val="91"/>
              </w:rPr>
              <w:t>Realized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12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12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93"/>
              </w:rPr>
              <w:t>Earnings (a)</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w w:val="88"/>
              </w:rPr>
              <w:t>Dispositions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664"/>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gridSpan w:val="2"/>
          </w:tcPr>
          <w:p>
            <w:pPr>
              <w:jc w:val="right"/>
              <w:ind w:right="664"/>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8"/>
              <w:spacing w:after="0"/>
              <w:rPr>
                <w:sz w:val="20"/>
                <w:szCs w:val="20"/>
                <w:color w:val="auto"/>
              </w:rPr>
            </w:pPr>
            <w:r>
              <w:rPr>
                <w:rFonts w:ascii="Arial" w:cs="Arial" w:eastAsia="Arial" w:hAnsi="Arial"/>
                <w:sz w:val="18"/>
                <w:szCs w:val="18"/>
                <w:color w:val="auto"/>
              </w:rPr>
              <w:t>(9,313)</w:t>
            </w: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664"/>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664"/>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2"/>
          </w:tcPr>
          <w:p>
            <w:pPr>
              <w:jc w:val="center"/>
              <w:ind w:right="60"/>
              <w:spacing w:after="0"/>
              <w:rPr>
                <w:sz w:val="20"/>
                <w:szCs w:val="20"/>
                <w:color w:val="auto"/>
              </w:rPr>
            </w:pPr>
            <w:r>
              <w:rPr>
                <w:rFonts w:ascii="Arial" w:cs="Arial" w:eastAsia="Arial" w:hAnsi="Arial"/>
                <w:sz w:val="14"/>
                <w:szCs w:val="14"/>
                <w:b w:val="1"/>
                <w:bCs w:val="1"/>
                <w:color w:val="auto"/>
                <w:w w:val="93"/>
              </w:rPr>
              <w:t>Three Months Ended June 30, 2017</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Net Unrealized/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Realized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48"/>
              <w:spacing w:after="0" w:line="149" w:lineRule="exact"/>
              <w:rPr>
                <w:sz w:val="20"/>
                <w:szCs w:val="20"/>
                <w:color w:val="auto"/>
              </w:rPr>
            </w:pPr>
            <w:r>
              <w:rPr>
                <w:rFonts w:ascii="Arial" w:cs="Arial" w:eastAsia="Arial" w:hAnsi="Arial"/>
                <w:sz w:val="14"/>
                <w:szCs w:val="14"/>
                <w:b w:val="1"/>
                <w:bCs w:val="1"/>
                <w:color w:val="auto"/>
                <w:w w:val="87"/>
              </w:rPr>
              <w:t>Gains/Losses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5"/>
              </w:rPr>
              <w:t>Purchases/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48"/>
              <w:spacing w:after="0" w:line="149" w:lineRule="exact"/>
              <w:rPr>
                <w:sz w:val="20"/>
                <w:szCs w:val="20"/>
                <w:color w:val="auto"/>
              </w:rPr>
            </w:pPr>
            <w:r>
              <w:rPr>
                <w:rFonts w:ascii="Arial" w:cs="Arial" w:eastAsia="Arial" w:hAnsi="Arial"/>
                <w:sz w:val="14"/>
                <w:szCs w:val="14"/>
                <w:b w:val="1"/>
                <w:bCs w:val="1"/>
                <w:color w:val="auto"/>
                <w:w w:val="97"/>
              </w:rPr>
              <w:t>Included In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148"/>
              <w:spacing w:after="0"/>
              <w:rPr>
                <w:sz w:val="20"/>
                <w:szCs w:val="20"/>
                <w:color w:val="auto"/>
              </w:rPr>
            </w:pPr>
            <w:r>
              <w:rPr>
                <w:rFonts w:ascii="Arial" w:cs="Arial" w:eastAsia="Arial" w:hAnsi="Arial"/>
                <w:sz w:val="14"/>
                <w:szCs w:val="14"/>
                <w:b w:val="1"/>
                <w:bCs w:val="1"/>
                <w:color w:val="auto"/>
                <w:w w:val="93"/>
              </w:rPr>
              <w:t>Earnings (a)</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w w:val="95"/>
              </w:rPr>
              <w:t>Acquisitions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4"/>
          </w:tcPr>
          <w:p>
            <w:pPr>
              <w:ind w:left="80"/>
              <w:spacing w:after="0"/>
              <w:rPr>
                <w:sz w:val="20"/>
                <w:szCs w:val="20"/>
                <w:color w:val="auto"/>
              </w:rPr>
            </w:pPr>
            <w:r>
              <w:rPr>
                <w:rFonts w:ascii="Arial" w:cs="Arial" w:eastAsia="Arial" w:hAnsi="Arial"/>
                <w:sz w:val="14"/>
                <w:szCs w:val="14"/>
                <w:b w:val="1"/>
                <w:bCs w:val="1"/>
                <w:color w:val="auto"/>
              </w:rPr>
              <w:t>Dispositions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1,537</w:t>
            </w: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100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1,537</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Borders>
              <w:bottom w:val="single" w:sz="8" w:color="CFF0FC"/>
            </w:tcBorders>
            <w:gridSpan w:val="2"/>
          </w:tcPr>
          <w:p>
            <w:pPr>
              <w:spacing w:after="0"/>
              <w:rPr>
                <w:sz w:val="22"/>
                <w:szCs w:val="22"/>
                <w:color w:val="auto"/>
              </w:rPr>
            </w:pPr>
          </w:p>
        </w:tc>
        <w:tc>
          <w:tcPr>
            <w:tcW w:w="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25,104</w:t>
            </w:r>
          </w:p>
        </w:tc>
        <w:tc>
          <w:tcPr>
            <w:tcW w:w="160" w:type="dxa"/>
            <w:vAlign w:val="bottom"/>
            <w:shd w:val="clear" w:color="auto" w:fill="CFF0FC"/>
          </w:tcPr>
          <w:p>
            <w:pPr>
              <w:spacing w:after="0"/>
              <w:rPr>
                <w:sz w:val="19"/>
                <w:szCs w:val="19"/>
                <w:color w:val="auto"/>
              </w:rPr>
            </w:pPr>
          </w:p>
        </w:tc>
        <w:tc>
          <w:tcPr>
            <w:tcW w:w="18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25,104</w:t>
            </w:r>
          </w:p>
        </w:tc>
        <w:tc>
          <w:tcPr>
            <w:tcW w:w="16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 w:name="page21"/>
    <w:bookmarkEnd w:id="2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93"/>
              </w:rPr>
              <w:t>Six Months Ended June 30, 2017</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Net Unrealized/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 (a)</w:t>
            </w:r>
          </w:p>
        </w:tc>
        <w:tc>
          <w:tcPr>
            <w:tcW w:w="1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Acquisitions</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Dispositions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vMerge w:val="restart"/>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1,508</w:t>
            </w:r>
          </w:p>
        </w:tc>
        <w:tc>
          <w:tcPr>
            <w:tcW w:w="2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22,608</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380" w:right="20" w:hanging="372"/>
        <w:spacing w:after="0" w:line="25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three month and six month periods ended June 30, 2018 and the three month and six month periods ended June 30, 2017 include net unrealized gains (losses) of $62, $61, $(128) and $(128), respectively. Earnings recorded in “amortization and other acquisition-related (benefits) costs” for the contingent consideration liability for the three month and six month periods ended June 30, 2018 and the three month and six month periods ended June 30, 2017 include unrealized (gains) losses of $(9,346), $(9,313), $435 and $3,180, respectively.</w:t>
      </w:r>
    </w:p>
    <w:p>
      <w:pPr>
        <w:spacing w:after="0" w:line="20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six month periods ended June 30, 2018 and 2017.</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tables present, at June 30, 2018 and December 31, 2017,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June 30, 2018</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ind w:left="620"/>
              <w:spacing w:after="0" w:line="133" w:lineRule="exact"/>
              <w:rPr>
                <w:sz w:val="20"/>
                <w:szCs w:val="20"/>
                <w:color w:val="auto"/>
              </w:rPr>
            </w:pPr>
            <w:r>
              <w:rPr>
                <w:rFonts w:ascii="Arial" w:cs="Arial" w:eastAsia="Arial" w:hAnsi="Arial"/>
                <w:sz w:val="14"/>
                <w:szCs w:val="14"/>
                <w:b w:val="1"/>
                <w:bCs w:val="1"/>
                <w:color w:val="auto"/>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3520" w:type="dxa"/>
            <w:vAlign w:val="bottom"/>
            <w:gridSpan w:val="6"/>
          </w:tcPr>
          <w:p>
            <w:pPr>
              <w:ind w:left="720"/>
              <w:spacing w:after="0"/>
              <w:rPr>
                <w:sz w:val="20"/>
                <w:szCs w:val="20"/>
                <w:color w:val="auto"/>
              </w:rPr>
            </w:pPr>
            <w:r>
              <w:rPr>
                <w:rFonts w:ascii="Arial" w:cs="Arial" w:eastAsia="Arial" w:hAnsi="Arial"/>
                <w:sz w:val="14"/>
                <w:szCs w:val="14"/>
                <w:b w:val="1"/>
                <w:bCs w:val="1"/>
                <w:color w:val="auto"/>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92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332</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 days</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67,258</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8,650</w:t>
            </w:r>
          </w:p>
        </w:tc>
        <w:tc>
          <w:tcPr>
            <w:tcW w:w="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18%</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39%</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43%</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68,247</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8,650</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(19%), monthly (49%) and quarterly (32%)</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$15,517 are excluded. Such commitments are required to be funded by capital contributions from noncontrolling interest 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December 31, 2017</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20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 of</w:t>
            </w:r>
          </w:p>
        </w:tc>
        <w:tc>
          <w:tcPr>
            <w:tcW w:w="35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Investments Not Redeemable</w:t>
            </w:r>
          </w:p>
        </w:tc>
        <w:tc>
          <w:tcPr>
            <w:tcW w:w="2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4"/>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Redemption</w:t>
            </w:r>
          </w:p>
        </w:tc>
        <w:tc>
          <w:tcPr>
            <w:tcW w:w="10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60" w:type="dxa"/>
            <w:vAlign w:val="bottom"/>
          </w:tcPr>
          <w:p>
            <w:pPr>
              <w:jc w:val="right"/>
              <w:ind w:right="4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w w:val="98"/>
              </w:rPr>
              <w:t>Alternative investment funds:</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2,517</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6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04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6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04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6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4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76,679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10,300</w:t>
            </w:r>
          </w:p>
        </w:tc>
        <w:tc>
          <w:tcPr>
            <w:tcW w:w="40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(f)</w:t>
            </w:r>
          </w:p>
        </w:tc>
        <w:tc>
          <w:tcPr>
            <w:tcW w:w="1160" w:type="dxa"/>
            <w:vAlign w:val="bottom"/>
            <w:tcBorders>
              <w:bottom w:val="single" w:sz="8" w:color="CFF0FC"/>
            </w:tcBorders>
            <w:gridSpan w:val="2"/>
          </w:tcPr>
          <w:p>
            <w:pPr>
              <w:ind w:left="64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16%</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38%</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46%</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80,378</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10,300</w:t>
            </w: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weekly (3%), monthly (5%) and quarterly (92%)</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monthly (97%) and quarterly (3%)</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(18%), monthly (50%) and quarterly (32%)</w:t>
      </w:r>
    </w:p>
    <w:p>
      <w:pPr>
        <w:spacing w:after="0" w:line="9" w:lineRule="exact"/>
        <w:rPr>
          <w:rFonts w:ascii="Arial" w:cs="Arial" w:eastAsia="Arial" w:hAnsi="Arial"/>
          <w:sz w:val="18"/>
          <w:szCs w:val="18"/>
          <w:color w:val="auto"/>
        </w:rPr>
      </w:pPr>
    </w:p>
    <w:p>
      <w:pPr>
        <w:ind w:left="380" w:right="100" w:hanging="372"/>
        <w:spacing w:after="0" w:line="261"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$5,902 are excluded. Such commitments are required to be funded by capital contributions from noncontrolling interest holders.</w:t>
      </w:r>
    </w:p>
    <w:p>
      <w:pPr>
        <w:spacing w:after="0" w:line="184"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June 30, 2018,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$7,847.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377"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13) on the accompanying condensed consolidated statements of financial condition as of June 30, 2018 and December 31, 2017: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454"/>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1,193</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3,314</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2,122</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4,846</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11,270</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200,844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182,301</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202,975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380" w:right="120" w:hanging="372"/>
        <w:spacing w:after="0" w:line="259"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$5,789 and $592 as of June 30, 2018, respectively, and $469 and $11,321 as of December 31, 2017, respectively, for contracts with the same counterparty under legally enforceable master netting agreements. Such amounts are recorded “net” in “other assets”, with receivables for net cash collateral under such contracts of $1,216 and $17,616 as of June 30, 2018 and December 31, 2017, respectively.</w:t>
      </w:r>
    </w:p>
    <w:p>
      <w:pPr>
        <w:spacing w:after="0" w:line="200"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six month periods ended June 30, 2018 and 2017,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7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6,236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(5,753)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(13,106)</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(3,597)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(8,982)</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7,525</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(15,980)</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(27,246)</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June 30, 2018 and December 31, 2017, property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40" w:type="dxa"/>
            <w:vAlign w:val="bottom"/>
            <w:tcBorders>
              <w:bottom w:val="single" w:sz="8" w:color="CFF0FC"/>
            </w:tcBorders>
          </w:tcPr>
          <w:p>
            <w:pPr>
              <w:spacing w:after="0"/>
              <w:rPr>
                <w:sz w:val="14"/>
                <w:szCs w:val="14"/>
                <w:color w:val="auto"/>
              </w:rPr>
            </w:pPr>
          </w:p>
        </w:tc>
        <w:tc>
          <w:tcPr>
            <w:tcW w:w="13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147,669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151,912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186,731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173,102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2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193,297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183,541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3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14,573</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541,195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523,128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3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325,012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317,827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3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216,183</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205,301</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60" w:type="dxa"/>
            <w:vAlign w:val="bottom"/>
            <w:vMerge w:val="restart"/>
          </w:tcPr>
          <w:p>
            <w:pPr>
              <w:jc w:val="right"/>
              <w:ind w:right="670"/>
              <w:spacing w:after="0"/>
              <w:rPr>
                <w:sz w:val="20"/>
                <w:szCs w:val="20"/>
                <w:color w:val="auto"/>
              </w:rPr>
            </w:pPr>
            <w:r>
              <w:rPr>
                <w:rFonts w:ascii="Arial" w:cs="Arial" w:eastAsia="Arial" w:hAnsi="Arial"/>
                <w:sz w:val="18"/>
                <w:szCs w:val="18"/>
                <w:color w:val="auto"/>
              </w:rPr>
              <w:t>21</w:t>
            </w: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3" w:name="page24"/>
    <w:bookmarkEnd w:id="2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11"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June 30, 2018 and December 31, 2017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377,264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385,292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5,096</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382,360</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391,364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color w:val="auto"/>
        </w:rPr>
        <w:t>At June 30, 2018 and December 31, 2017, goodwill of $312,723 and $320,751, respectively, was attributable to the Company’s Financial Advisory segment and, at each such respective date, $64,541 of goodwill was attributable to the Company’s Asset Management segment.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six month periods ended June 30, 2018 and 2017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373,117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(8,028)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8,785</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377,264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381,902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All changes in the carrying amount of goodwill for the six month periods ended June 30, 2018 and 2017 are attributable to the Company’s Financial Advisory segment.</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June 30, 2018 and December 31, 2017,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2018</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Success/incentive fees</w:t>
            </w:r>
          </w:p>
        </w:tc>
        <w:tc>
          <w:tcPr>
            <w:tcW w:w="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35,295</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31,136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35,422</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29,723</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34,482</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33,545</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33,749</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33,376</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69,777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64,681</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5,096</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69,171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63,099</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Amortization expense of intangible assets, included in “amortization and other acquisition-related (benefits) costs” in the condensed consolidated statements of operations, for the three month and six month periods ended June 30, 2018 was $863 and $1,696, respectively, and for the three month and six month periods ended June 30, 2017 was $822 and $1,651, respectively. Estimated future amortization expense is as follows: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400" w:type="dxa"/>
            <w:vAlign w:val="bottom"/>
            <w:vMerge w:val="restart"/>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gridSpan w:val="3"/>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Expense (a)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2018 (July 1 through December 31)</w:t>
            </w:r>
          </w:p>
        </w:tc>
        <w:tc>
          <w:tcPr>
            <w:tcW w:w="24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60" w:type="dxa"/>
            <w:vAlign w:val="bottom"/>
            <w:tcBorders>
              <w:bottom w:val="single" w:sz="8" w:color="CFF0FC"/>
            </w:tcBorders>
          </w:tcPr>
          <w:p>
            <w:pPr>
              <w:spacing w:after="0"/>
              <w:rPr>
                <w:sz w:val="19"/>
                <w:szCs w:val="19"/>
                <w:color w:val="auto"/>
              </w:rPr>
            </w:pPr>
          </w:p>
        </w:tc>
        <w:tc>
          <w:tcPr>
            <w:tcW w:w="3400" w:type="dxa"/>
            <w:vAlign w:val="bottom"/>
            <w:tcBorders>
              <w:bottom w:val="single" w:sz="8" w:color="CFF0FC"/>
            </w:tcBorders>
          </w:tcPr>
          <w:p>
            <w:pPr>
              <w:spacing w:after="0"/>
              <w:rPr>
                <w:sz w:val="19"/>
                <w:szCs w:val="19"/>
                <w:color w:val="auto"/>
              </w:rPr>
            </w:pPr>
          </w:p>
        </w:tc>
        <w:tc>
          <w:tcPr>
            <w:tcW w:w="2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amortization expense</w:t>
            </w:r>
          </w:p>
        </w:tc>
        <w:tc>
          <w:tcPr>
            <w:tcW w:w="24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620" w:right="3040" w:hanging="4464"/>
        <w:spacing w:after="0" w:line="543" w:lineRule="auto"/>
        <w:tabs>
          <w:tab w:leader="none" w:pos="15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35% of intangible asset amortization is attributable to a noncontrolling interest.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June 30,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Outstanding as of</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ind w:left="60"/>
              <w:spacing w:after="0" w:line="155" w:lineRule="exact"/>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4"/>
          </w:tcPr>
          <w:p>
            <w:pPr>
              <w:ind w:left="8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Rate(a)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Debt Costs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1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Lazard Group 2020</w:t>
            </w:r>
          </w:p>
        </w:tc>
        <w:tc>
          <w:tcPr>
            <w:tcW w:w="6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w:t>
            </w:r>
          </w:p>
        </w:tc>
        <w:tc>
          <w:tcPr>
            <w:tcW w:w="1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497,813</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4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Lazard Group 2025</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396,876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Lazard Group 2027</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296,588</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296,391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Pr>
          <w:p>
            <w:pPr>
              <w:ind w:left="26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1,200,000</w:t>
            </w:r>
          </w:p>
        </w:tc>
        <w:tc>
          <w:tcPr>
            <w:tcW w:w="120" w:type="dxa"/>
            <w:vAlign w:val="bottom"/>
          </w:tcPr>
          <w:p>
            <w:pPr>
              <w:spacing w:after="0"/>
              <w:rPr>
                <w:sz w:val="19"/>
                <w:szCs w:val="19"/>
                <w:color w:val="auto"/>
              </w:rPr>
            </w:pPr>
          </w:p>
        </w:tc>
        <w:tc>
          <w:tcPr>
            <w:tcW w:w="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1,191,277</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1,200,000</w:t>
            </w:r>
          </w:p>
        </w:tc>
        <w:tc>
          <w:tcPr>
            <w:tcW w:w="120" w:type="dxa"/>
            <w:vAlign w:val="bottom"/>
          </w:tcPr>
          <w:p>
            <w:pPr>
              <w:spacing w:after="0"/>
              <w:rPr>
                <w:sz w:val="19"/>
                <w:szCs w:val="19"/>
                <w:color w:val="auto"/>
              </w:rPr>
            </w:pPr>
          </w:p>
        </w:tc>
        <w:tc>
          <w:tcPr>
            <w:tcW w:w="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1,190,383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200" w:hanging="372"/>
        <w:spacing w:after="0" w:line="264"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 interest rates of Lazard Group’s 4.25% senior notes due November 14, 2020 (the “2020 Notes”), Lazard Group’s 3.75% senior notes due February 13, 2025 (the “2025 Notes”) and Lazard Group’s 3.625% senior notes due March 1, 2027 (the “2027 Notes”) are 4.43%, 3.87% and 3.76%, respectively.</w:t>
      </w:r>
    </w:p>
    <w:p>
      <w:pPr>
        <w:spacing w:after="0" w:line="19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June 30, 2018 and December 31, 2017, no amounts were outstanding under the Amended and Restated Credit Agreement.</w:t>
      </w:r>
    </w:p>
    <w:p>
      <w:pPr>
        <w:spacing w:after="0" w:line="193"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June 30, 2018, the Company was in compliance with such provisions. All of the Company’s senior debt obligations are unsecured.</w:t>
      </w:r>
    </w:p>
    <w:p>
      <w:pPr>
        <w:spacing w:after="0" w:line="147"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As of June 30, 2018, the Company had approximately $169,000 in unused lines of credit available to it, including the credit facility provided under the Amended and Restated Credit Agreement and unused lines of credit available to LFB of approximately $17,000 (at June 30, 2018 exchange rates).</w:t>
      </w:r>
    </w:p>
    <w:p>
      <w:pPr>
        <w:spacing w:after="0" w:line="124"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The Company’s senior debt at June 30, 2018 and December 31, 2017 is carried at historical amounts of $1,191,277 and $1,190,383, respectively. At those dates, the fair value of such senior debt was approximately $1,183,000 and $1,230,000, respectively. The fair value of the Company’s senior debt is based on market quotations. The Company’s senior debt would be categorized within Level 2 of the hierarchy of fair value measurements if carried at fair value.</w:t>
      </w:r>
    </w:p>
    <w:p>
      <w:pPr>
        <w:spacing w:after="0" w:line="376"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w:t>
      </w:r>
    </w:p>
    <w:p>
      <w:pPr>
        <w:spacing w:after="0" w:line="225"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June 30, 2018, LFB had $2,750 of such indemnifications and held $2,750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87"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b w:val="1"/>
          <w:bCs w:val="1"/>
          <w:i w:val="1"/>
          <w:iCs w:val="1"/>
          <w:color w:val="auto"/>
        </w:rPr>
        <w:t>Business Acquisitions</w:t>
      </w:r>
      <w:r>
        <w:rPr>
          <w:rFonts w:ascii="Arial" w:cs="Arial" w:eastAsia="Arial" w:hAnsi="Arial"/>
          <w:sz w:val="18"/>
          <w:szCs w:val="18"/>
          <w:color w:val="auto"/>
        </w:rPr>
        <w:t>—For businesses acquired in 2016, the remaining consideration consists of (i) 60,817 shares of Class A common stock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non-compete provisions, and non-contingent interests exchangeable into 202,984 shares of Class A common stock, and (ii) up to 810,742 additional shares of Class A common stock that are subject to certain performance thresholds, as well as applicable related dividend equivalent amounts. As of June 30, 2018, none of the contingent shares had been earned.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June 30, 2018, LFB and LFNY had no such underwriting commitments.</w:t>
      </w:r>
    </w:p>
    <w:p>
      <w:pPr>
        <w:spacing w:after="0" w:line="18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See Notes 6 and 14 for information regarding commitments relating to investment capital funding commitments and obligations to fund our pension plans, respectively.</w:t>
      </w:r>
    </w:p>
    <w:p>
      <w:pPr>
        <w:spacing w:after="0" w:line="170"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354"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six month period ended June 30, 2018 and since 2015, the Board of Directors of Lazard authorized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of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40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14"/>
              <w:spacing w:after="0"/>
              <w:rPr>
                <w:sz w:val="20"/>
                <w:szCs w:val="20"/>
                <w:color w:val="auto"/>
              </w:rPr>
            </w:pPr>
            <w:r>
              <w:rPr>
                <w:rFonts w:ascii="Arial" w:cs="Arial" w:eastAsia="Arial" w:hAnsi="Arial"/>
                <w:sz w:val="14"/>
                <w:szCs w:val="14"/>
                <w:b w:val="1"/>
                <w:bCs w:val="1"/>
                <w:color w:val="auto"/>
              </w:rPr>
              <w:t>Repurchase</w:t>
            </w:r>
          </w:p>
        </w:tc>
        <w:tc>
          <w:tcPr>
            <w:tcW w:w="2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2"/>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34"/>
              <w:spacing w:after="0" w:line="158" w:lineRule="exact"/>
              <w:rPr>
                <w:sz w:val="20"/>
                <w:szCs w:val="20"/>
                <w:color w:val="auto"/>
              </w:rPr>
            </w:pPr>
            <w:r>
              <w:rPr>
                <w:rFonts w:ascii="Arial" w:cs="Arial" w:eastAsia="Arial" w:hAnsi="Arial"/>
                <w:sz w:val="14"/>
                <w:szCs w:val="14"/>
                <w:b w:val="1"/>
                <w:bCs w:val="1"/>
                <w:color w:val="auto"/>
                <w:w w:val="99"/>
              </w:rPr>
              <w:t>Authorization</w:t>
            </w: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February 2015</w:t>
            </w:r>
          </w:p>
        </w:tc>
        <w:tc>
          <w:tcPr>
            <w:tcW w:w="25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January 2016</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2016</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113,182</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November 2016</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2017</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April 2018</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78"/>
        </w:trPr>
        <w:tc>
          <w:tcPr>
            <w:tcW w:w="6280" w:type="dxa"/>
            <w:vAlign w:val="bottom"/>
            <w:gridSpan w:val="3"/>
            <w:vMerge w:val="continue"/>
          </w:tcPr>
          <w:p>
            <w:pPr>
              <w:spacing w:after="0"/>
              <w:rPr>
                <w:sz w:val="15"/>
                <w:szCs w:val="15"/>
                <w:color w:val="auto"/>
              </w:rPr>
            </w:pPr>
          </w:p>
        </w:tc>
        <w:tc>
          <w:tcPr>
            <w:tcW w:w="12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7"/>
        </w:trPr>
        <w:tc>
          <w:tcPr>
            <w:tcW w:w="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458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4,268,479</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2018</w:t>
            </w:r>
          </w:p>
        </w:tc>
        <w:tc>
          <w:tcPr>
            <w:tcW w:w="45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4,147,526</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During the six month periods ended June 30, 2018 and 2017, certain of our executive officers received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Class A common stock from the executive officers equal in value to all or a portion of the estimated amount of such tax. In addition, during the six month periods ended June 30, 2018 and 2017, the Company purchased shares of Class A common stock from certain of our executive officers. The aggregate value of all such purchases during the six month periods ended June 30, 2018 and 2017 was approximately $16,400 and $14,700, respectively.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As of June 30, 2018, a total of $324,589 of share repurchase authorization remained available under the Company’s share repurchase program, of which $24,589 will expire on December 31, 2019 and $300,000 will expire on December 31, 2020.</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During the six month period ended June 30, 2018, the Company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—Lazard Ltd has 15,000,000 authorized shares of preferred stock, par value $0.01 per share, inclusive of its Series A and Series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Series A and Series B preferred shares were issued in connection with certain prior year business acquisitions and were each non-participating securities convertible into Class A common stock, and had no voting or dividend rights. As of both June 30, 2018 and December 31, 2017, no shares of Series A or Series B preferred stock were outstanding.</w:t>
      </w:r>
    </w:p>
    <w:p>
      <w:pPr>
        <w:spacing w:after="0" w:line="18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b w:val="1"/>
          <w:bCs w:val="1"/>
          <w:i w:val="1"/>
          <w:iCs w:val="1"/>
          <w:color w:val="auto"/>
        </w:rPr>
        <w:t>Accumulated Other Comprehensive Income (Loss), Net of Tax</w:t>
      </w:r>
      <w:r>
        <w:rPr>
          <w:rFonts w:ascii="Arial" w:cs="Arial" w:eastAsia="Arial" w:hAnsi="Arial"/>
          <w:sz w:val="18"/>
          <w:szCs w:val="18"/>
          <w:color w:val="auto"/>
        </w:rPr>
        <w:t>—The tables below reflect the balances of each component of AOCI at June 30,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2017 and activity during the three month and six month periods then ended: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June 30, 2018</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April 1, 2018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(152,936</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(219,125</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(219,124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(43,453)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(35,153)</w:t>
            </w:r>
          </w:p>
        </w:tc>
        <w:tc>
          <w:tcPr>
            <w:tcW w:w="8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(35,152)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(34,376)</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June 30, 2018</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(109,642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(143,859</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(253,501</w:t>
            </w:r>
          </w:p>
        </w:tc>
        <w:tc>
          <w:tcPr>
            <w:tcW w:w="220" w:type="dxa"/>
            <w:vAlign w:val="bottom"/>
            <w:vMerge w:val="continue"/>
          </w:tcPr>
          <w:p>
            <w:pPr>
              <w:spacing w:after="0"/>
              <w:rPr>
                <w:sz w:val="19"/>
                <w:szCs w:val="19"/>
                <w:color w:val="auto"/>
              </w:rPr>
            </w:pP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(253,499</w:t>
            </w: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Six Months Ended June 30, 2018</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(83,535)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(148,984</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(232,519</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(232,518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(26,107)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(22,821)</w:t>
            </w:r>
          </w:p>
        </w:tc>
        <w:tc>
          <w:tcPr>
            <w:tcW w:w="8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(22,820)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June 30, 2018</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(109,642</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(143,859</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(253,501</w:t>
            </w:r>
          </w:p>
        </w:tc>
        <w:tc>
          <w:tcPr>
            <w:tcW w:w="220" w:type="dxa"/>
            <w:vAlign w:val="bottom"/>
            <w:vMerge w:val="continue"/>
          </w:tcPr>
          <w:p>
            <w:pPr>
              <w:spacing w:after="0"/>
              <w:rPr>
                <w:sz w:val="19"/>
                <w:szCs w:val="19"/>
                <w:color w:val="auto"/>
              </w:rPr>
            </w:pP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(253,499</w:t>
            </w: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7" w:name="page28"/>
    <w:bookmarkEnd w:id="2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3"/>
          </w:tcPr>
          <w:p>
            <w:pPr>
              <w:jc w:val="center"/>
              <w:ind w:right="680"/>
              <w:spacing w:after="0"/>
              <w:rPr>
                <w:sz w:val="20"/>
                <w:szCs w:val="20"/>
                <w:color w:val="auto"/>
              </w:rPr>
            </w:pPr>
            <w:r>
              <w:rPr>
                <w:rFonts w:ascii="Arial" w:cs="Arial" w:eastAsia="Arial" w:hAnsi="Arial"/>
                <w:sz w:val="14"/>
                <w:szCs w:val="14"/>
                <w:b w:val="1"/>
                <w:bCs w:val="1"/>
                <w:color w:val="auto"/>
                <w:w w:val="93"/>
              </w:rPr>
              <w:t>Three Months Ended June 30, 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3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5"/>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AOCI</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April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(138,272</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(158,429</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5"/>
              </w:rPr>
              <w:t>(296,701</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(296,699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26,167</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(8,609)</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17,558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1,356</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26,167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(7,253)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18,914</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Balance, June 30,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(112,105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(165,682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5"/>
              </w:rPr>
              <w:t>(277,787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(277,785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3"/>
          </w:tcPr>
          <w:p>
            <w:pPr>
              <w:jc w:val="center"/>
              <w:ind w:right="680"/>
              <w:spacing w:after="0"/>
              <w:rPr>
                <w:sz w:val="20"/>
                <w:szCs w:val="20"/>
                <w:color w:val="auto"/>
              </w:rPr>
            </w:pPr>
            <w:r>
              <w:rPr>
                <w:rFonts w:ascii="Arial" w:cs="Arial" w:eastAsia="Arial" w:hAnsi="Arial"/>
                <w:sz w:val="14"/>
                <w:szCs w:val="14"/>
                <w:b w:val="1"/>
                <w:bCs w:val="1"/>
                <w:color w:val="auto"/>
                <w:w w:val="93"/>
              </w:rPr>
              <w:t>Six Months Ended June 30, 2017</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Lazard Ltd</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3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5"/>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AOCI</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(155,204</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(159,020</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5"/>
              </w:rPr>
              <w:t>(314,224</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(314,222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43,099</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33,995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2,442</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2,442</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43,099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(6,662)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36,437</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Balance, June 30,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(112,105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(165,682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5"/>
              </w:rPr>
              <w:t>(277,787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(277,785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20" w:type="dxa"/>
            <w:vAlign w:val="bottom"/>
            <w:gridSpan w:val="26"/>
          </w:tcPr>
          <w:p>
            <w:pPr>
              <w:jc w:val="center"/>
              <w:ind w:left="30"/>
              <w:spacing w:after="0"/>
              <w:rPr>
                <w:sz w:val="20"/>
                <w:szCs w:val="20"/>
                <w:color w:val="auto"/>
              </w:rPr>
            </w:pPr>
            <w:r>
              <w:rPr>
                <w:rFonts w:ascii="Arial" w:cs="Arial" w:eastAsia="Arial" w:hAnsi="Arial"/>
                <w:sz w:val="18"/>
                <w:szCs w:val="18"/>
                <w:color w:val="auto"/>
                <w:w w:val="90"/>
              </w:rPr>
              <w:t>The table below reflects adjustments for items reclassified out of AOCI, by component, for the three month and six month periods ended June 30,</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2018 and 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3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1,245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1,552</w:t>
            </w:r>
          </w:p>
        </w:tc>
        <w:tc>
          <w:tcPr>
            <w:tcW w:w="2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1,356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400" w:hanging="372"/>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14). Such amounts are included in “operating expenses</w:t>
      </w:r>
      <w:r>
        <w:rPr>
          <w:rFonts w:ascii="Arial" w:cs="Arial" w:eastAsia="Arial" w:hAnsi="Arial"/>
          <w:sz w:val="18"/>
          <w:szCs w:val="18"/>
          <w:i w:val="1"/>
          <w:iCs w:val="1"/>
          <w:color w:val="auto"/>
        </w:rPr>
        <w:t>—</w:t>
      </w:r>
      <w:r>
        <w:rPr>
          <w:rFonts w:ascii="Arial" w:cs="Arial" w:eastAsia="Arial" w:hAnsi="Arial"/>
          <w:sz w:val="18"/>
          <w:szCs w:val="18"/>
          <w:color w:val="auto"/>
        </w:rPr>
        <w:t>other” on the condensed consolidated statements of operations.</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six month periods ended June 30, 2018 and 2017 and noncontrolling interests as of June 30, 2018 and December 31, 2017 in the Company’s condensed consolidated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Net Income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7"/>
          </w:tcPr>
          <w:p>
            <w:pPr>
              <w:jc w:val="center"/>
              <w:ind w:right="166"/>
              <w:spacing w:after="0" w:line="149" w:lineRule="exact"/>
              <w:rPr>
                <w:sz w:val="20"/>
                <w:szCs w:val="20"/>
                <w:color w:val="auto"/>
              </w:rPr>
            </w:pPr>
            <w:r>
              <w:rPr>
                <w:rFonts w:ascii="Arial" w:cs="Arial" w:eastAsia="Arial" w:hAnsi="Arial"/>
                <w:sz w:val="14"/>
                <w:szCs w:val="14"/>
                <w:b w:val="1"/>
                <w:bCs w:val="1"/>
                <w:color w:val="auto"/>
                <w:w w:val="94"/>
              </w:rPr>
              <w:t>Attributable to Noncontrolling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2"/>
              </w:rPr>
              <w:t>Interests</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960" w:type="dxa"/>
            <w:vAlign w:val="bottom"/>
          </w:tcPr>
          <w:p>
            <w:pPr>
              <w:spacing w:after="0"/>
              <w:rPr>
                <w:sz w:val="12"/>
                <w:szCs w:val="12"/>
                <w:color w:val="auto"/>
              </w:rPr>
            </w:pPr>
          </w:p>
        </w:tc>
        <w:tc>
          <w:tcPr>
            <w:tcW w:w="2540" w:type="dxa"/>
            <w:vAlign w:val="bottom"/>
            <w:gridSpan w:val="6"/>
          </w:tcPr>
          <w:p>
            <w:pPr>
              <w:jc w:val="right"/>
              <w:ind w:right="541"/>
              <w:spacing w:after="0" w:line="147" w:lineRule="exact"/>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gridSpan w:val="6"/>
          </w:tcPr>
          <w:p>
            <w:pPr>
              <w:ind w:left="20"/>
              <w:spacing w:after="0" w:line="147"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2"/>
                <w:szCs w:val="12"/>
                <w:color w:val="auto"/>
              </w:rPr>
            </w:pP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June 30,</w:t>
            </w: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161"/>
              <w:spacing w:after="0" w:line="155"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7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1,415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3,383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1,416</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3,385</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20" w:type="dxa"/>
            <w:vAlign w:val="bottom"/>
            <w:gridSpan w:val="10"/>
          </w:tcPr>
          <w:p>
            <w:pPr>
              <w:ind w:left="160"/>
              <w:spacing w:after="0"/>
              <w:rPr>
                <w:sz w:val="20"/>
                <w:szCs w:val="20"/>
                <w:color w:val="auto"/>
              </w:rPr>
            </w:pPr>
            <w:r>
              <w:rPr>
                <w:rFonts w:ascii="Arial" w:cs="Arial" w:eastAsia="Arial" w:hAnsi="Arial"/>
                <w:sz w:val="14"/>
                <w:szCs w:val="14"/>
                <w:b w:val="1"/>
                <w:bCs w:val="1"/>
                <w:color w:val="auto"/>
              </w:rPr>
              <w:t>Noncontrolling Interests as of</w:t>
            </w:r>
          </w:p>
        </w:tc>
      </w:tr>
      <w:tr>
        <w:trPr>
          <w:trHeight w:val="146"/>
        </w:trPr>
        <w:tc>
          <w:tcPr>
            <w:tcW w:w="5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top w:val="single" w:sz="8" w:color="auto"/>
            </w:tcBorders>
            <w:gridSpan w:val="3"/>
          </w:tcPr>
          <w:p>
            <w:pPr>
              <w:jc w:val="center"/>
              <w:ind w:left="421"/>
              <w:spacing w:after="0" w:line="147" w:lineRule="exact"/>
              <w:rPr>
                <w:sz w:val="20"/>
                <w:szCs w:val="20"/>
                <w:color w:val="auto"/>
              </w:rPr>
            </w:pPr>
            <w:r>
              <w:rPr>
                <w:rFonts w:ascii="Arial" w:cs="Arial" w:eastAsia="Arial" w:hAnsi="Arial"/>
                <w:sz w:val="14"/>
                <w:szCs w:val="14"/>
                <w:b w:val="1"/>
                <w:bCs w:val="1"/>
                <w:color w:val="auto"/>
                <w:w w:val="92"/>
              </w:rPr>
              <w:t>June 30,</w:t>
            </w: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ind w:right="294"/>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spacing w:after="0"/>
              <w:rPr>
                <w:sz w:val="12"/>
                <w:szCs w:val="12"/>
                <w:color w:val="auto"/>
              </w:rPr>
            </w:pPr>
          </w:p>
        </w:tc>
      </w:tr>
      <w:tr>
        <w:trPr>
          <w:trHeight w:val="171"/>
        </w:trPr>
        <w:tc>
          <w:tcPr>
            <w:tcW w:w="596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b w:val="1"/>
                <w:bCs w:val="1"/>
                <w:color w:val="auto"/>
                <w:w w:val="89"/>
              </w:rPr>
              <w:t>2018</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center"/>
              <w:ind w:right="461"/>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57,386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58,568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center"/>
              <w:ind w:right="461"/>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57,942</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59,102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b w:val="1"/>
          <w:bCs w:val="1"/>
          <w:i w:val="1"/>
          <w:iCs w:val="1"/>
          <w:color w:val="auto"/>
        </w:rPr>
        <w:t>Dividends Declared, July 25, 2018</w:t>
      </w:r>
      <w:r>
        <w:rPr>
          <w:rFonts w:ascii="Arial" w:cs="Arial" w:eastAsia="Arial" w:hAnsi="Arial"/>
          <w:sz w:val="18"/>
          <w:szCs w:val="18"/>
          <w:color w:val="auto"/>
        </w:rPr>
        <w:t>—On July 25, 2018, the Board of Directors of Lazard declared a quarterly dividend of $0.44 per share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payable on August 17, 2018, to stockholders of record on August 6, 2018.</w:t>
      </w:r>
    </w:p>
    <w:p>
      <w:pPr>
        <w:spacing w:after="0" w:line="360"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 description of Lazard Ltd’s 2018 Plan, 2008 Plan and 2005 Equity Incentive Plan (the “2005 Plan”) and activity with respect thereto during the three month and six month periods ended June 30, 2018 and 2017 is presented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2018 Plan, 2008 Plan and 2005 Plan</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2018 Plan became effective on April 24, 2018 and replaced the 2008 Plan, which was terminated on April 24, 2018. The 2018 Plan authorizes the issuance of up to 30,000,000 shares of Class A common stock pursuant to the grant or exercise of stock options, stock appreciation rights, restricted stock units (“RSUs”), performance-based restricted stock units (“PRSUs”) and other share-based awards.</w:t>
      </w:r>
    </w:p>
    <w:p>
      <w:pPr>
        <w:spacing w:after="0" w:line="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2008 Plan authorized the issuance of shares of Class A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Class A common stock. The 2008 Plan was terminated on April 24, 2018, and no additional awards have been or will be granted under the 2008 Plan after its termination, although unvested awards granted under the 2008 Plan before its termination remain outstanding and continue to be subject to its terms.</w:t>
      </w:r>
    </w:p>
    <w:p>
      <w:pPr>
        <w:spacing w:after="0" w:line="193"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The 2005 Plan authorized the issuance of up to 25,000,000 shares of Class A common stock pursuant to the grant or exercise of stock options, stock appreciation rights, RSUs and other share-based awards. The 2005 Plan expired in the second quarter of 2015, although unvested deferred stock unit (“DSU”) awards granted under the 2005 Plan before its expiration remain outstanding and continue to be subject to its terms.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The following reflects the amortization expense recorded with respect to share-based incentive plans within “compensation and benefits” expense (with respect to RSUs, PRSUs and restricted stock awards) and “professional services” expense (with respect to DSUs) within the Company’s accompanying condensed consolidated statements of operations for the three month and six month periods ended June 30, 2018 and 2017: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RSUs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55,635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54,354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116,522</w:t>
            </w:r>
          </w:p>
        </w:tc>
        <w:tc>
          <w:tcPr>
            <w:tcW w:w="26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110,295</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28,199</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12,600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13,161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23,373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22,810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DSUs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87,010</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85,474</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169,830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163,001</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For purposes of calculating diluted net income per share, RSUs, DSUs and restricted stock awards are included in the diluted weighted average shares of Class A common stock outstanding using the “treasury stock” method. PRSUs are included in the diluted weighted average shares of Class A common stock outstanding to the extent the performance conditions are met at the end of the reporting period, also using the “treasury stock” method.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8"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six month periods ended June 30, 2018 and 2017, issuances of RSUs pertaining to such dividend participation rights and respective charges to “retained earnings”, net of estimated forfeitures (with corresponding credits to “additional paid-in-capital”), consisted of the following: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9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8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Number of RSUs issued</w:t>
            </w:r>
          </w:p>
        </w:tc>
        <w:tc>
          <w:tcPr>
            <w:tcW w:w="18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636,207</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739,079</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284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33,627</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31,335</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Non-executive members of the Board of Directors (“Non-Executive Directors”) receive approximately 55% of their annual compensation for service on the Board of Directors and its committees in the form of DSUs, which resulted in 30,463 and 31,280 DSUs granted during the six month periods ended June 30, 2018 and 2017,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and,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5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purposes of calculating diluted net income per share, are included in the diluted weighted average shares of Class A common stock outstanding using the “treasury stock” method. DSUs include a cash dividend participation right equivalent to dividends paid on Class A common stock.</w:t>
      </w:r>
    </w:p>
    <w:p>
      <w:pPr>
        <w:spacing w:after="0" w:line="14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six month periods ended June 30, 2018 and 2017, 6,281 and 7,035 DSUs, respectively, had been granted pursuant to such Plan.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2018 and 2017:</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DSUs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12,919,846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40.23</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278,422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636,207 RSUs relating to dividend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3,974,389</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54.07</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36,744</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(105,853)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44.55</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(5,542,633)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42.86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11,245,749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315,166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Balance, January 1, 2017</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11,698,138</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276,725</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Granted (including 739,079 RSUs relating to dividend</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5,134,126</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43.07</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38,315</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(92,011)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39.98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(3,937,970)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45.36</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(43,465)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June 30, 2017</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12,802,283</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40.17</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271,575</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In connection with RSUs that vested during the six month periods ended June 30, 2018 and 2017, the Company satisfied its minimum statutory tax withholding requirements in lieu of delivering 1,635,514 and 1,267,560 shares of Class A common stock during such respective six month periods. Accordingly, 3,907,119 and 2,670,410 shares of Class A common stock held by the Company were delivered during the six month periods ended June 30, 2018 and 2017, respectively.</w:t>
      </w:r>
    </w:p>
    <w:p>
      <w:pPr>
        <w:spacing w:after="0" w:line="18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 of June 30, 2018, estimated unrecognized RSU compensation expense was approximately $203,205, with such expense expected to be recognized over a weighted average period of approximately 0.9 years subsequent to June 30, 2018.</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31" w:name="page32"/>
    <w:bookmarkEnd w:id="31"/>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3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six month periods ended June 30, 2018 and 2017:</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1,938,160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529,987</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(26,222)</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(848,187)</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2018</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1,593,738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43.09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1,655,073</w:t>
            </w:r>
          </w:p>
        </w:tc>
        <w:tc>
          <w:tcPr>
            <w:tcW w:w="1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841,355</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(32,568)</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(458,814)</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Balance, June 30,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2,005,046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connection with shares of restricted Class A common stock that vested during the six month periods ended June 30, 2018 and 2017, the Company satisfied its minimum statutory tax withholding requirements in lieu of delivering 289,831 and 135,528 shares of Class A common stock during such respective six month periods. Accordingly, 558,356 and 323,286 shares of Class A common stock held by the Company were delivered during the six month periods ended June 30, 2018 and 2017, respectively.</w:t>
      </w:r>
    </w:p>
    <w:p>
      <w:pPr>
        <w:spacing w:after="0" w:line="18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restricted stock awards include a cash dividend participation right equivalent to dividends paid on Class A common stock during the period, which will vest concurrently with the underlying restricted stock award. At June 30, 2018, estimated unrecognized restricted stock expense was approximately $31,084, with such expense to be recognized over a weighted average period of approximately 0.8 years subsequent to June 30, 2018.</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six month periods ended June 30, 2018 and 2017:</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1,591,693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399,869</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(799,402)</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80" w:type="dxa"/>
            <w:vAlign w:val="bottom"/>
            <w:gridSpan w:val="3"/>
          </w:tcPr>
          <w:p>
            <w:pPr>
              <w:spacing w:after="0"/>
              <w:rPr>
                <w:sz w:val="20"/>
                <w:szCs w:val="20"/>
                <w:color w:val="auto"/>
              </w:rPr>
            </w:pPr>
            <w:r>
              <w:rPr>
                <w:rFonts w:ascii="Arial" w:cs="Arial" w:eastAsia="Arial" w:hAnsi="Arial"/>
                <w:sz w:val="18"/>
                <w:szCs w:val="18"/>
                <w:color w:val="auto"/>
              </w:rPr>
              <w:t>Balance, June 30, 2018</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1,192,160</w:t>
            </w:r>
          </w:p>
        </w:tc>
        <w:tc>
          <w:tcPr>
            <w:tcW w:w="120" w:type="dxa"/>
            <w:vAlign w:val="bottom"/>
          </w:tcPr>
          <w:p>
            <w:pPr>
              <w:spacing w:after="0"/>
              <w:rPr>
                <w:sz w:val="22"/>
                <w:szCs w:val="22"/>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44.39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1,590,756</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458,113</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(825,565)</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spacing w:after="0"/>
              <w:rPr>
                <w:sz w:val="20"/>
                <w:szCs w:val="20"/>
                <w:color w:val="auto"/>
              </w:rPr>
            </w:pPr>
            <w:r>
              <w:rPr>
                <w:rFonts w:ascii="Arial" w:cs="Arial" w:eastAsia="Arial" w:hAnsi="Arial"/>
                <w:sz w:val="18"/>
                <w:szCs w:val="18"/>
                <w:color w:val="auto"/>
              </w:rPr>
              <w:t>Balance, June 30,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1,223,304</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20" w:hanging="518"/>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23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connection with certain PRSUs that vested or were settled during the six month periods ended June 30, 2018 and 2017, the Company satisfied its minimum statutory tax withholding requirements in lieu of delivering 91,962 and 126,264 shares of Class A common stock during such respective six month periods. Accordingly, 707,440 and 699,301 shares of Class A common stock held by the Company were delivered during the six month periods ended June 30, 2018 and 2017, respectively.</w:t>
      </w:r>
    </w:p>
    <w:p>
      <w:pPr>
        <w:spacing w:after="0" w:line="18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June 30, 2018, the total estimated unrecognized compensation expense was approximately $12,594, and the Company expects to amortize such expense over a weighted-average period of approximately 0.9 years subsequent to June 30, 2018.</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33" w:name="page34"/>
    <w:bookmarkEnd w:id="33"/>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summary of activity relating to LFI and other similar deferred compensation arrangements during the six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2017:</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60,355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104,551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(84,422)</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(50,057)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(1,424)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June 30, 2018</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112,807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(95,633)</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(585)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(39,503)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June 30, 2017</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88,084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0.9 years subsequent to June 30, 2018.</w:t>
      </w:r>
    </w:p>
    <w:p>
      <w:pPr>
        <w:spacing w:after="0" w:line="170"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six month periods ended June 30, 2018 and 2017:</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41,293</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13,106</w:t>
            </w:r>
          </w:p>
        </w:tc>
        <w:tc>
          <w:tcPr>
            <w:tcW w:w="100" w:type="dxa"/>
            <w:vAlign w:val="bottom"/>
          </w:tcPr>
          <w:p>
            <w:pPr>
              <w:spacing w:after="0"/>
              <w:rPr>
                <w:sz w:val="19"/>
                <w:szCs w:val="19"/>
                <w:color w:val="auto"/>
              </w:rPr>
            </w:pP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w:t>
      </w:r>
      <w:r>
        <w:rPr>
          <w:rFonts w:ascii="Arial" w:cs="Arial" w:eastAsia="Arial" w:hAnsi="Arial"/>
          <w:sz w:val="16"/>
          <w:szCs w:val="16"/>
          <w:i w:val="1"/>
          <w:iCs w:val="1"/>
          <w:color w:val="auto"/>
        </w:rPr>
        <w:t>—</w:t>
      </w:r>
      <w:r>
        <w:rPr>
          <w:rFonts w:ascii="Arial" w:cs="Arial" w:eastAsia="Arial" w:hAnsi="Arial"/>
          <w:sz w:val="16"/>
          <w:szCs w:val="16"/>
          <w:color w:val="auto"/>
        </w:rPr>
        <w:t>other” for the other components of benefit costs on the condensed consolidated statements of operations (see Note 2).</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34" w:name="page35"/>
    <w:bookmarkEnd w:id="34"/>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w:t>
      </w:r>
    </w:p>
    <w:p>
      <w:pPr>
        <w:spacing w:after="0" w:line="124"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pension plans for the three month and six month periods ended June 30,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9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vMerge w:val="continue"/>
          </w:tcPr>
          <w:p>
            <w:pPr>
              <w:spacing w:after="0"/>
              <w:rPr>
                <w:sz w:val="19"/>
                <w:szCs w:val="19"/>
                <w:color w:val="auto"/>
              </w:rPr>
            </w:pPr>
          </w:p>
        </w:tc>
        <w:tc>
          <w:tcPr>
            <w:tcW w:w="19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cost</w:t>
            </w:r>
          </w:p>
        </w:tc>
        <w:tc>
          <w:tcPr>
            <w:tcW w:w="294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3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Interest cost</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Expected return on plan assets</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(7,583)</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Amortization of:</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Prior service cost</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actuarial loss (gain)</w:t>
            </w:r>
          </w:p>
        </w:tc>
        <w:tc>
          <w:tcPr>
            <w:tcW w:w="19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19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20" w:type="dxa"/>
            <w:vAlign w:val="bottom"/>
            <w:gridSpan w:val="5"/>
          </w:tcPr>
          <w:p>
            <w:pPr>
              <w:jc w:val="right"/>
              <w:ind w:right="21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5880" w:type="dxa"/>
            <w:vAlign w:val="bottom"/>
          </w:tcPr>
          <w:p>
            <w:pPr>
              <w:spacing w:after="0"/>
              <w:rPr>
                <w:sz w:val="4"/>
                <w:szCs w:val="4"/>
                <w:color w:val="auto"/>
              </w:rPr>
            </w:pPr>
          </w:p>
        </w:tc>
        <w:tc>
          <w:tcPr>
            <w:tcW w:w="294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9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9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19"/>
                <w:szCs w:val="19"/>
                <w:color w:val="auto"/>
              </w:rPr>
            </w:pPr>
          </w:p>
        </w:tc>
        <w:tc>
          <w:tcPr>
            <w:tcW w:w="96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(15,366)</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(12,560)</w:t>
            </w: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19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198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88"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On December 22, 2017, the Tax Cuts and Jobs Act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 The Tax Act further includes anti-base erosion provisions such as the base erosion and anti-abuse tax and tax on global intangible low-taxed income.</w:t>
      </w:r>
    </w:p>
    <w:p>
      <w:pPr>
        <w:spacing w:after="0" w:line="173"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As a result of the reduction of the U.S. federal corporate tax rate to 21%, the Company was required to remeasure its deferred tax assets and liabilities at the new federal income tax rate of 21% based on the balances that existed on the date of the enactment of the Tax Act. The lower corporate tax rate resulted in a reduction of our net deferred tax assets by approximately $420,000 in the year ended December 31, 2017. See also Note 17 for the impact of the Tax Act to the tax receivable agreement obligation.</w:t>
      </w:r>
    </w:p>
    <w:p>
      <w:pPr>
        <w:spacing w:after="0" w:line="18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Tax Act also requires companies to pay a one-time repatriation tax on previously unremitted earnings of certain non-U.S. corporate subsidiaries. Most of the Company’s operations outside the U.S. are conducted in “pass-through” entities for U.S. income tax purposes, and, as a result, the deemed repatriation transition tax does not apply to these pass-through entities or their earnings. The Company instead provides for U.S. income taxes on a current basis for those earnings. The Company also conducts operations outside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U.S. through foreign corporate subsidiaries, and the Company recorded approximately $1,000 of deferred tax expense in the year ended December 31, 2017 related to the one-time repatriation tax on the foreign earnings of those corporate subsidiaries.</w:t>
      </w:r>
    </w:p>
    <w:p>
      <w:pPr>
        <w:spacing w:after="0" w:line="17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accordance with the guidance provided by Staff Accounting Bulletin No. 118, the Company has recognized the provisional tax impact related to the one-time deemed repatriation tax on certain foreign earnings and the remeasurement of our deferred tax assets. The impact of the Tax Act on the Company may differ from these provisional estimates, due to, among other items, the issuance of additional regulatory guidance, our interpretations of the provisions of the Tax Act, changes to certain estimates and amounts related to the earnings and profits of certain subsidiaries and the filing of our tax returns. We will recognize any changes to the provisional amounts as we refine our estimates and expect to complete our analysis of the provisional items during the second half of 2018.</w:t>
      </w:r>
    </w:p>
    <w:p>
      <w:pPr>
        <w:spacing w:after="0" w:line="193" w:lineRule="exact"/>
        <w:rPr>
          <w:sz w:val="20"/>
          <w:szCs w:val="20"/>
          <w:color w:val="auto"/>
        </w:rPr>
      </w:pPr>
    </w:p>
    <w:p>
      <w:pPr>
        <w:ind w:right="180" w:firstLine="518"/>
        <w:spacing w:after="0" w:line="291" w:lineRule="auto"/>
        <w:rPr>
          <w:sz w:val="20"/>
          <w:szCs w:val="20"/>
          <w:color w:val="auto"/>
        </w:rPr>
      </w:pPr>
      <w:r>
        <w:rPr>
          <w:rFonts w:ascii="Arial" w:cs="Arial" w:eastAsia="Arial" w:hAnsi="Arial"/>
          <w:sz w:val="16"/>
          <w:szCs w:val="16"/>
          <w:color w:val="auto"/>
        </w:rPr>
        <w:t>The Company recorded income tax provisions of $51,561 and $75,728 for the three month and six month periods ended June 30, 2018, respectively, and $51,600 and $91,367 for the three month and six month periods ended June 30, 2017, respectively, representing effective tax rates of 25.8%, 19.6%,</w:t>
      </w:r>
    </w:p>
    <w:p>
      <w:pPr>
        <w:spacing w:after="0" w:line="253" w:lineRule="auto"/>
        <w:rPr>
          <w:sz w:val="20"/>
          <w:szCs w:val="20"/>
          <w:color w:val="auto"/>
        </w:rPr>
      </w:pPr>
      <w:r>
        <w:rPr>
          <w:rFonts w:ascii="Arial" w:cs="Arial" w:eastAsia="Arial" w:hAnsi="Arial"/>
          <w:sz w:val="18"/>
          <w:szCs w:val="18"/>
          <w:color w:val="auto"/>
        </w:rPr>
        <w:t>29.9% and 28.3%, respectively. The difference between the U.S. federal statutory rate of 21.0% and 35.0% for 2018 and 2017, respectively, and the effective tax rates reflected above principally relates to (i) taxes payable to foreign jurisdictions that are not offset against U.S. income taxes, (ii) foreign source income (loss) not subject to U.S. income taxes (including interest on intercompany financings), (iii) change in the U.S. federal valuation allowance affecting the provision for income taxes, (iv) excess net tax benefit for share-based incentive compensation, and (v) U.S. state and local taxes, which are incremental to the U.S. federal statutory tax rate.</w:t>
      </w:r>
    </w:p>
    <w:p>
      <w:pPr>
        <w:spacing w:after="0" w:line="191"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On January 1, 2017, the Company adopted new accounting guidance on share-based incentive compensation. As a result of the adoption of this new guidance, the Company recognized excess tax benefits of $31,967 and $8,269 from the vesting of share-based incentive compensation in the provision for income taxes in the condensed consolidated statements of operations for the six month periods ended June 30, 2018 and 2017, respectively. The Company also recorded deferred tax assets of $81,544, net of a valuation allowance of $12,090, as of January 1, 2017, for previously unrecognized excess tax benefits (including tax benefits from dividends or dividend equivalents) on share-based incentive compensation, with an offsetting adjustment to retained earnings.</w:t>
      </w:r>
    </w:p>
    <w:p>
      <w:pPr>
        <w:spacing w:after="0" w:line="347"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Company’s basic and diluted net income per share calculations for the three month and six month periods ended June 30, 2018 and 2017 are computed as described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w:t>
      </w:r>
    </w:p>
    <w:p>
      <w:pPr>
        <w:spacing w:after="0" w:line="225"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periods, plus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to such shares associated with shares of Class A common stock issuable on a non-contingent basis.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attributable to Lazard Ltd for the respective periods as in the basic net income per share calculation described above.</w:t>
      </w:r>
    </w:p>
    <w:p>
      <w:pPr>
        <w:spacing w:after="0" w:line="248"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periods as in the basic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per share calculation described above, plus, to the extent dilutive, the incremental number of shares of Class A common stock required to settle share-based incentive compensation.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6" w:name="page37"/>
    <w:bookmarkEnd w:id="36"/>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three month and six month periods ended June 30, 2018 and 2017 are presented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50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Lazard Ltd - basic</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146,963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120,378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306,655</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227,931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146,963</w:t>
            </w:r>
          </w:p>
        </w:tc>
        <w:tc>
          <w:tcPr>
            <w:tcW w:w="2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120,378</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306,655</w:t>
            </w:r>
          </w:p>
        </w:tc>
        <w:tc>
          <w:tcPr>
            <w:tcW w:w="26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227,931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number of shares of Class A common</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outstanding</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120,049,627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122,085,842</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119,872,688</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122,308,531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Add - adjustment for shares of Class A common stock</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issuable on a non-contingent basis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256,630</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282,308</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245,494</w:t>
            </w:r>
          </w:p>
        </w:tc>
        <w:tc>
          <w:tcPr>
            <w:tcW w:w="2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283,125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of Class A common</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outstanding - basic</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120,306,257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122,368,150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120,118,182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122,591,656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incremental shares of Class A</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 issuable from share-based</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incentive compensation</w:t>
            </w: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9,942,797</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9,771,466</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11,077,543</w:t>
            </w:r>
          </w:p>
        </w:tc>
        <w:tc>
          <w:tcPr>
            <w:tcW w:w="2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9,822,840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Weighted average number of shares of Class A common stock</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outstanding - diluted</w:t>
            </w: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130,249,054</w:t>
            </w:r>
          </w:p>
        </w:tc>
        <w:tc>
          <w:tcPr>
            <w:tcW w:w="24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132,139,616</w:t>
            </w:r>
          </w:p>
        </w:tc>
        <w:tc>
          <w:tcPr>
            <w:tcW w:w="24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131,195,725</w:t>
            </w:r>
          </w:p>
        </w:tc>
        <w:tc>
          <w:tcPr>
            <w:tcW w:w="26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132,414,496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Lazard Ltd per share of Class</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 common stock:</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6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0.98</w:t>
            </w:r>
          </w:p>
        </w:tc>
        <w:tc>
          <w:tcPr>
            <w:tcW w:w="2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260" w:right="9300" w:hanging="252"/>
        <w:spacing w:after="0" w:line="397" w:lineRule="auto"/>
        <w:tabs>
          <w:tab w:leader="none" w:pos="514" w:val="left"/>
        </w:tabs>
        <w:numPr>
          <w:ilvl w:val="0"/>
          <w:numId w:val="3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RELATED PARTIES Sponsored Funds</w:t>
      </w:r>
    </w:p>
    <w:p>
      <w:pPr>
        <w:spacing w:after="0" w:line="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serves as an investment advisor for certain affiliated investment companies and fund entities and receives management fees and, for the alternative investment funds, performance-based incentive fees for providing such services. Investment advisory fees relating to such services were $170,680 and $351,990 for the three month and six month periods ended June 30, 2018, respectively, and $167,382 and $307,959 for the three month and six month periods ended June 30, 2017, respectively, and are included in “asset management fees” on the condensed consolidated statements of operations. Of such amounts, $84,565 and $69,107 remained as receivables at June 30, 2018 and December 31, 2017, respectively, and are included in “fees receivable” on the condensed consolidated statements of financial condition.</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780" w:firstLine="518"/>
        <w:spacing w:after="0" w:line="291" w:lineRule="auto"/>
        <w:rPr>
          <w:sz w:val="20"/>
          <w:szCs w:val="20"/>
          <w:color w:val="auto"/>
        </w:rPr>
      </w:pPr>
      <w:r>
        <w:rPr>
          <w:rFonts w:ascii="Arial" w:cs="Arial" w:eastAsia="Arial" w:hAnsi="Arial"/>
          <w:sz w:val="16"/>
          <w:szCs w:val="16"/>
          <w:color w:val="auto"/>
        </w:rPr>
        <w:t>The Second Amended and Restated Tax Receivable Agreement, dated as of October 26, 2015 (the “Amended and Restated Tax Receivable Agreement”), between Lazard and LTBP Trust, a Delaware statutory trust (the “Trust”), provides for the payment by our subsidiaries to the Trust of</w:t>
      </w:r>
    </w:p>
    <w:p>
      <w:pPr>
        <w:ind w:right="60" w:firstLine="8"/>
        <w:spacing w:after="0" w:line="252" w:lineRule="auto"/>
        <w:tabs>
          <w:tab w:leader="none" w:pos="2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approximately 45% of the amount of cash savings, if any, in U.S. federal, state and local income tax or franchise tax that we actually realize as a result of certain increases in tax basis and of certain other tax benefits related to the Amended and Restated Tax Receivable Agreement, and (ii) an amount that we currently expect will approximate 85% of the cash tax savings that may arise from tax benefits attributable to payments under the Amended and Restated Tax Receivable Agreement. Our subsidiaries expect to benefit from the balance of cash savings, if any, in income tax that our subsidiaries realize. Any amount paid by our subsidiaries to the Trust will generally be distributed to the owners of the Trust, who include certain of our executive officers, in proportion to their beneficial interests in the Trust.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For purposes of the Amended and Restated Tax Receivable Agreement, cash savings in income and franchise tax will be computed by comparing our subsidiaries’ actual income and franchise tax liability to the amount of such taxes that our subsidiaries would have been required to pay had there been no increase in the tax basis of certain tangible and intangible assets of Lazard Group attributable to our subsidiaries’ interest in Lazard Group and had our subsidiaries not entered into the Amended and Restated Tax Receivable Agreement. The term of the Amended and Restated Tax Receivable Agreement will continue until approximately 2033 or, if earlier, until all relevant tax benefits have been utilized or expired.</w:t>
      </w:r>
    </w:p>
    <w:p>
      <w:pPr>
        <w:spacing w:after="0" w:line="173"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amount of the Amended and Restated Tax Receivable Agreement liability is an undiscounted amount based upon currently enacted tax laws, including the Tax Act, the current structure of the Company and various assumptions regarding potential future operating profitability. The assumptions reflected in the estimate involve significant judgment. For example,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the “provision (benefit) for income taxes”.</w:t>
      </w:r>
    </w:p>
    <w:p>
      <w:pPr>
        <w:spacing w:after="0" w:line="17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As described in Note 15, the Tax Act reduced the U.S. corporate tax rate from 35% to 21%, which required the Company to remeasure the tax receivable agreement obligation. Pursuant to the change in the U.S. corporate tax rate, in 2017, the Company reduced the tax receivable agreement obligation by $202,546. The cumulative liability relating to our obligations under the Amended and Restated Tax Receivable Agreement as of June 30, 2018 and December 31, 2017 was $277,163 and $310,275, respectively, and is recorded in “tax receivable agreement obligation” on the condensed consolidated statements of financial condition. The balance at June 30, 2018 reflects payments made under the Amended and Restated Tax Receivable Agreement in the six months ended June 30, 2018 of $33,112.</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12 for information regarding related party transactions pertaining to shares repurchased from certain of our executive officers.</w:t>
      </w:r>
    </w:p>
    <w:p>
      <w:pPr>
        <w:spacing w:after="0" w:line="212" w:lineRule="exact"/>
        <w:rPr>
          <w:sz w:val="20"/>
          <w:szCs w:val="20"/>
          <w:color w:val="auto"/>
        </w:rPr>
      </w:pPr>
    </w:p>
    <w:p>
      <w:pPr>
        <w:ind w:left="880" w:hanging="872"/>
        <w:spacing w:after="0"/>
        <w:tabs>
          <w:tab w:leader="none" w:pos="88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June 30, 2018, LFNY’s regulatory net capital was $109,681, which exceeded the minimum requirement by $106,644. LFNY’s aggregate indebtedness to net capital ratio was 0.42:1 as of June 30, 2018.</w:t>
      </w:r>
    </w:p>
    <w:p>
      <w:pPr>
        <w:spacing w:after="0" w:line="193"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June 30, 2018, the aggregate regulatory net capital of the U.K. Subsidiaries was $166,717, which exceeded the minimum requirement by $148,324.</w:t>
      </w:r>
    </w:p>
    <w:p>
      <w:pPr>
        <w:spacing w:after="0" w:line="18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June 30, 2018, the consolidated regulatory net capital of CFLF was $130,702, which exceeded the minimum requirement set for regulatory capital levels by $76,071.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March 31, 2018, the regulatory net capital of the combined European regulated group was $176,098,</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8" w:name="page39"/>
    <w:bookmarkEnd w:id="38"/>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which exceeded the minimum requirement set for regulatory capital levels by $63,607.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66"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2018, for those subsidiaries with regulatory capital requirements, their aggregate net capital was $158,343, which exceeded the minimum required capital by $130,629.</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June 30, 2018, each of these subsidiaries individually was in compliance with its regulatory capital requirements.</w:t>
      </w:r>
    </w:p>
    <w:p>
      <w:pPr>
        <w:spacing w:after="0" w:line="225"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Company’s segment information for the three month and six month periods ended June 30, 2018 and 2017 is prepared using the following methodology:</w:t>
      </w:r>
    </w:p>
    <w:p>
      <w:pPr>
        <w:spacing w:after="0" w:line="62" w:lineRule="exact"/>
        <w:rPr>
          <w:sz w:val="20"/>
          <w:szCs w:val="20"/>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900" w:right="46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900" w:right="6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9" w:name="page40"/>
    <w:bookmarkEnd w:id="39"/>
    <w:p>
      <w:pPr>
        <w:ind w:left="5140"/>
        <w:spacing w:after="0"/>
        <w:rPr>
          <w:sz w:val="20"/>
          <w:szCs w:val="20"/>
          <w:color w:val="auto"/>
        </w:rPr>
      </w:pPr>
      <w:r>
        <w:rPr>
          <w:rFonts w:ascii="Arial" w:cs="Arial" w:eastAsia="Arial" w:hAnsi="Arial"/>
          <w:sz w:val="18"/>
          <w:szCs w:val="18"/>
          <w:b w:val="1"/>
          <w:bCs w:val="1"/>
          <w:color w:val="auto"/>
        </w:rPr>
        <w:t>LAZARD LTD</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0" w:lineRule="exact"/>
        <w:rPr>
          <w:sz w:val="20"/>
          <w:szCs w:val="20"/>
          <w:color w:val="auto"/>
        </w:rPr>
      </w:pPr>
    </w:p>
    <w:p>
      <w:pPr>
        <w:spacing w:after="0" w:line="227" w:lineRule="exact"/>
        <w:rPr>
          <w:sz w:val="20"/>
          <w:szCs w:val="20"/>
          <w:color w:val="auto"/>
        </w:rPr>
      </w:pPr>
    </w:p>
    <w:p>
      <w:pPr>
        <w:ind w:right="520" w:firstLine="51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7"/>
          </w:tcPr>
          <w:p>
            <w:pPr>
              <w:ind w:left="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w w:val="96"/>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24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35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15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422,089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410,882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831,210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746,694</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318,177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313,719</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642,873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576,470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103,912</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97,163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188,337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170,224</w:t>
            </w:r>
          </w:p>
        </w:tc>
        <w:tc>
          <w:tcPr>
            <w:tcW w:w="120" w:type="dxa"/>
            <w:vAlign w:val="bottom"/>
            <w:shd w:val="clear" w:color="auto" w:fill="CFF0FC"/>
          </w:tcPr>
          <w:p>
            <w:pPr>
              <w:spacing w:after="0"/>
              <w:rPr>
                <w:sz w:val="19"/>
                <w:szCs w:val="19"/>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352,588</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309,878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706,871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593,241</w:t>
            </w:r>
          </w:p>
        </w:tc>
        <w:tc>
          <w:tcPr>
            <w:tcW w:w="12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229,561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215,901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459,230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404,652</w:t>
            </w:r>
          </w:p>
        </w:tc>
        <w:tc>
          <w:tcPr>
            <w:tcW w:w="120" w:type="dxa"/>
            <w:vAlign w:val="bottom"/>
          </w:tcPr>
          <w:p>
            <w:pPr>
              <w:spacing w:after="0"/>
              <w:rPr>
                <w:sz w:val="20"/>
                <w:szCs w:val="20"/>
                <w:color w:val="auto"/>
              </w:rPr>
            </w:pPr>
          </w:p>
        </w:tc>
      </w:tr>
      <w:tr>
        <w:trPr>
          <w:trHeight w:val="223"/>
        </w:trPr>
        <w:tc>
          <w:tcPr>
            <w:tcW w:w="2460" w:type="dxa"/>
            <w:vAlign w:val="bottom"/>
            <w:tcBorders>
              <w:bottom w:val="single" w:sz="8" w:color="CFF0FC"/>
            </w:tcBorders>
          </w:tcPr>
          <w:p>
            <w:pPr>
              <w:spacing w:after="0"/>
              <w:rPr>
                <w:sz w:val="19"/>
                <w:szCs w:val="19"/>
                <w:color w:val="auto"/>
              </w:rPr>
            </w:pPr>
          </w:p>
        </w:tc>
        <w:tc>
          <w:tcPr>
            <w:tcW w:w="35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123,027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93,977</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247,641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188,589</w:t>
            </w:r>
          </w:p>
        </w:tc>
        <w:tc>
          <w:tcPr>
            <w:tcW w:w="120" w:type="dxa"/>
            <w:vAlign w:val="bottom"/>
            <w:tcBorders>
              <w:bottom w:val="single" w:sz="8" w:color="CFF0FC"/>
            </w:tcBorders>
          </w:tcPr>
          <w:p>
            <w:pPr>
              <w:spacing w:after="0"/>
              <w:rPr>
                <w:sz w:val="19"/>
                <w:szCs w:val="19"/>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3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(3,580)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(25,445)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10,260</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15,059</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24,765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36,824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(26,999)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(18,639)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(50,210)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(36,115)</w:t>
            </w:r>
          </w:p>
        </w:tc>
        <w:tc>
          <w:tcPr>
            <w:tcW w:w="120" w:type="dxa"/>
            <w:vAlign w:val="bottom"/>
            <w:shd w:val="clear" w:color="auto" w:fill="CFF0FC"/>
          </w:tcPr>
          <w:p>
            <w:pPr>
              <w:spacing w:after="0"/>
              <w:rPr>
                <w:sz w:val="19"/>
                <w:szCs w:val="19"/>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757,938</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717,180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1,512,636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1,340,644</w:t>
            </w:r>
          </w:p>
        </w:tc>
        <w:tc>
          <w:tcPr>
            <w:tcW w:w="12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557,998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544,679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1,126,868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1,017,946</w:t>
            </w:r>
          </w:p>
        </w:tc>
        <w:tc>
          <w:tcPr>
            <w:tcW w:w="120" w:type="dxa"/>
            <w:vAlign w:val="bottom"/>
          </w:tcPr>
          <w:p>
            <w:pPr>
              <w:spacing w:after="0"/>
              <w:rPr>
                <w:sz w:val="20"/>
                <w:szCs w:val="20"/>
                <w:color w:val="auto"/>
              </w:rPr>
            </w:pPr>
          </w:p>
        </w:tc>
      </w:tr>
      <w:tr>
        <w:trPr>
          <w:trHeight w:val="223"/>
        </w:trPr>
        <w:tc>
          <w:tcPr>
            <w:tcW w:w="2460" w:type="dxa"/>
            <w:vAlign w:val="bottom"/>
          </w:tcPr>
          <w:p>
            <w:pPr>
              <w:spacing w:after="0"/>
              <w:rPr>
                <w:sz w:val="19"/>
                <w:szCs w:val="19"/>
                <w:color w:val="auto"/>
              </w:rPr>
            </w:pPr>
          </w:p>
        </w:tc>
        <w:tc>
          <w:tcPr>
            <w:tcW w:w="354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199,940</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172,501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385,768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322,698</w:t>
            </w:r>
          </w:p>
        </w:tc>
        <w:tc>
          <w:tcPr>
            <w:tcW w:w="120" w:type="dxa"/>
            <w:vAlign w:val="bottom"/>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24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June 30, 2018</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131"/>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120" w:type="dxa"/>
            <w:vAlign w:val="bottom"/>
            <w:tcBorders>
              <w:bottom w:val="single" w:sz="8" w:color="CFF0FC"/>
            </w:tcBorders>
          </w:tcPr>
          <w:p>
            <w:pPr>
              <w:spacing w:after="0"/>
              <w:rPr>
                <w:sz w:val="13"/>
                <w:szCs w:val="13"/>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Financial Advisory</w:t>
            </w:r>
          </w:p>
        </w:tc>
        <w:tc>
          <w:tcPr>
            <w:tcW w:w="1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877,678</w:t>
            </w: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843,142</w:t>
            </w:r>
          </w:p>
        </w:tc>
        <w:tc>
          <w:tcPr>
            <w:tcW w:w="120" w:type="dxa"/>
            <w:vAlign w:val="bottom"/>
          </w:tcPr>
          <w:p>
            <w:pPr>
              <w:spacing w:after="0"/>
              <w:rPr>
                <w:sz w:val="19"/>
                <w:szCs w:val="19"/>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 Management</w:t>
            </w:r>
          </w:p>
        </w:tc>
        <w:tc>
          <w:tcPr>
            <w:tcW w:w="14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709,833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756,398</w:t>
            </w:r>
          </w:p>
        </w:tc>
        <w:tc>
          <w:tcPr>
            <w:tcW w:w="120" w:type="dxa"/>
            <w:vAlign w:val="bottom"/>
            <w:shd w:val="clear" w:color="auto" w:fill="CFF0FC"/>
          </w:tcPr>
          <w:p>
            <w:pPr>
              <w:spacing w:after="0"/>
              <w:rPr>
                <w:sz w:val="19"/>
                <w:szCs w:val="19"/>
                <w:color w:val="auto"/>
              </w:rPr>
            </w:pPr>
          </w:p>
        </w:tc>
      </w:tr>
      <w:tr>
        <w:trPr>
          <w:trHeight w:val="230"/>
        </w:trPr>
        <w:tc>
          <w:tcPr>
            <w:tcW w:w="24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CFF0FC"/>
            </w:tcBorders>
          </w:tcPr>
          <w:p>
            <w:pPr>
              <w:spacing w:after="0"/>
              <w:rPr>
                <w:sz w:val="19"/>
                <w:szCs w:val="19"/>
                <w:color w:val="auto"/>
              </w:rPr>
            </w:pPr>
          </w:p>
        </w:tc>
        <w:tc>
          <w:tcPr>
            <w:tcW w:w="34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3,040,481</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3,329,137</w:t>
            </w:r>
          </w:p>
        </w:tc>
        <w:tc>
          <w:tcPr>
            <w:tcW w:w="120" w:type="dxa"/>
            <w:vAlign w:val="bottom"/>
            <w:tcBorders>
              <w:bottom w:val="single" w:sz="8" w:color="CFF0FC"/>
            </w:tcBorders>
          </w:tcPr>
          <w:p>
            <w:pPr>
              <w:spacing w:after="0"/>
              <w:rPr>
                <w:sz w:val="19"/>
                <w:szCs w:val="19"/>
                <w:color w:val="auto"/>
              </w:rPr>
            </w:pPr>
          </w:p>
        </w:tc>
      </w:tr>
      <w:tr>
        <w:trPr>
          <w:trHeight w:val="223"/>
        </w:trPr>
        <w:tc>
          <w:tcPr>
            <w:tcW w:w="24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4"/>
              </w:rPr>
              <w:t>4,627,992</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4,928,677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2017 (the “Form 10-K”). All references to “2018,” “2017,” “second quarter,” “first half” or “the period” refer to, as the context requires, the three month and six month periods ended June 30, 2018 and June 30,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9" w:lineRule="exact"/>
        <w:rPr>
          <w:sz w:val="20"/>
          <w:szCs w:val="20"/>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117" w:lineRule="exact"/>
        <w:rPr>
          <w:rFonts w:ascii="Arial" w:cs="Arial" w:eastAsia="Arial" w:hAnsi="Arial"/>
          <w:sz w:val="18"/>
          <w:szCs w:val="18"/>
          <w:color w:val="auto"/>
        </w:rPr>
      </w:pPr>
    </w:p>
    <w:p>
      <w:pPr>
        <w:ind w:left="900" w:right="22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goals, including ratios of compensation and benefits expense to operating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ability to deploy surplus cash through dividends, share repurchases and debt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ability to offset stockholder dilution through share repurchases;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1" w:name="page42"/>
    <w:bookmarkEnd w:id="41"/>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900" w:right="60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restructuring and other financial advisory activity, the market for asset management activity and other macroeconomic and industry trends;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impact of new or future legislation and regulation, including tax laws and regulations, on our business.</w:t>
      </w:r>
    </w:p>
    <w:p>
      <w:pPr>
        <w:spacing w:after="0" w:line="22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our Asset Management business. Investors can link to Lazard Ltd, Lazard Group and their operating company websites through </w:t>
      </w:r>
      <w:r>
        <w:rPr>
          <w:rFonts w:ascii="Arial" w:cs="Arial" w:eastAsia="Arial" w:hAnsi="Arial"/>
          <w:sz w:val="17"/>
          <w:szCs w:val="17"/>
          <w:i w:val="1"/>
          <w:iCs w:val="1"/>
          <w:color w:val="auto"/>
        </w:rPr>
        <w:t>http://www.lazard.com</w:t>
      </w:r>
      <w:r>
        <w:rPr>
          <w:rFonts w:ascii="Arial" w:cs="Arial" w:eastAsia="Arial" w:hAnsi="Arial"/>
          <w:sz w:val="17"/>
          <w:szCs w:val="17"/>
          <w:color w:val="auto"/>
        </w:rPr>
        <w:t>. Our websites and social media sites and the information contained therein or connected thereto shall not be deemed to be incorporated into this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900" w:hanging="379"/>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capital advisory, capital raising, restructurings, shareholder advisory, sovereign advisory and other strategic advisory, and</w:t>
      </w:r>
    </w:p>
    <w:p>
      <w:pPr>
        <w:spacing w:after="0" w:line="73" w:lineRule="exact"/>
        <w:rPr>
          <w:rFonts w:ascii="Arial" w:cs="Arial" w:eastAsia="Arial" w:hAnsi="Arial"/>
          <w:sz w:val="18"/>
          <w:szCs w:val="18"/>
          <w:color w:val="auto"/>
        </w:rPr>
      </w:pPr>
    </w:p>
    <w:p>
      <w:pPr>
        <w:ind w:left="900" w:right="160" w:hanging="379"/>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2" w:name="page43"/>
    <w:bookmarkEnd w:id="42"/>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7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(ii) a fund targeting significant noncontrolling-stake investments in established private companies and (iii) until the second quarter of 2017, a mezzanine fund (the “Mezzanine Fund”), which invests in mezzanine debt of a diversified selection of small- to mid-cap European companies. We sold our interest in the Mezzanine Fund in May 2017.We also make investments to seed our Asset Management strategies.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Equity market indices for developed markets and emerging markets at June 30, 2018 generally increased as compared to such indices at June 30, 2017. Emerging markets equity indices at June 30, 2018 generally decreased as compared to such indices at December 31, 2017. In the global M&amp;A markets during the first half of 2018, the value of all completed M&amp;A transactions increased as compared to the same period in the prior year, as did the subset of such transactions involving values greater than $500 million, while the number of all such transactions decreased during the first half of 2018 as compared to the same period in the prior year. During the same time, the value of all announced M&amp;A transactions, including the subset of such transactions involving values greater than $500 million, increased. During the first half of 2018, global restructuring activity, as measured by the number of corporate defaults, decreased as compared to the first half of 2017.</w:t>
      </w:r>
    </w:p>
    <w:p>
      <w:pPr>
        <w:spacing w:after="0" w:line="189"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On an ongoing basis, regional, macroeconomic and geopolitical factors, including trade policy and regional tax and regulatory reform, may impact our business. Overall, the global macroeconomic outlook for the near- to mid-term appears supportive for both of our businesses. The U.S. economy remains healthy, and the environment in Europe has improved. Corporate cash balances remain high, and borrowing costs remain low for companies with strong credit ratings. Although market volatility may affect our business from time to time, the longer-term trends appear to remain favorable for both of our businesses.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900" w:right="140" w:hanging="379"/>
        <w:spacing w:after="0" w:line="293"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Advisory</w:t>
      </w:r>
      <w:r>
        <w:rPr>
          <w:rFonts w:ascii="Arial" w:cs="Arial" w:eastAsia="Arial" w:hAnsi="Arial"/>
          <w:sz w:val="16"/>
          <w:szCs w:val="16"/>
          <w:color w:val="auto"/>
        </w:rPr>
        <w:t>—The fundamentals for continued M&amp;A activity appear to remain in place, and we believe our Financial Advisory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in a strong competitive position. Demand continues for expert, independent strategic advice that can be levered across geographies and our range of advisory capabilities. The global scale and breadth of our Financial Advisory business allows us to advise on large, complex cross-border transactions and restructuring transactions across a variety of industries. In addition, we believe our businesses throughout the emerging markets position us for growth in these markets, while enhancing our relationships with, and the services that we can provide to, clients in other economies. We continue to invest for growth in our Financial Advisory business and to hire talented senior professionals selectively.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ind w:left="900" w:right="40" w:hanging="379"/>
        <w:spacing w:after="0" w:line="270"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Asset Management</w:t>
      </w:r>
      <w:r>
        <w:rPr>
          <w:rFonts w:ascii="Arial" w:cs="Arial" w:eastAsia="Arial" w:hAnsi="Arial"/>
          <w:sz w:val="17"/>
          <w:szCs w:val="17"/>
          <w:color w:val="auto"/>
        </w:rPr>
        <w:t>—In the short to intermediate term, we expect most investor demand will come from defined benefit and defined contribution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slowly expand. Given our diversified investment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and assessing potential product acquisitions or other inorganic growth opportunities. Recent examples of growth initiatives include the following investment strategies: various Quantitative Equity strategies, various Multi-Asset strategies, a Real Assets strategy, an International Value strategy, a Global Equity Franchise strategy, and a Market Neutral Quantitative Equity strategy.</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shareholder returns, the evaluation of potential growth opportunities, the investment in new technology to support the development of existing and new business opportunities, the prudent management of our costs and expenses, the efficient use of our assets and the return of capital to our shareholders.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320" w:firstLine="518"/>
        <w:spacing w:after="0" w:line="279" w:lineRule="auto"/>
        <w:rPr>
          <w:sz w:val="20"/>
          <w:szCs w:val="20"/>
          <w:color w:val="auto"/>
        </w:rPr>
      </w:pPr>
      <w:r>
        <w:rPr>
          <w:rFonts w:ascii="Arial" w:cs="Arial" w:eastAsia="Arial" w:hAnsi="Arial"/>
          <w:sz w:val="17"/>
          <w:szCs w:val="17"/>
          <w:color w:val="auto"/>
        </w:rPr>
        <w:t>As reflected in the following table, which sets forth global M&amp;A industry statistics, the value of all completed transactions, including completed transactions with values greater than $500 million, increased in the first half of 2018 as compared to 2017, while the number of all such transactions decreased in the first half of 2018 as compared to 2017. With respect to announced M&amp;A transactions, the value of all transactions, including the value of announced transactions involving values greater than $500 million, increased in the first half of 2018 as compared to 2017.</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1"/>
                <w:szCs w:val="11"/>
                <w:color w:val="auto"/>
              </w:rPr>
            </w:pPr>
          </w:p>
        </w:tc>
        <w:tc>
          <w:tcPr>
            <w:tcW w:w="78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89"/>
              </w:rPr>
              <w:t>2017</w:t>
            </w:r>
          </w:p>
        </w:tc>
        <w:tc>
          <w:tcPr>
            <w:tcW w:w="90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1"/>
                <w:szCs w:val="11"/>
                <w:color w:val="auto"/>
              </w:rPr>
            </w:pPr>
          </w:p>
        </w:tc>
        <w:tc>
          <w:tcPr>
            <w:tcW w:w="860" w:type="dxa"/>
            <w:vAlign w:val="bottom"/>
            <w:vMerge w:val="restart"/>
          </w:tcPr>
          <w:p>
            <w:pPr>
              <w:jc w:val="center"/>
              <w:ind w:right="214"/>
              <w:spacing w:after="0"/>
              <w:rPr>
                <w:sz w:val="20"/>
                <w:szCs w:val="20"/>
                <w:color w:val="auto"/>
              </w:rPr>
            </w:pPr>
            <w:r>
              <w:rPr>
                <w:rFonts w:ascii="Arial" w:cs="Arial" w:eastAsia="Arial" w:hAnsi="Arial"/>
                <w:sz w:val="14"/>
                <w:szCs w:val="14"/>
                <w:b w:val="1"/>
                <w:bCs w:val="1"/>
                <w:color w:val="auto"/>
                <w:w w:val="89"/>
              </w:rPr>
              <w:t>2017</w:t>
            </w:r>
          </w:p>
        </w:tc>
        <w:tc>
          <w:tcPr>
            <w:tcW w:w="82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Incr / (Decr)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 in billions)</w:t>
            </w:r>
          </w:p>
        </w:tc>
        <w:tc>
          <w:tcPr>
            <w:tcW w:w="5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1,010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938</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1,820</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7,713</w:t>
            </w:r>
          </w:p>
        </w:tc>
        <w:tc>
          <w:tcPr>
            <w:tcW w:w="22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10,151</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16,847</w:t>
            </w:r>
          </w:p>
        </w:tc>
        <w:tc>
          <w:tcPr>
            <w:tcW w:w="300" w:type="dxa"/>
            <w:vAlign w:val="bottom"/>
          </w:tcPr>
          <w:p>
            <w:pPr>
              <w:spacing w:after="0"/>
              <w:rPr>
                <w:sz w:val="19"/>
                <w:szCs w:val="19"/>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20,505</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832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714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1,527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1,370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283</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596</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1,345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825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1,586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8,276</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10,224</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17,646</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20,509</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1,135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598</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1,141</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313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712</w:t>
            </w:r>
          </w:p>
        </w:tc>
        <w:tc>
          <w:tcPr>
            <w:tcW w:w="300" w:type="dxa"/>
            <w:vAlign w:val="bottom"/>
          </w:tcPr>
          <w:p>
            <w:pPr>
              <w:spacing w:after="0"/>
              <w:rPr>
                <w:sz w:val="20"/>
                <w:szCs w:val="20"/>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579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59690</wp:posOffset>
            </wp:positionV>
            <wp:extent cx="12090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Source: Dealogic as of July 6,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4" w:name="page45"/>
    <w:bookmarkEnd w:id="44"/>
    <w:p>
      <w:pPr>
        <w:jc w:val="both"/>
        <w:ind w:right="140" w:firstLine="518"/>
        <w:spacing w:after="0" w:line="264" w:lineRule="auto"/>
        <w:rPr>
          <w:sz w:val="20"/>
          <w:szCs w:val="20"/>
          <w:color w:val="auto"/>
        </w:rPr>
      </w:pPr>
      <w:r>
        <w:rPr>
          <w:rFonts w:ascii="Arial" w:cs="Arial" w:eastAsia="Arial" w:hAnsi="Arial"/>
          <w:sz w:val="18"/>
          <w:szCs w:val="18"/>
          <w:color w:val="auto"/>
        </w:rPr>
        <w:t>Global restructuring activity during the first half of 2018, as measured by the number of corporate defaults, decreased as compared to the first half of 2017. The number of defaulting issuers decreased to 46 in the first half of 2018, according to Moody’s Investors Service, Inc., as compared to 50 in the first half of 2017.</w:t>
      </w:r>
    </w:p>
    <w:p>
      <w:pPr>
        <w:spacing w:after="0" w:line="18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Beginning in the first quarter of 2018, we ceased separately reporting Restructuring revenue within our Financial Advisory segment, because our Financial Advisory practices have become highly integrated, and our assignments with clients often incorporate several disciplines. We believe that presenting unified Financial Advisory revenue is a more accurate representation of our Financial Advisory business.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percentage change in major equity market indices at June 30, 2018, as compared to such indices at March 31, 2018, December 31, 2017, and at June 30, 2017, is shown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Percentage Changes</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0"/>
              </w:rPr>
              <w:t>June 30, 2018 vs.</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840" w:type="dxa"/>
            <w:vAlign w:val="bottom"/>
          </w:tcPr>
          <w:p>
            <w:pPr>
              <w:jc w:val="center"/>
              <w:ind w:left="88"/>
              <w:spacing w:after="0" w:line="133" w:lineRule="exact"/>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12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8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(8)%</w:t>
            </w:r>
          </w:p>
        </w:tc>
        <w:tc>
          <w:tcPr>
            <w:tcW w:w="15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241"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ind w:right="40"/>
        <w:spacing w:after="0" w:line="254" w:lineRule="auto"/>
        <w:rPr>
          <w:sz w:val="20"/>
          <w:szCs w:val="20"/>
          <w:color w:val="auto"/>
        </w:rPr>
      </w:pPr>
      <w:r>
        <w:rPr>
          <w:rFonts w:ascii="Arial" w:cs="Arial" w:eastAsia="Arial" w:hAnsi="Arial"/>
          <w:sz w:val="18"/>
          <w:szCs w:val="18"/>
          <w:color w:val="auto"/>
        </w:rPr>
        <w:t>Movements in AUM during the period generally reflect the changes in equity market indices. Our AUM at June 30, 2018 decreased 5% versus AUM at December 31, 2017, primarily due to foreign exchange depreciation, market depreciation and net outflows. Average AUM for the second quarter of 2018 was 10% higher than the average AUM for the second quarter of 2017. Average AUM for the first half of 2018 increased 17% as compared to the first half of 2017.</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60" w:firstLine="518"/>
        <w:spacing w:after="0" w:line="289"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6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ind w:right="120"/>
        <w:spacing w:after="0" w:line="270" w:lineRule="auto"/>
        <w:rPr>
          <w:sz w:val="20"/>
          <w:szCs w:val="20"/>
          <w:color w:val="auto"/>
        </w:rPr>
      </w:pPr>
      <w:r>
        <w:rPr>
          <w:rFonts w:ascii="Arial" w:cs="Arial" w:eastAsia="Arial" w:hAnsi="Arial"/>
          <w:sz w:val="17"/>
          <w:szCs w:val="17"/>
          <w:color w:val="auto"/>
        </w:rPr>
        <w:t>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7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and principal investments in private equity funds,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Although Corporate segment net revenue during 2018 is not significant compared to Lazard’s net revenue, total assets in the Corporate segment represented 66% of Lazard’s consolidated total assets as of June 30, 2018, which are attributable to cash and cash equivalents, investments in debt and equity securities, interests in alternative investment, debt, equity and private equity funds, deferred tax assets and certain assets associated with LFB.</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80" w:firstLine="518"/>
        <w:spacing w:after="0" w:line="271" w:lineRule="auto"/>
        <w:rPr>
          <w:sz w:val="20"/>
          <w:szCs w:val="20"/>
          <w:color w:val="auto"/>
        </w:rPr>
      </w:pPr>
      <w:r>
        <w:rPr>
          <w:rFonts w:ascii="Arial" w:cs="Arial" w:eastAsia="Arial" w:hAnsi="Arial"/>
          <w:sz w:val="17"/>
          <w:szCs w:val="17"/>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2018 Incentive Compensation Plan (the “2018 Plan”) and the Lazard Ltd 2008 Incentive Compensation Plan (the “2008 Plan”), and (b) LFI and other similar deferred compensation arrangements (see Note 13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7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We believe that “awarded compensation and benefits expense” and the ratio of “awarded compensation and benefits expense” to “operating revenue,” both non-GAAP measures, are the most appropriate measures to assess the annual cost of compensation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ind w:right="500"/>
        <w:spacing w:after="0" w:line="264" w:lineRule="auto"/>
        <w:rPr>
          <w:sz w:val="20"/>
          <w:szCs w:val="20"/>
          <w:color w:val="auto"/>
        </w:rPr>
      </w:pPr>
      <w:r>
        <w:rPr>
          <w:rFonts w:ascii="Arial" w:cs="Arial" w:eastAsia="Arial" w:hAnsi="Arial"/>
          <w:sz w:val="18"/>
          <w:szCs w:val="18"/>
          <w:color w:val="auto"/>
        </w:rPr>
        <w:t>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73" w:lineRule="exact"/>
        <w:rPr>
          <w:sz w:val="20"/>
          <w:szCs w:val="20"/>
          <w:color w:val="auto"/>
        </w:rPr>
      </w:pPr>
    </w:p>
    <w:p>
      <w:pPr>
        <w:ind w:left="900" w:right="40" w:hanging="379"/>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420" w:right="220" w:hanging="386"/>
        <w:spacing w:after="0" w:line="264" w:lineRule="auto"/>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deferred incentive compensation awards granted in 2018 related to the 2017 year-end compensation process), including Performance-based restricted stock unit (“PRSU”) awards (based on the target payout level);</w:t>
      </w:r>
    </w:p>
    <w:p>
      <w:pPr>
        <w:spacing w:after="0" w:line="73" w:lineRule="exact"/>
        <w:rPr>
          <w:rFonts w:ascii="Arial" w:cs="Arial" w:eastAsia="Arial" w:hAnsi="Arial"/>
          <w:sz w:val="18"/>
          <w:szCs w:val="18"/>
          <w:color w:val="auto"/>
        </w:rPr>
      </w:pPr>
    </w:p>
    <w:p>
      <w:pPr>
        <w:ind w:left="1420" w:right="400" w:hanging="386"/>
        <w:spacing w:after="0" w:line="277" w:lineRule="auto"/>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420" w:hanging="386"/>
        <w:spacing w:after="0"/>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which compares to 55.6% and 55.8%, respectively, for the year ended December 31, 2017.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82"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w:t>
      </w:r>
    </w:p>
    <w:p>
      <w:pPr>
        <w:spacing w:after="0" w:line="171"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(benefits) costs” which includes the change in fair value of the contingent consideration associated with business acquisitions.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Lazard Ltd, through its subsidiaries, is subject to U.S. federal income taxes on all of its U.S. operating income, as well as on the portion of non-U.S. income attributable to its U.S. subsidiaries. In addition, Lazard Ltd,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15 of Notes to Condensed Consolidated Financial Statements for additional information).</w:t>
      </w:r>
    </w:p>
    <w:p>
      <w:pPr>
        <w:spacing w:after="0" w:line="17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On December 22, 2017, the Tax Cuts and Jobs Act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 The Tax Act further includes anti-base erosion provisions such as the base erosion and anti-abuse tax and tax on global intangible low-taxed income. The reduced corporate tax rate required us to remeasure our deferred tax assets and liabilities, and tax receivable agreement obligation.</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47" w:name="page48"/>
    <w:bookmarkEnd w:id="47"/>
    <w:p>
      <w:pPr>
        <w:ind w:right="540" w:firstLine="518"/>
        <w:spacing w:after="0" w:line="264" w:lineRule="auto"/>
        <w:rPr>
          <w:sz w:val="20"/>
          <w:szCs w:val="20"/>
          <w:color w:val="auto"/>
        </w:rPr>
      </w:pPr>
      <w:r>
        <w:rPr>
          <w:rFonts w:ascii="Arial" w:cs="Arial" w:eastAsia="Arial" w:hAnsi="Arial"/>
          <w:sz w:val="18"/>
          <w:szCs w:val="18"/>
          <w:color w:val="auto"/>
        </w:rPr>
        <w:t>See “Critical Accounting Policies and Estimates—Income Taxes” below and Notes 15 and 17 of Notes to Condensed Consolidated Financial Statements for additional information regarding income taxes, the impact of the Tax Act on us, our deferred tax assets and the tax receivable agreement obligation.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12 of Notes to Condensed Consolidated Financial Statements for information regarding the Company’s noncontrolling interests.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in the condensed consolidated statements of operations.</w:t>
      </w:r>
    </w:p>
    <w:p>
      <w:pPr>
        <w:spacing w:after="0" w:line="16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Net revenue for the three month and six month periods ended June 30, 2018 was positively impacted by exchange rate movements in comparison to the relevant prior year period. The majority of the impact to net revenue was offset by the impact of the exchange rate movements on our operating expenses during the periods denominated in currencies other than the U.S. Dollar.</w:t>
      </w:r>
    </w:p>
    <w:p>
      <w:pPr>
        <w:spacing w:after="0" w:line="187" w:lineRule="exact"/>
        <w:rPr>
          <w:sz w:val="20"/>
          <w:szCs w:val="20"/>
          <w:color w:val="auto"/>
        </w:rPr>
      </w:pPr>
    </w:p>
    <w:p>
      <w:pPr>
        <w:ind w:right="400" w:firstLine="471"/>
        <w:spacing w:after="0" w:line="264" w:lineRule="auto"/>
        <w:rPr>
          <w:sz w:val="20"/>
          <w:szCs w:val="20"/>
          <w:color w:val="auto"/>
        </w:rPr>
      </w:pPr>
      <w:r>
        <w:rPr>
          <w:rFonts w:ascii="Arial" w:cs="Arial" w:eastAsia="Arial" w:hAnsi="Arial"/>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757,938</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717,180</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1,512,636</w:t>
            </w:r>
          </w:p>
        </w:tc>
        <w:tc>
          <w:tcPr>
            <w:tcW w:w="2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1,340,644</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416,159</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414,612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821,206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776,413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150,322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128,810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313,279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236,702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(8,483)</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(7,617)</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4,831</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557,998</w:t>
            </w:r>
          </w:p>
        </w:tc>
        <w:tc>
          <w:tcPr>
            <w:tcW w:w="3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544,679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1,126,868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1,017,946</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199,940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385,768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322,698</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51,561</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91,367</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148,379</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120,901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310,040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231,331</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146,963</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120,378</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306,655</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227,931</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40" w:type="dxa"/>
            <w:vAlign w:val="bottom"/>
          </w:tcPr>
          <w:p>
            <w:pPr>
              <w:spacing w:after="0"/>
              <w:rPr>
                <w:sz w:val="24"/>
                <w:szCs w:val="24"/>
                <w:color w:val="auto"/>
              </w:rPr>
            </w:pPr>
          </w:p>
        </w:tc>
        <w:tc>
          <w:tcPr>
            <w:tcW w:w="940" w:type="dxa"/>
            <w:vAlign w:val="bottom"/>
            <w:gridSpan w:val="2"/>
          </w:tcPr>
          <w:p>
            <w:pPr>
              <w:jc w:val="right"/>
              <w:ind w:right="105"/>
              <w:spacing w:after="0"/>
              <w:rPr>
                <w:sz w:val="20"/>
                <w:szCs w:val="20"/>
                <w:color w:val="auto"/>
              </w:rPr>
            </w:pPr>
            <w:r>
              <w:rPr>
                <w:rFonts w:ascii="Arial" w:cs="Arial" w:eastAsia="Arial" w:hAnsi="Arial"/>
                <w:sz w:val="18"/>
                <w:szCs w:val="18"/>
                <w:color w:val="auto"/>
              </w:rPr>
              <w:t>46</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8" w:name="page49"/>
    <w:bookmarkEnd w:id="48"/>
    <w:p>
      <w:pPr>
        <w:jc w:val="both"/>
        <w:ind w:right="240" w:firstLine="518"/>
        <w:spacing w:after="0" w:line="312"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757,938</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717,180</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1,512,636</w:t>
            </w:r>
          </w:p>
        </w:tc>
        <w:tc>
          <w:tcPr>
            <w:tcW w:w="26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1,340,644</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12,605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11,832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25,137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25,097</w:t>
            </w:r>
          </w:p>
        </w:tc>
        <w:tc>
          <w:tcPr>
            <w:tcW w:w="100" w:type="dxa"/>
            <w:vAlign w:val="bottom"/>
          </w:tcPr>
          <w:p>
            <w:pPr>
              <w:spacing w:after="0"/>
              <w:rPr>
                <w:sz w:val="19"/>
                <w:szCs w:val="19"/>
                <w:color w:val="auto"/>
              </w:rPr>
            </w:pPr>
          </w:p>
        </w:tc>
      </w:tr>
      <w:tr>
        <w:trPr>
          <w:trHeight w:val="215"/>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 bad debt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expense (b)</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(24,718)</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(64,232)</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Revenue related to noncontrolling interests (c)</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(5,622)</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(3,098)</w:t>
            </w:r>
          </w:p>
        </w:tc>
        <w:tc>
          <w:tcPr>
            <w:tcW w:w="4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(10,839)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(8,040)</w:t>
            </w:r>
          </w:p>
        </w:tc>
      </w:tr>
      <w:tr>
        <w:trPr>
          <w:trHeight w:val="230"/>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(Gains) losses on investments pertaining to LFI (d)</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(5,753)</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(13,106)</w:t>
            </w: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740,702</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720,161</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1,464,637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1,344,595</w:t>
            </w:r>
          </w:p>
        </w:tc>
        <w:tc>
          <w:tcPr>
            <w:tcW w:w="100" w:type="dxa"/>
            <w:vAlign w:val="bottom"/>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ind w:left="380" w:right="40" w:hanging="372"/>
        <w:spacing w:after="0" w:line="250"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380" w:right="80" w:hanging="372"/>
        <w:spacing w:after="0" w:line="265"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380" w:right="220" w:hanging="372"/>
        <w:spacing w:after="0" w:line="250"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380" w:right="460" w:hanging="372"/>
        <w:spacing w:after="0" w:line="261"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416,159</w:t>
            </w:r>
          </w:p>
        </w:tc>
        <w:tc>
          <w:tcPr>
            <w:tcW w:w="2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414,612</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821,206</w:t>
            </w:r>
          </w:p>
        </w:tc>
        <w:tc>
          <w:tcPr>
            <w:tcW w:w="240" w:type="dxa"/>
            <w:vAlign w:val="bottom"/>
          </w:tcPr>
          <w:p>
            <w:pPr>
              <w:spacing w:after="0"/>
              <w:rPr>
                <w:sz w:val="19"/>
                <w:szCs w:val="19"/>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776,413</w:t>
            </w:r>
          </w:p>
        </w:tc>
        <w:tc>
          <w:tcPr>
            <w:tcW w:w="180" w:type="dxa"/>
            <w:vAlign w:val="bottom"/>
          </w:tcPr>
          <w:p>
            <w:pPr>
              <w:spacing w:after="0"/>
              <w:rPr>
                <w:sz w:val="19"/>
                <w:szCs w:val="19"/>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(5,873)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(3,611)</w:t>
            </w: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(5,753)</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(13,106)</w:t>
            </w:r>
          </w:p>
        </w:tc>
      </w:tr>
      <w:tr>
        <w:trPr>
          <w:trHeight w:val="26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413,312</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406,891</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817,268</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759,696</w:t>
            </w:r>
          </w:p>
        </w:tc>
        <w:tc>
          <w:tcPr>
            <w:tcW w:w="180" w:type="dxa"/>
            <w:vAlign w:val="bottom"/>
            <w:tcBorders>
              <w:bottom w:val="single" w:sz="8" w:color="CFF0FC"/>
            </w:tcBorders>
          </w:tcPr>
          <w:p>
            <w:pPr>
              <w:spacing w:after="0"/>
              <w:rPr>
                <w:sz w:val="22"/>
                <w:szCs w:val="22"/>
                <w:color w:val="auto"/>
              </w:rPr>
            </w:pPr>
          </w:p>
        </w:tc>
      </w:tr>
      <w:tr>
        <w:trPr>
          <w:trHeight w:val="196"/>
        </w:trPr>
        <w:tc>
          <w:tcPr>
            <w:tcW w:w="572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Adjusted compensation and benefits expense, as a % of operating</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0"/>
        </w:trPr>
        <w:tc>
          <w:tcPr>
            <w:tcW w:w="5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56.5%</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r>
    </w:tbl>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150,322</w:t>
            </w:r>
          </w:p>
        </w:tc>
        <w:tc>
          <w:tcPr>
            <w:tcW w:w="3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128,810</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313,279</w:t>
            </w:r>
          </w:p>
        </w:tc>
        <w:tc>
          <w:tcPr>
            <w:tcW w:w="240" w:type="dxa"/>
            <w:vAlign w:val="bottom"/>
          </w:tcPr>
          <w:p>
            <w:pPr>
              <w:spacing w:after="0"/>
              <w:rPr>
                <w:sz w:val="19"/>
                <w:szCs w:val="19"/>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236,702</w:t>
            </w:r>
          </w:p>
        </w:tc>
        <w:tc>
          <w:tcPr>
            <w:tcW w:w="180" w:type="dxa"/>
            <w:vAlign w:val="bottom"/>
          </w:tcPr>
          <w:p>
            <w:pPr>
              <w:spacing w:after="0"/>
              <w:rPr>
                <w:sz w:val="19"/>
                <w:szCs w:val="19"/>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ERP system implementation (a)</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(5,404)</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(8,861)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(12,830)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(8,861)</w:t>
            </w:r>
          </w:p>
        </w:tc>
      </w:tr>
      <w:tr>
        <w:trPr>
          <w:trHeight w:val="230"/>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related to office space reorganization (b)</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(1,036)</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(3,161)</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(2,425)</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(3,161)</w:t>
            </w:r>
          </w:p>
        </w:tc>
      </w:tr>
      <w:tr>
        <w:trPr>
          <w:trHeight w:val="215"/>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Distribution fees, reimbursable deal costs and bad debt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260" w:type="dxa"/>
            <w:vAlign w:val="bottom"/>
            <w:gridSpan w:val="2"/>
          </w:tcPr>
          <w:p>
            <w:pPr>
              <w:ind w:left="380"/>
              <w:spacing w:after="0"/>
              <w:rPr>
                <w:sz w:val="20"/>
                <w:szCs w:val="20"/>
                <w:color w:val="auto"/>
              </w:rPr>
            </w:pPr>
            <w:r>
              <w:rPr>
                <w:rFonts w:ascii="Arial" w:cs="Arial" w:eastAsia="Arial" w:hAnsi="Arial"/>
                <w:sz w:val="18"/>
                <w:szCs w:val="18"/>
                <w:color w:val="auto"/>
              </w:rPr>
              <w:t>expense (c)</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(24,718)</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(64,232)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r>
      <w:tr>
        <w:trPr>
          <w:trHeight w:val="230"/>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Noncontrolling interests (d)</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(683)</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(1,230)</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(1,099)</w:t>
            </w:r>
          </w:p>
        </w:tc>
      </w:tr>
      <w:tr>
        <w:trPr>
          <w:trHeight w:val="263"/>
        </w:trPr>
        <w:tc>
          <w:tcPr>
            <w:tcW w:w="5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non-compensation expense</w:t>
            </w:r>
          </w:p>
        </w:tc>
        <w:tc>
          <w:tcPr>
            <w:tcW w:w="4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118,481</w:t>
            </w:r>
          </w:p>
        </w:tc>
        <w:tc>
          <w:tcPr>
            <w:tcW w:w="3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116,111</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232,562</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223,581</w:t>
            </w:r>
          </w:p>
        </w:tc>
        <w:tc>
          <w:tcPr>
            <w:tcW w:w="180" w:type="dxa"/>
            <w:vAlign w:val="bottom"/>
            <w:tcBorders>
              <w:bottom w:val="single" w:sz="8" w:color="CFF0FC"/>
            </w:tcBorders>
          </w:tcPr>
          <w:p>
            <w:pPr>
              <w:spacing w:after="0"/>
              <w:rPr>
                <w:sz w:val="22"/>
                <w:szCs w:val="22"/>
                <w:color w:val="auto"/>
              </w:rPr>
            </w:pPr>
          </w:p>
        </w:tc>
      </w:tr>
      <w:tr>
        <w:trPr>
          <w:trHeight w:val="21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8"/>
              </w:rPr>
              <w:t>Adjusted non-compensation expense, as a % of operating revenue</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16.6%</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3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26"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incremental rent expense and lease abandonment costs related to office space reorganization.</w:t>
      </w:r>
    </w:p>
    <w:p>
      <w:pPr>
        <w:spacing w:after="0" w:line="9" w:lineRule="exact"/>
        <w:rPr>
          <w:rFonts w:ascii="Arial" w:cs="Arial" w:eastAsia="Arial" w:hAnsi="Arial"/>
          <w:sz w:val="18"/>
          <w:szCs w:val="18"/>
          <w:color w:val="auto"/>
        </w:rPr>
      </w:pPr>
    </w:p>
    <w:p>
      <w:pPr>
        <w:ind w:left="380" w:right="100" w:hanging="372"/>
        <w:spacing w:after="0" w:line="265"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380" w:hanging="372"/>
        <w:spacing w:after="0"/>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the Company has no economic interest in such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9"/>
          </w:tcPr>
          <w:p>
            <w:pPr>
              <w:jc w:val="right"/>
              <w:ind w:right="102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revenue</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740,702</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720,161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1,464,637</w:t>
            </w:r>
          </w:p>
        </w:tc>
        <w:tc>
          <w:tcPr>
            <w:tcW w:w="20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1,344,595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(413,312)</w:t>
            </w:r>
          </w:p>
        </w:tc>
        <w:tc>
          <w:tcPr>
            <w:tcW w:w="10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(406,891)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(817,268)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(759,696)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(118,481)</w:t>
            </w:r>
          </w:p>
        </w:tc>
        <w:tc>
          <w:tcPr>
            <w:tcW w:w="100" w:type="dxa"/>
            <w:vAlign w:val="bottom"/>
            <w:shd w:val="clear" w:color="auto" w:fill="CFF0FC"/>
          </w:tcPr>
          <w:p>
            <w:pPr>
              <w:spacing w:after="0"/>
              <w:rPr>
                <w:sz w:val="19"/>
                <w:szCs w:val="19"/>
                <w:color w:val="auto"/>
              </w:rPr>
            </w:pPr>
          </w:p>
        </w:tc>
        <w:tc>
          <w:tcPr>
            <w:tcW w:w="128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(116,111)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(232,562)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(223,581)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9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208,909</w:t>
            </w:r>
          </w:p>
        </w:tc>
        <w:tc>
          <w:tcPr>
            <w:tcW w:w="3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197,159</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414,807</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361,318</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8"/>
                <w:szCs w:val="18"/>
                <w:color w:val="auto"/>
              </w:rPr>
              <w:t>Headcount information is set forth below:</w:t>
            </w:r>
          </w:p>
        </w:tc>
        <w:tc>
          <w:tcPr>
            <w:tcW w:w="9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5"/>
          </w:tcPr>
          <w:p>
            <w:pPr>
              <w:jc w:val="right"/>
              <w:ind w:right="860"/>
              <w:spacing w:after="0" w:line="133" w:lineRule="exact"/>
              <w:rPr>
                <w:sz w:val="20"/>
                <w:szCs w:val="20"/>
                <w:color w:val="auto"/>
              </w:rPr>
            </w:pPr>
            <w:r>
              <w:rPr>
                <w:rFonts w:ascii="Arial" w:cs="Arial" w:eastAsia="Arial" w:hAnsi="Arial"/>
                <w:sz w:val="14"/>
                <w:szCs w:val="14"/>
                <w:b w:val="1"/>
                <w:bCs w:val="1"/>
                <w:color w:val="auto"/>
                <w:w w:val="89"/>
              </w:rPr>
              <w:t>June 30,</w:t>
            </w:r>
          </w:p>
        </w:tc>
        <w:tc>
          <w:tcPr>
            <w:tcW w:w="1420" w:type="dxa"/>
            <w:vAlign w:val="bottom"/>
            <w:gridSpan w:val="5"/>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8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Managing Directors: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Asset Management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Employees: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Business segment professionals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 other professionals and support staff</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48</w:t>
            </w: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8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180" w:firstLine="518"/>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versus June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reported net income attributable to Lazard Ltd of $147 million, as compared to net income of $120 million in the 2017 period.</w:t>
      </w:r>
    </w:p>
    <w:p>
      <w:pPr>
        <w:spacing w:after="0" w:line="23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Net revenue increased $41 million, or 6%, with operating revenue increasing $21 million, or 3%, as compared to the 2017 period. Net revenue in the 2018 period reflects the adoption of new revenue recognition guidance (see Note 2 of Notes to Condensed Consolidated Financial Statements). Fee revenue from investment banking and other advisory activities increased $11 million, or 3%, as compared to the 2017 period. Asset management fees, including incentive fees, increased $42 million, or 14%, as compared to the 2017 period, primarily due to an increase in average AUM, as well as the impact of the new revenue recognition guidance discussed above. In the aggregate, interest income, other revenue and interest expense decreased $12 million, or 95%, as compared to the 2017 period, primarily due to lower income attributable to investments held in connection with LFI.</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Compensation and benefits expense increased $2 million as compared to the 2017 period.</w:t>
      </w:r>
    </w:p>
    <w:p>
      <w:pPr>
        <w:spacing w:after="0" w:line="225"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$413 million, an increase of 6 million, or 2%, as compared to $407 million in the 2017 period. The ratio of adjusted compensation and benefits expense to operating revenue was 55.8% for the 2018 period, as compared to 56.5% for the 2017 period and 55.8% for full-year 2017.</w:t>
      </w:r>
    </w:p>
    <w:p>
      <w:pPr>
        <w:spacing w:after="0" w:line="14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Non-compensation expense increased $22 million, or 17%, as compared to the 2017 period, primarily due to the impact of the new revenue recognition guidance discussed above, expenses associated with the ERP system implementation and expenses related to office space reorganization. Adjusted non-compensation expense, which excludes non-compensation costs related to the impact of the new revenue recognition guidance, ERP system implementation, office space reorganization and noncontrolling interests, increased $2 million, or 2%, as compared to the 2017 period. The ratio of adjusted non-compensation expense to operating revenue was 16.0% for the 2018 period, as compared to 16.1% for the 2017 period.</w:t>
      </w:r>
    </w:p>
    <w:p>
      <w:pPr>
        <w:spacing w:after="0" w:line="15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Amortization and other acquisition-related (benefits) costs reflects a benefit of $8 million in the 2018 period, as compared to costs of $1 million in the 2017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increased $27 million, or 16%, as compared to the 2017 period.</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Earnings from operations increased $12 million, or 6%, as compared to the 2017 period, and, as a percentage of operating revenue, was 28.2%, as compared to 27.4% in the 2017 period.</w:t>
      </w:r>
    </w:p>
    <w:p>
      <w:pPr>
        <w:spacing w:after="0" w:line="17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provision for income taxes reflects an effective tax rate of 25.8%, as compared to 29.9% for the 2017 period. The decrease in the effective tax rate is primarily due to (i) an increase in excess net tax benefits related to share-based incentive compensation, and (ii) the impact of various provisions under the Tax Act primarily related to the reduction in the U.S. federal corporate tax rate from 35% to 21%.</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increase $1 million as compared to the 2017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versus June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reported net income attributable to Lazard Ltd of $307 million, as compared to net income of $228 million in the 2017 period.</w:t>
      </w:r>
    </w:p>
    <w:p>
      <w:pPr>
        <w:spacing w:after="0" w:line="23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Net revenue increased $172 million, or 13%, with operating revenue increasing $120 million, or 9%, as compared to the 2017 period. Net revenue in the 2018 period reflects the adoption of new revenue recognition guidance (see Note 2 of Notes to Condensed Consolidated Financial Statements). Fee revenue from investment banking and other advisory activities increased $85 million, or 11%, as compared to the 2017 period, primarily due to an increase in M&amp;A Advisory revenue, partially offset by a decrease in Restructuring revenue. Asset management fees, including incentive fees, increased $107 million, or 19%, as compared to the 2017</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51" w:name="page52"/>
    <w:bookmarkEnd w:id="51"/>
    <w:p>
      <w:pPr>
        <w:ind w:right="540"/>
        <w:spacing w:after="0" w:line="264" w:lineRule="auto"/>
        <w:rPr>
          <w:sz w:val="20"/>
          <w:szCs w:val="20"/>
          <w:color w:val="auto"/>
        </w:rPr>
      </w:pPr>
      <w:r>
        <w:rPr>
          <w:rFonts w:ascii="Arial" w:cs="Arial" w:eastAsia="Arial" w:hAnsi="Arial"/>
          <w:sz w:val="18"/>
          <w:szCs w:val="18"/>
          <w:color w:val="auto"/>
        </w:rPr>
        <w:t>period, primarily due to an increase in average AUM, as well as the impact of the new revenue recognition guidance discussed above. In the aggregate, interest income, other revenue and interest expense decreased $20 million, or 70%, as compared to the 2017 period, primarily due to lower income attributable to investments held in connection with LFI.</w:t>
      </w:r>
    </w:p>
    <w:p>
      <w:pPr>
        <w:spacing w:after="0" w:line="18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Compensation and benefits expense increased $45 million, or 6%, as compared to the 2017 period, primarily associated with increased operating revenue.</w:t>
      </w:r>
    </w:p>
    <w:p>
      <w:pPr>
        <w:spacing w:after="0" w:line="170"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$817 million, an increase of $57 million, or 8%, as compared to $760 million in the 2017 period. The ratio of adjusted compensation and benefits expense to operating revenue was 55.8% for the 2018 period, as compared to 56.5% for the 2017 period and 55.8% for full-year 2017.</w:t>
      </w:r>
    </w:p>
    <w:p>
      <w:pPr>
        <w:spacing w:after="0" w:line="147"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Non-compensation expense increased $77 million, or 32%, as compared to the 2017 period, primarily due to the impact of the new revenue recognition guidance discussed above, expenses associated with the ERP system implementation and expenses related to office space reorganization. Adjusted non-compensation expense, which excludes non-compensation costs related to the impact of the new revenue recognition guidance, ERP system implementation, office space reorganization and noncontrolling interests, increased $9 million, or 4%, as compared to the 2017 period. The ratio of adjusted non-compensation expense to operating revenue was 15.9% for the 2018 period, as compared to 16.6% in the 2017 period.</w:t>
      </w:r>
    </w:p>
    <w:p>
      <w:pPr>
        <w:spacing w:after="0" w:line="158"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Amortization and other acquisition-related (benefits) costs reflects a benefit of $8 million in the 2018 period, as compared to costs of $5 million in the 2017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increased $63 million, or 20%, as compared to the 2017 period.</w:t>
      </w:r>
    </w:p>
    <w:p>
      <w:pPr>
        <w:spacing w:after="0" w:line="225"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Earnings from operations increased $53 million, or 15%, as compared to the 2017 period, and, as a percentage of operating revenue, was 28.3%, as compared to 26.9% in the 2017 period.</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provision for income taxes reflects an effective tax rate of 19.6%, as compared to 28.3% for the 2017 period. The decrease in the effective tax rate is primarily due to (i) an increase in excess net tax benefits related to share-based incentive compensation and (ii) the impact of various provisions under the Tax Act primarily related to the reduction in the U.S. federal corporate tax rate from 35% to 21%.</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the 2017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40" w:firstLine="51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40" w:firstLine="8"/>
        <w:spacing w:after="0" w:line="271" w:lineRule="auto"/>
        <w:tabs>
          <w:tab w:leader="none" w:pos="265"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422,089</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410,882</w:t>
            </w:r>
          </w:p>
        </w:tc>
        <w:tc>
          <w:tcPr>
            <w:tcW w:w="2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831,210</w:t>
            </w:r>
          </w:p>
        </w:tc>
        <w:tc>
          <w:tcPr>
            <w:tcW w:w="24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746,694</w:t>
            </w: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318,177</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313,719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642,873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576,470</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103,912</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97,163</w:t>
            </w:r>
          </w:p>
        </w:tc>
        <w:tc>
          <w:tcPr>
            <w:tcW w:w="2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188,337</w:t>
            </w:r>
          </w:p>
        </w:tc>
        <w:tc>
          <w:tcPr>
            <w:tcW w:w="2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170,224</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4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170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2" w:name="page53"/>
    <w:bookmarkEnd w:id="52"/>
    <w:p>
      <w:pPr>
        <w:ind w:left="520"/>
        <w:spacing w:after="0"/>
        <w:rPr>
          <w:sz w:val="20"/>
          <w:szCs w:val="20"/>
          <w:color w:val="auto"/>
        </w:rPr>
      </w:pPr>
      <w:r>
        <w:rPr>
          <w:rFonts w:ascii="Arial" w:cs="Arial" w:eastAsia="Arial" w:hAnsi="Arial"/>
          <w:sz w:val="18"/>
          <w:szCs w:val="18"/>
          <w:color w:val="auto"/>
        </w:rPr>
        <w:t>Certain Lazard fee and transaction statistics for the Financial Advisory segment are set forth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6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3"/>
          </w:tcPr>
          <w:p>
            <w:pPr>
              <w:jc w:val="center"/>
              <w:ind w:left="639"/>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82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rPr>
              <w:t>2018</w:t>
            </w:r>
          </w:p>
        </w:tc>
        <w:tc>
          <w:tcPr>
            <w:tcW w:w="144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3"/>
                <w:szCs w:val="13"/>
                <w:color w:val="auto"/>
              </w:rPr>
            </w:pPr>
          </w:p>
        </w:tc>
      </w:tr>
      <w:tr>
        <w:trPr>
          <w:trHeight w:val="223"/>
        </w:trPr>
        <w:tc>
          <w:tcPr>
            <w:tcW w:w="5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8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600" w:type="dxa"/>
            <w:vAlign w:val="bottom"/>
            <w:gridSpan w:val="3"/>
          </w:tcPr>
          <w:p>
            <w:pPr>
              <w:spacing w:after="0"/>
              <w:rPr>
                <w:sz w:val="20"/>
                <w:szCs w:val="20"/>
                <w:color w:val="auto"/>
              </w:rPr>
            </w:pPr>
            <w:r>
              <w:rPr>
                <w:rFonts w:ascii="Arial" w:cs="Arial" w:eastAsia="Arial" w:hAnsi="Arial"/>
                <w:sz w:val="18"/>
                <w:szCs w:val="18"/>
                <w:color w:val="auto"/>
              </w:rPr>
              <w:t>Number of clients with fees greater than $1 million:</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6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Financial Advisory</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79"/>
              </w:rPr>
              <w:t>88</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84</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FF0FC"/>
          </w:tcPr>
          <w:p>
            <w:pPr>
              <w:spacing w:after="0"/>
              <w:rPr>
                <w:sz w:val="19"/>
                <w:szCs w:val="19"/>
                <w:color w:val="auto"/>
              </w:rPr>
            </w:pPr>
          </w:p>
        </w:tc>
      </w:tr>
      <w:tr>
        <w:trPr>
          <w:trHeight w:val="215"/>
        </w:trPr>
        <w:tc>
          <w:tcPr>
            <w:tcW w:w="6600" w:type="dxa"/>
            <w:vAlign w:val="bottom"/>
            <w:gridSpan w:val="3"/>
          </w:tcPr>
          <w:p>
            <w:pPr>
              <w:spacing w:after="0"/>
              <w:rPr>
                <w:sz w:val="20"/>
                <w:szCs w:val="20"/>
                <w:color w:val="auto"/>
              </w:rPr>
            </w:pPr>
            <w:r>
              <w:rPr>
                <w:rFonts w:ascii="Arial" w:cs="Arial" w:eastAsia="Arial" w:hAnsi="Arial"/>
                <w:sz w:val="18"/>
                <w:szCs w:val="18"/>
                <w:color w:val="auto"/>
              </w:rPr>
              <w:t>Percentage of total Financial Advisory net revenue from top 10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600" w:type="dxa"/>
            <w:vAlign w:val="bottom"/>
            <w:gridSpan w:val="3"/>
          </w:tcPr>
          <w:p>
            <w:pPr>
              <w:ind w:left="140"/>
              <w:spacing w:after="0"/>
              <w:rPr>
                <w:sz w:val="20"/>
                <w:szCs w:val="20"/>
                <w:color w:val="auto"/>
              </w:rPr>
            </w:pPr>
            <w:r>
              <w:rPr>
                <w:rFonts w:ascii="Arial" w:cs="Arial" w:eastAsia="Arial" w:hAnsi="Arial"/>
                <w:sz w:val="18"/>
                <w:szCs w:val="18"/>
                <w:color w:val="auto"/>
              </w:rPr>
              <w:t>clients</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33%</w:t>
            </w:r>
          </w:p>
        </w:tc>
        <w:tc>
          <w:tcPr>
            <w:tcW w:w="820" w:type="dxa"/>
            <w:vAlign w:val="bottom"/>
          </w:tcPr>
          <w:p>
            <w:pPr>
              <w:spacing w:after="0"/>
              <w:rPr>
                <w:sz w:val="20"/>
                <w:szCs w:val="20"/>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43%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5"/>
        </w:trPr>
        <w:tc>
          <w:tcPr>
            <w:tcW w:w="6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Number of M&amp;A transactions completed with values greater than</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66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$500 million (a)</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79"/>
              </w:rPr>
              <w:t>19</w:t>
            </w: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23</w:t>
            </w: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20"/>
                <w:szCs w:val="20"/>
                <w:color w:val="auto"/>
              </w:rPr>
            </w:pPr>
          </w:p>
        </w:tc>
      </w:tr>
      <w:tr>
        <w:trPr>
          <w:trHeight w:val="95"/>
        </w:trPr>
        <w:tc>
          <w:tcPr>
            <w:tcW w:w="192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July 6, 2018.</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Germany, Italy and Spain) and the Asia Pacific region (primarily in Australia) and therefore may not be reflective of the geography in which the clients are located.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68"/>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7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EMEA</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versus June 30, 2017</w:t>
      </w:r>
    </w:p>
    <w:p>
      <w:pPr>
        <w:spacing w:after="0" w:line="117"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Financial Advisory net revenue increased $11 million, or 3%, as compared to the 2017 period. Clients which in the aggregate represented a significant portion of our Financial Advisory revenue in the 2018 period included Altice, AccorHotels, Bacardi, Breitburn Energy Partners, Community Health Systems, Dover, Sanofi, Takata, Unibail-Rodamco and Wilson Therapeutics.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expenses increased $4 million, or 1%, as compared to the 2017 period.</w:t>
      </w:r>
    </w:p>
    <w:p>
      <w:pPr>
        <w:spacing w:after="0" w:line="22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Financial Advisory operating income was $104 million, an increase of $7 million, or 7%, as compared to operating income of $97 million in the 2017 period and, as a percentage of net revenue, was 24.6%, as compared to 23.6% in the 2017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versus June 30, 2017</w:t>
      </w:r>
    </w:p>
    <w:p>
      <w:pPr>
        <w:spacing w:after="0" w:line="11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Financial Advisory net revenue increased $85 million, or 11%, as compared to the 2017 period. The increase in Financial Advisory revenue was primarily a result of an increase in the number of fees greater than $1 million, as compared to the 2017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3" w:name="page54"/>
    <w:bookmarkEnd w:id="53"/>
    <w:p>
      <w:pPr>
        <w:ind w:right="420" w:firstLine="518"/>
        <w:spacing w:after="0" w:line="277" w:lineRule="auto"/>
        <w:rPr>
          <w:sz w:val="20"/>
          <w:szCs w:val="20"/>
          <w:color w:val="auto"/>
        </w:rPr>
      </w:pPr>
      <w:r>
        <w:rPr>
          <w:rFonts w:ascii="Arial" w:cs="Arial" w:eastAsia="Arial" w:hAnsi="Arial"/>
          <w:sz w:val="18"/>
          <w:szCs w:val="18"/>
          <w:color w:val="auto"/>
        </w:rPr>
        <w:t>Operating expenses increased $66 million, or 12%, as compared to the 2017 period, primarily due to an increase in compensation associated with increased operating revenue.</w:t>
      </w:r>
    </w:p>
    <w:p>
      <w:pPr>
        <w:spacing w:after="0" w:line="17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Financial Advisory operating income was $188 million, an increase of $18 million, or 11%, as compared to operating income of $170 million in the 2017 period and, as a percentage of net revenue, was 22.7%, as compared to 22.8% in the 2017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454"/>
              <w:spacing w:after="0" w:line="13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33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47,207</w:t>
            </w:r>
          </w:p>
        </w:tc>
        <w:tc>
          <w:tcPr>
            <w:tcW w:w="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43,932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43,663</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40,688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67,014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70,696</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198,841</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4,155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4,109</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34,065</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35,080</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2,764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2,846</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237,876</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20" w:firstLine="518"/>
        <w:spacing w:after="0" w:line="312" w:lineRule="auto"/>
        <w:rPr>
          <w:sz w:val="20"/>
          <w:szCs w:val="20"/>
          <w:color w:val="auto"/>
        </w:rPr>
      </w:pPr>
      <w:r>
        <w:rPr>
          <w:rFonts w:ascii="Arial" w:cs="Arial" w:eastAsia="Arial" w:hAnsi="Arial"/>
          <w:sz w:val="16"/>
          <w:szCs w:val="16"/>
          <w:color w:val="auto"/>
        </w:rPr>
        <w:t>Total AUM at June 30, 2018 was $238 billion, a decrease of $11 billion, or 5%, as compared to total AUM of $249 billion at December 31, 2017, primarily due to foreign exchange depreciation, market depreciation and net outflows. Average AUM for the three month and six month periods ended June 30, 2018 increased 10% and 17%, respectively, as compared to the three month and six month periods ended June 30, 2017, respectively.</w:t>
      </w:r>
    </w:p>
    <w:p>
      <w:pPr>
        <w:spacing w:after="0" w:line="14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 of June 30, 2018, approximately 88% of our AUM was managed on behalf of institutional clients, including corporations, labor unions, public pension funds, insurance companies and banks, and through sub-advisory relationships, mutual fund sponsors, broker-dealers and registered advisors, and approximately 12% of our AUM was managed on behalf of individual client relationships, which are principally with family offices and individuals, and was unchanged from the corresponding percentages at December 31, 2017.</w:t>
      </w:r>
    </w:p>
    <w:p>
      <w:pPr>
        <w:spacing w:after="0" w:line="187"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As of June 30, 2018, AUM with foreign currency exposure represented approximately 72% of our total AUM as compared to 74% at December 31, 2017.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ind w:left="520"/>
        <w:spacing w:after="0"/>
        <w:rPr>
          <w:sz w:val="20"/>
          <w:szCs w:val="20"/>
          <w:color w:val="auto"/>
        </w:rPr>
      </w:pPr>
      <w:r>
        <w:rPr>
          <w:rFonts w:ascii="Arial" w:cs="Arial" w:eastAsia="Arial" w:hAnsi="Arial"/>
          <w:sz w:val="17"/>
          <w:szCs w:val="17"/>
          <w:color w:val="auto"/>
        </w:rPr>
        <w:t>The following is a summary of changes in AUM by asset class for the three month and six month periods ended June 30, 2018 and 2017:</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June 30, 2018</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210,077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(10,399)</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(3,617)</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1"/>
              </w:rPr>
              <w:t>(1,102)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(6,517)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(1,577)</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251,680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(1,826)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380" w:right="300" w:hanging="372"/>
        <w:spacing w:after="0" w:line="264"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Multi-Regional, Global and Emerging Markets platforms, and inflows in the Fixed Income asset class were primarily attributable to the Global and Emerging Markets platforms. Outflows in the Equity and Fixed Income asset classes were primarily attributable to the Multi-Regional, Global and Emerging Markets platforms.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Six Months Ended June 30, 2018</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(20,453)</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(2,745)</w:t>
            </w:r>
          </w:p>
        </w:tc>
        <w:tc>
          <w:tcPr>
            <w:tcW w:w="48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8"/>
              </w:rPr>
              <w:t>(3,302)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(4,470)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(1,078)</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22,068</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(4,624)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300" w:hanging="372"/>
        <w:spacing w:after="0" w:line="259"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Emerging Markets and Multi-Regional platforms, and inflows in the Fixed Income asset class were primarily attributable to the Emerging Markets and Local platforms. Outflows in the Equity asset class were primarily attributable to the Multi-Regional, Emerging Markets and Global equity platforms, and outflows in the Fixed Income asset class were primarily attributable to the Emerging Markets platform.</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11"/>
          </w:tcPr>
          <w:p>
            <w:pPr>
              <w:jc w:val="center"/>
              <w:ind w:left="295"/>
              <w:spacing w:after="0"/>
              <w:rPr>
                <w:sz w:val="20"/>
                <w:szCs w:val="20"/>
                <w:color w:val="auto"/>
              </w:rPr>
            </w:pPr>
            <w:r>
              <w:rPr>
                <w:rFonts w:ascii="Arial" w:cs="Arial" w:eastAsia="Arial" w:hAnsi="Arial"/>
                <w:sz w:val="14"/>
                <w:szCs w:val="14"/>
                <w:b w:val="1"/>
                <w:bCs w:val="1"/>
                <w:color w:val="auto"/>
                <w:w w:val="93"/>
              </w:rPr>
              <w:t>Three Months Ended June 30, 2017</w:t>
            </w: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7"/>
              </w:rPr>
              <w:t>Market Value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rPr>
              <w:t>Foreign</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Exchange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Beginning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Inflows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6"/>
              </w:rPr>
              <w:t>Outflows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Appreciation/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Balance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Flows</w:t>
            </w:r>
          </w:p>
        </w:tc>
        <w:tc>
          <w:tcPr>
            <w:tcW w:w="11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(Depreciation)</w:t>
            </w:r>
          </w:p>
        </w:tc>
        <w:tc>
          <w:tcPr>
            <w:tcW w:w="120" w:type="dxa"/>
            <w:vAlign w:val="bottom"/>
          </w:tcPr>
          <w:p>
            <w:pPr>
              <w:spacing w:after="0"/>
              <w:rPr>
                <w:sz w:val="14"/>
                <w:szCs w:val="14"/>
                <w:color w:val="auto"/>
              </w:rPr>
            </w:pP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(Depreciation)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 in millions)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178,979</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8,506</w:t>
            </w:r>
          </w:p>
        </w:tc>
        <w:tc>
          <w:tcPr>
            <w:tcW w:w="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(8,440)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6,206</w:t>
            </w:r>
          </w:p>
        </w:tc>
        <w:tc>
          <w:tcPr>
            <w:tcW w:w="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2,840</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Fixed Income</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(1,858)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805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215,178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7,223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3,725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1"/>
          </w:tcPr>
          <w:p>
            <w:pPr>
              <w:jc w:val="center"/>
              <w:ind w:left="315"/>
              <w:spacing w:after="0"/>
              <w:rPr>
                <w:sz w:val="20"/>
                <w:szCs w:val="20"/>
                <w:color w:val="auto"/>
              </w:rPr>
            </w:pPr>
            <w:r>
              <w:rPr>
                <w:rFonts w:ascii="Arial" w:cs="Arial" w:eastAsia="Arial" w:hAnsi="Arial"/>
                <w:sz w:val="14"/>
                <w:szCs w:val="14"/>
                <w:b w:val="1"/>
                <w:bCs w:val="1"/>
                <w:color w:val="auto"/>
                <w:w w:val="92"/>
              </w:rPr>
              <w:t>Six Months Ended June 30, 2017</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AUM</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Beginning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Inflows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6"/>
              </w:rPr>
              <w:t>Outflows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Flows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5"/>
              </w:rPr>
              <w:t>(Depreciation)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 in millions)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162,841</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20,291</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FF0FC"/>
          </w:tcPr>
          <w:p>
            <w:pPr>
              <w:jc w:val="right"/>
              <w:ind w:right="45"/>
              <w:spacing w:after="0"/>
              <w:rPr>
                <w:sz w:val="20"/>
                <w:szCs w:val="20"/>
                <w:color w:val="auto"/>
              </w:rPr>
            </w:pPr>
            <w:r>
              <w:rPr>
                <w:rFonts w:ascii="Arial" w:cs="Arial" w:eastAsia="Arial" w:hAnsi="Arial"/>
                <w:sz w:val="18"/>
                <w:szCs w:val="18"/>
                <w:color w:val="auto"/>
              </w:rPr>
              <w:t>(16,736)</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3"/>
              </w:rPr>
              <w:t>16,429</w:t>
            </w:r>
          </w:p>
        </w:tc>
        <w:tc>
          <w:tcPr>
            <w:tcW w:w="32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5,266</w:t>
            </w:r>
          </w:p>
        </w:tc>
        <w:tc>
          <w:tcPr>
            <w:tcW w:w="4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Fixed Income</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31,155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4"/>
          </w:tcPr>
          <w:p>
            <w:pPr>
              <w:jc w:val="right"/>
              <w:ind w:right="45"/>
              <w:spacing w:after="0"/>
              <w:rPr>
                <w:sz w:val="20"/>
                <w:szCs w:val="20"/>
                <w:color w:val="auto"/>
              </w:rPr>
            </w:pPr>
            <w:r>
              <w:rPr>
                <w:rFonts w:ascii="Arial" w:cs="Arial" w:eastAsia="Arial" w:hAnsi="Arial"/>
                <w:sz w:val="18"/>
                <w:szCs w:val="18"/>
                <w:color w:val="auto"/>
              </w:rPr>
              <w:t>(3,688)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3,914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ind w:right="45"/>
              <w:spacing w:after="0"/>
              <w:rPr>
                <w:sz w:val="20"/>
                <w:szCs w:val="20"/>
                <w:color w:val="auto"/>
              </w:rPr>
            </w:pPr>
            <w:r>
              <w:rPr>
                <w:rFonts w:ascii="Arial" w:cs="Arial" w:eastAsia="Arial" w:hAnsi="Arial"/>
                <w:sz w:val="18"/>
                <w:szCs w:val="18"/>
                <w:color w:val="auto"/>
              </w:rPr>
              <w:t>(523)</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197,910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23,885</w:t>
            </w:r>
          </w:p>
        </w:tc>
        <w:tc>
          <w:tcPr>
            <w:tcW w:w="22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(20,947</w:t>
            </w:r>
          </w:p>
        </w:tc>
        <w:tc>
          <w:tcPr>
            <w:tcW w:w="180" w:type="dxa"/>
            <w:vAlign w:val="bottom"/>
            <w:gridSpan w:val="2"/>
          </w:tcPr>
          <w:p>
            <w:pPr>
              <w:jc w:val="right"/>
              <w:ind w:right="45"/>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3"/>
              </w:rPr>
              <w:t>18,353</w:t>
            </w:r>
          </w:p>
        </w:tc>
        <w:tc>
          <w:tcPr>
            <w:tcW w:w="2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 of July 20, 2018, AUM was $241.4 billion, a $3.5 billion increase since June 30, 2018. The increase in AUM was due to market appreciation of $3.1 billion and net inflows of $0.5 billion, partially offset by foreign exchange depreciation of $0.1 billion.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right="340" w:firstLine="518"/>
        <w:spacing w:after="0" w:line="277" w:lineRule="auto"/>
        <w:rPr>
          <w:sz w:val="20"/>
          <w:szCs w:val="20"/>
          <w:color w:val="auto"/>
        </w:rPr>
      </w:pPr>
      <w:r>
        <w:rPr>
          <w:rFonts w:ascii="Arial" w:cs="Arial" w:eastAsia="Arial" w:hAnsi="Arial"/>
          <w:sz w:val="18"/>
          <w:szCs w:val="18"/>
          <w:color w:val="auto"/>
        </w:rPr>
        <w:t>Average AUM for the three month and six month periods ended June 30, 2018 and 2017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205,221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184,864</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209,777</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177,953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34,975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32,188</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245,127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222,208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250,614</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20"/>
                <w:szCs w:val="20"/>
                <w:color w:val="auto"/>
              </w:rPr>
            </w:pPr>
          </w:p>
        </w:tc>
      </w:t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352,588</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309,878</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706,871</w:t>
            </w:r>
          </w:p>
        </w:tc>
        <w:tc>
          <w:tcPr>
            <w:tcW w:w="2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593,241</w:t>
            </w:r>
          </w:p>
        </w:tc>
        <w:tc>
          <w:tcPr>
            <w:tcW w:w="180" w:type="dxa"/>
            <w:vAlign w:val="bottom"/>
            <w:shd w:val="clear" w:color="auto" w:fill="CFF0FC"/>
          </w:tcPr>
          <w:p>
            <w:pPr>
              <w:spacing w:after="0"/>
              <w:rPr>
                <w:sz w:val="19"/>
                <w:szCs w:val="19"/>
                <w:color w:val="auto"/>
              </w:rPr>
            </w:pPr>
          </w:p>
        </w:tc>
      </w:tr>
      <w:tr>
        <w:trPr>
          <w:trHeight w:val="24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229,561</w:t>
            </w:r>
          </w:p>
        </w:tc>
        <w:tc>
          <w:tcPr>
            <w:tcW w:w="3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215,901</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459,230</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404,652</w:t>
            </w:r>
          </w:p>
        </w:tc>
        <w:tc>
          <w:tcPr>
            <w:tcW w:w="180" w:type="dxa"/>
            <w:vAlign w:val="bottom"/>
            <w:tcBorders>
              <w:bottom w:val="single" w:sz="8" w:color="CFF0FC"/>
            </w:tcBorders>
          </w:tcPr>
          <w:p>
            <w:pPr>
              <w:spacing w:after="0"/>
              <w:rPr>
                <w:sz w:val="21"/>
                <w:szCs w:val="2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123,027</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93,977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247,641</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188,589</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Operating Income, as a % of net revenue</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68"/>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7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EMEA</w:t>
            </w: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580" w:firstLine="518"/>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versus June 30, 2017</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Asset Management net revenue increased $43 million, or 14%, as compared to the 2017 period. Management fees and other revenue was $341 million, an increase of $48 million, or 16%, as compared to $293 million in the 2017 period, primarily due to an increase in average AUM, as well as the impact of the new revenue recognition guidance discussed above. Incentive fees were $12 million, a decrease of $5 million as compared to $17 million in the 2017 period.</w:t>
      </w:r>
    </w:p>
    <w:p>
      <w:pPr>
        <w:spacing w:after="0" w:line="14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Operating expenses increased $14 million, or 6%, as compared to the 2017 period, primarily due to the impact of the new revenue recognition guidance.</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Asset Management operating income was $123 million, an increase of $29 million, or 31%, as compared to operating income of $94 million in the 2017 period and, as a percentage of net revenue, was 34.9%, as compared to 30.3% in the 2017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Six Months Ended June 30, 2018 versus June 30, 2017</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Asset Management net revenue increased $114 million, or 19%, as compared to the 2017 period. Management fees and other revenue was $689 million, an increase of $120 million, or 21%, as compared to $569 million in the 2017 period, primarily due to an increase in average AUM, as well as the impact of the new revenue recognition guidance discussed above. Incentive fees were $18 million, a decrease of $6 million as compared to $24 million in the 2017 period.</w:t>
      </w:r>
    </w:p>
    <w:p>
      <w:pPr>
        <w:spacing w:after="0" w:line="18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Operating expenses increased $55 million, or 13%, as compared to the 2017 period, primarily due to the impact of the new revenue recognition guidance.</w:t>
      </w:r>
    </w:p>
    <w:p>
      <w:pPr>
        <w:spacing w:after="0" w:line="17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Asset Management operating income was $248 million, an increase of $59 million, or 31%, as compared to operating income of $189 million in the 2017 period and, as a percentage of net revenue, was 35.0%, as compared to 31.8% in the 2017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(12,603)</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(12,058)</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(25,615)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(25,514)</w:t>
            </w: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(10,866)</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(10,878)</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(21,558)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Revenue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(5,873)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7,298</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24,279</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(16,739)</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(3,580)</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15,059</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36,824</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(26,999)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(18,639)</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(50,210)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(36,115)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180" w:firstLine="518"/>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versus June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remained substantially unchanged as compared to the 2017 period.</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Other revenue decreased $13 million as compared to the 2017 period, primarily due to lower income in the 2018 period attributable to investments held in connection with LFI.</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Operating expenses decreased $5 million as compared to the 2017 period, primarily due to a decrease in compensation and benefits expense, including a decrease in charges pertaining to LFI.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versus June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decreased $2 million, or 9%, as compared to the 2017 period.</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Other revenue decreased $28 million as compared to the 2017 period, primarily due to lower income in the 2018 period attributable to investments held in connection with LFI.</w:t>
      </w:r>
    </w:p>
    <w:p>
      <w:pPr>
        <w:spacing w:after="0" w:line="170"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Operating expenses decreased $12 million as compared to the 2017 period, primarily due to a decrease in compensation and benefits expense, including a decrease in charges pertaining to LFI.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shareholders, payments of incentive compensation to managing directors and employees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ind w:right="260"/>
        <w:spacing w:after="0" w:line="286" w:lineRule="auto"/>
        <w:rPr>
          <w:sz w:val="20"/>
          <w:szCs w:val="20"/>
          <w:color w:val="auto"/>
        </w:rPr>
      </w:pPr>
      <w:r>
        <w:rPr>
          <w:rFonts w:ascii="Arial" w:cs="Arial" w:eastAsia="Arial" w:hAnsi="Arial"/>
          <w:sz w:val="17"/>
          <w:szCs w:val="17"/>
          <w:color w:val="auto"/>
        </w:rPr>
        <w:t>purchases of Class A common stock. 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66" w:lineRule="exact"/>
        <w:rPr>
          <w:sz w:val="20"/>
          <w:szCs w:val="20"/>
          <w:color w:val="auto"/>
        </w:rPr>
      </w:pPr>
    </w:p>
    <w:p>
      <w:pPr>
        <w:ind w:right="480" w:firstLine="518"/>
        <w:spacing w:after="0" w:line="308" w:lineRule="auto"/>
        <w:rPr>
          <w:sz w:val="20"/>
          <w:szCs w:val="20"/>
          <w:color w:val="auto"/>
        </w:rPr>
      </w:pPr>
      <w:r>
        <w:rPr>
          <w:rFonts w:ascii="Arial" w:cs="Arial" w:eastAsia="Arial" w:hAnsi="Arial"/>
          <w:sz w:val="17"/>
          <w:szCs w:val="17"/>
          <w:color w:val="auto"/>
        </w:rPr>
        <w:t>The Company makes cash payments for, or in respect of, a significant portion of its incentive compensation during the first three months of each calendar year with respect to the prior year’s results. The Company also paid a special dividend in February 2018 and February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gridSpan w:val="10"/>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40" w:type="dxa"/>
            <w:vAlign w:val="bottom"/>
            <w:gridSpan w:val="8"/>
          </w:tcPr>
          <w:p>
            <w:pPr>
              <w:jc w:val="center"/>
              <w:ind w:right="12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00" w:type="dxa"/>
            <w:vAlign w:val="bottom"/>
          </w:tcPr>
          <w:p>
            <w:pPr>
              <w:spacing w:after="0"/>
              <w:rPr>
                <w:sz w:val="13"/>
                <w:szCs w:val="13"/>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Operating activities: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1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19"/>
                <w:szCs w:val="19"/>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w w:val="95"/>
              </w:rPr>
              <w:t>(501)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(127)</w:t>
            </w:r>
          </w:p>
        </w:tc>
      </w:tr>
      <w:tr>
        <w:trPr>
          <w:trHeight w:val="223"/>
        </w:trPr>
        <w:tc>
          <w:tcPr>
            <w:tcW w:w="6960" w:type="dxa"/>
            <w:vAlign w:val="bottom"/>
            <w:tcBorders>
              <w:bottom w:val="single" w:sz="8" w:color="CFF0FC"/>
            </w:tcBorders>
            <w:gridSpan w:val="3"/>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FF0FC"/>
            </w:tcBorders>
          </w:tcPr>
          <w:p>
            <w:pPr>
              <w:spacing w:after="0"/>
              <w:rPr>
                <w:sz w:val="19"/>
                <w:szCs w:val="19"/>
                <w:color w:val="auto"/>
              </w:rPr>
            </w:pPr>
          </w:p>
        </w:tc>
      </w:tr>
      <w:tr>
        <w:trPr>
          <w:trHeight w:val="223"/>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Financing activities (c)</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(559)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8"/>
                <w:szCs w:val="18"/>
                <w:color w:val="auto"/>
              </w:rPr>
              <w:t>(315)</w:t>
            </w: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19"/>
                <w:szCs w:val="19"/>
                <w:color w:val="auto"/>
              </w:rPr>
            </w:pPr>
          </w:p>
        </w:tc>
      </w:tr>
      <w:tr>
        <w:trPr>
          <w:trHeight w:val="223"/>
        </w:trPr>
        <w:tc>
          <w:tcPr>
            <w:tcW w:w="6960" w:type="dxa"/>
            <w:vAlign w:val="bottom"/>
            <w:gridSpan w:val="3"/>
          </w:tcPr>
          <w:p>
            <w:pPr>
              <w:spacing w:after="0"/>
              <w:rPr>
                <w:sz w:val="20"/>
                <w:szCs w:val="20"/>
                <w:color w:val="auto"/>
              </w:rPr>
            </w:pPr>
            <w:r>
              <w:rPr>
                <w:rFonts w:ascii="Arial" w:cs="Arial" w:eastAsia="Arial" w:hAnsi="Arial"/>
                <w:sz w:val="18"/>
                <w:szCs w:val="18"/>
                <w:b w:val="1"/>
                <w:bCs w:val="1"/>
                <w:color w:val="auto"/>
              </w:rPr>
              <w:t>Net (Decrease) Increase in Cash and Cash Equivalents and Restricted Cash</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0"/>
              </w:rPr>
              <w:t>(572)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and Restricted Cash (d):</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96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2,455</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1,607</w:t>
            </w:r>
          </w:p>
        </w:tc>
        <w:tc>
          <w:tcPr>
            <w:tcW w:w="100" w:type="dxa"/>
            <w:vAlign w:val="bottom"/>
            <w:tcBorders>
              <w:bottom w:val="single" w:sz="8" w:color="CFF0FC"/>
            </w:tcBorders>
          </w:tcPr>
          <w:p>
            <w:pPr>
              <w:spacing w:after="0"/>
              <w:rPr>
                <w:sz w:val="19"/>
                <w:szCs w:val="19"/>
                <w:color w:val="auto"/>
              </w:rPr>
            </w:pPr>
          </w:p>
        </w:tc>
      </w:tr>
      <w:tr>
        <w:trPr>
          <w:trHeight w:val="223"/>
        </w:trPr>
        <w:tc>
          <w:tcPr>
            <w:tcW w:w="696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50"/>
        </w:trPr>
        <w:tc>
          <w:tcPr>
            <w:tcW w:w="6960" w:type="dxa"/>
            <w:vAlign w:val="bottom"/>
            <w:gridSpan w:val="3"/>
          </w:tcPr>
          <w:p>
            <w:pPr>
              <w:spacing w:after="0"/>
              <w:rPr>
                <w:sz w:val="20"/>
                <w:szCs w:val="20"/>
                <w:color w:val="auto"/>
              </w:rPr>
            </w:pPr>
            <w:r>
              <w:rPr>
                <w:rFonts w:ascii="Arial" w:cs="Arial" w:eastAsia="Arial" w:hAnsi="Arial"/>
                <w:sz w:val="18"/>
                <w:szCs w:val="18"/>
                <w:color w:val="auto"/>
              </w:rPr>
              <w:t>(a)  Consists of the following:</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36"/>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6"/>
          </w:tcPr>
          <w:p>
            <w:pPr>
              <w:jc w:val="center"/>
              <w:ind w:left="338"/>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left="518"/>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9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4"/>
          </w:tcPr>
          <w:p>
            <w:pPr>
              <w:jc w:val="center"/>
              <w:ind w:left="518"/>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Amortization of deferred expenses and share-based incentive compensation</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provision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Amortization and other acquisition-related (benefits) costs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23" w:lineRule="exact"/>
        <w:rPr>
          <w:rFonts w:ascii="Arial" w:cs="Arial" w:eastAsia="Arial" w:hAnsi="Arial"/>
          <w:sz w:val="18"/>
          <w:szCs w:val="18"/>
          <w:color w:val="auto"/>
        </w:rPr>
      </w:pPr>
    </w:p>
    <w:p>
      <w:pPr>
        <w:ind w:left="380" w:right="80" w:hanging="372"/>
        <w:spacing w:after="0" w:line="250"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tax withholdings related to the settlement of vested restricted stock units (“RSUs”), vested restricted stock awards and vested PRSUs, Class A common stock dividends, changes in customer deposits and distributions to noncontrolling interest holders.</w:t>
      </w:r>
    </w:p>
    <w:p>
      <w:pPr>
        <w:spacing w:after="0" w:line="1" w:lineRule="exact"/>
        <w:rPr>
          <w:rFonts w:ascii="Arial" w:cs="Arial" w:eastAsia="Arial" w:hAnsi="Arial"/>
          <w:sz w:val="18"/>
          <w:szCs w:val="18"/>
          <w:color w:val="auto"/>
        </w:rPr>
      </w:pPr>
    </w:p>
    <w:p>
      <w:pPr>
        <w:ind w:left="380" w:right="120" w:hanging="372"/>
        <w:spacing w:after="0" w:line="261"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and cash equivalents and restricted cash consists of cash and cash equivalents, deposits with banks and short-term investments and cash deposited with clearing organizations and other segregated cash.</w:t>
      </w:r>
    </w:p>
    <w:p>
      <w:pPr>
        <w:spacing w:after="0" w:line="76"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See Note 2 of Notes to Condensed Consolidated Financial Statements for a discussion of new accounting guidance impacting the Condensed Consolidated Statements of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8" w:name="page59"/>
    <w:bookmarkEnd w:id="58"/>
    <w:p>
      <w:pPr>
        <w:ind w:right="180" w:firstLine="51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7"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first half of 2018, as reflected on the condensed consolidated statements of financial condition, both “deposits with banks and short-term investments” and “deposits and other customer payables” increased as compared to December 31, 2017, due to a higher level of LFB customer-related demand deposits, primarily from clients and funds managed by LFG.</w:t>
      </w:r>
    </w:p>
    <w:p>
      <w:pPr>
        <w:spacing w:after="0" w:line="173"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stockholders’ equity. Foreign currency remeasurement gains and losses on transactions in non-functional currencies are included on the condensed consolidated statements of operations.</w:t>
      </w:r>
    </w:p>
    <w:p>
      <w:pPr>
        <w:spacing w:after="0" w:line="165"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regularly monitor our liquidity position, including cash levels, credit lines, principal investment commitments, interest and principal payments on debt, capital expenditures, dividend payments, purchases of shares of Class A common stock and matters relating to liquidity and to compliance with regulatory net capital requirements. At June 30, 2018, Lazard had approximately $845 million of cash, with such amount including approximately $516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 Although the Tax Act generally requires companies to pay a one-time repatriation tax on previously unremitted foreign earnings of certain non-U.S. corporate subsidiaries, most of the Company’s operations outside the U.S. are conducted in “pass-through” entities for U.S. income tax purposes, and the Company has already provided for U.S. income taxes on their earnings. As a result, the Company expects that no material amount of additional U.S. income taxes would be recognized as a result of the Tax Act’s one-time repatriation tax or otherwise upon the receipt of cash dividends or distributions of such earnings from our foreign operations.</w:t>
      </w:r>
    </w:p>
    <w:p>
      <w:pPr>
        <w:spacing w:after="0" w:line="17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June 30, 2018, Lazard had approximately $169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$17 million (at June 30, 2018 exchange rates).</w:t>
      </w:r>
    </w:p>
    <w:p>
      <w:pPr>
        <w:spacing w:after="0" w:line="187" w:lineRule="exact"/>
        <w:rPr>
          <w:sz w:val="20"/>
          <w:szCs w:val="20"/>
          <w:color w:val="auto"/>
        </w:rPr>
      </w:pPr>
    </w:p>
    <w:p>
      <w:pPr>
        <w:ind w:right="380" w:firstLine="51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The table below sets forth our corporate indebtedness as of June 30, 2018 and December 31, 2017. The agreements with respect to this indebtedness are discussed in more detail in our condensed consolidated financial statements and related notes included elsewhere in this Form 10-Q and in our Form 10-K.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4"/>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ind w:left="180"/>
              <w:spacing w:after="0" w:line="155" w:lineRule="exact"/>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jc w:val="right"/>
              <w:ind w:right="200"/>
              <w:spacing w:after="0" w:line="133" w:lineRule="exact"/>
              <w:rPr>
                <w:sz w:val="20"/>
                <w:szCs w:val="20"/>
                <w:color w:val="auto"/>
              </w:rPr>
            </w:pPr>
            <w:r>
              <w:rPr>
                <w:rFonts w:ascii="Arial" w:cs="Arial" w:eastAsia="Arial" w:hAnsi="Arial"/>
                <w:sz w:val="14"/>
                <w:szCs w:val="14"/>
                <w:b w:val="1"/>
                <w:bCs w:val="1"/>
                <w:color w:val="auto"/>
                <w:w w:val="94"/>
              </w:rPr>
              <w:t>Unamortized</w:t>
            </w:r>
          </w:p>
        </w:tc>
        <w:tc>
          <w:tcPr>
            <w:tcW w:w="120" w:type="dxa"/>
            <w:vAlign w:val="bottom"/>
          </w:tcPr>
          <w:p>
            <w:pPr>
              <w:spacing w:after="0"/>
              <w:rPr>
                <w:sz w:val="11"/>
                <w:szCs w:val="11"/>
                <w:color w:val="auto"/>
              </w:rPr>
            </w:pPr>
          </w:p>
        </w:tc>
        <w:tc>
          <w:tcPr>
            <w:tcW w:w="70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00" w:type="dxa"/>
            <w:vAlign w:val="bottom"/>
            <w:gridSpan w:val="3"/>
          </w:tcPr>
          <w:p>
            <w:pPr>
              <w:jc w:val="right"/>
              <w:ind w:right="200"/>
              <w:spacing w:after="0" w:line="133" w:lineRule="exact"/>
              <w:rPr>
                <w:sz w:val="20"/>
                <w:szCs w:val="20"/>
                <w:color w:val="auto"/>
              </w:rPr>
            </w:pPr>
            <w:r>
              <w:rPr>
                <w:rFonts w:ascii="Arial" w:cs="Arial" w:eastAsia="Arial" w:hAnsi="Arial"/>
                <w:sz w:val="14"/>
                <w:szCs w:val="14"/>
                <w:b w:val="1"/>
                <w:bCs w:val="1"/>
                <w:color w:val="auto"/>
                <w:w w:val="91"/>
              </w:rPr>
              <w:t>Unamortized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4"/>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296.6</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1,191.3</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293"/>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9" w:name="page60"/>
    <w:bookmarkEnd w:id="59"/>
    <w:p>
      <w:pPr>
        <w:ind w:right="40" w:firstLine="51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June 30, 2018, Lazard Group was in compliance with such ratios, with its Consolidated Leverage Ratio being 1.09 to 1.00 and its Consolidated Interest Coverage Ratio being 21.54 to 1.00. In any event, no amounts were outstanding under the Amended and Restated Credit Agreement as of June 30, 2018.</w:t>
      </w:r>
    </w:p>
    <w:p>
      <w:pPr>
        <w:spacing w:after="0" w:line="16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June 30, 2018,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10 of Notes to Condensed Consolidated Financial Statements for additional information regarding senior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At June 30, 2018, total stockholders’ equity was $1,113 million, as compared to $1,259 million at December 31, 2017, including $1,055 million and $1,200 million attributable to Lazard Ltd on the respective dates. The net activity in stockholders’ equity during the six month period ended June 30, 2018 is reflected in the table below (in millions of dollars):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Stockholders’ Equity - January 1, 2018</w:t>
            </w:r>
          </w:p>
        </w:tc>
        <w:tc>
          <w:tcPr>
            <w:tcW w:w="2860" w:type="dxa"/>
            <w:vAlign w:val="bottom"/>
            <w:gridSpan w:val="2"/>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6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2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Other comprehensive loss</w:t>
            </w: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40" w:type="dxa"/>
            <w:vAlign w:val="bottom"/>
            <w:shd w:val="clear" w:color="auto" w:fill="CFF0FC"/>
          </w:tcPr>
          <w:p>
            <w:pPr>
              <w:spacing w:after="0"/>
              <w:rPr>
                <w:sz w:val="19"/>
                <w:szCs w:val="19"/>
                <w:color w:val="auto"/>
              </w:rPr>
            </w:pPr>
          </w:p>
        </w:tc>
        <w:tc>
          <w:tcPr>
            <w:tcW w:w="6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share-based incentive compensation</w:t>
            </w:r>
          </w:p>
        </w:tc>
        <w:tc>
          <w:tcPr>
            <w:tcW w:w="2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Purchase of Class A common stock</w:t>
            </w: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r>
      <w:tr>
        <w:trPr>
          <w:trHeight w:val="230"/>
        </w:trPr>
        <w:tc>
          <w:tcPr>
            <w:tcW w:w="40" w:type="dxa"/>
            <w:vAlign w:val="bottom"/>
            <w:shd w:val="clear" w:color="auto" w:fill="CFF0FC"/>
          </w:tcPr>
          <w:p>
            <w:pPr>
              <w:spacing w:after="0"/>
              <w:rPr>
                <w:sz w:val="19"/>
                <w:szCs w:val="19"/>
                <w:color w:val="auto"/>
              </w:rPr>
            </w:pPr>
          </w:p>
        </w:tc>
        <w:tc>
          <w:tcPr>
            <w:tcW w:w="6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Settlement of share-based incentive compensation (a)</w:t>
            </w:r>
          </w:p>
        </w:tc>
        <w:tc>
          <w:tcPr>
            <w:tcW w:w="2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(117)</w:t>
            </w:r>
          </w:p>
        </w:tc>
      </w:tr>
      <w:tr>
        <w:trPr>
          <w:trHeight w:val="230"/>
        </w:trPr>
        <w:tc>
          <w:tcPr>
            <w:tcW w:w="40" w:type="dxa"/>
            <w:vAlign w:val="bottom"/>
          </w:tcPr>
          <w:p>
            <w:pPr>
              <w:spacing w:after="0"/>
              <w:rPr>
                <w:sz w:val="19"/>
                <w:szCs w:val="19"/>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Class A common stock dividends</w:t>
            </w: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r>
      <w:tr>
        <w:trPr>
          <w:trHeight w:val="230"/>
        </w:trPr>
        <w:tc>
          <w:tcPr>
            <w:tcW w:w="40" w:type="dxa"/>
            <w:vAlign w:val="bottom"/>
            <w:shd w:val="clear" w:color="auto" w:fill="CFF0FC"/>
          </w:tcPr>
          <w:p>
            <w:pPr>
              <w:spacing w:after="0"/>
              <w:rPr>
                <w:sz w:val="19"/>
                <w:szCs w:val="19"/>
                <w:color w:val="auto"/>
              </w:rPr>
            </w:pPr>
          </w:p>
        </w:tc>
        <w:tc>
          <w:tcPr>
            <w:tcW w:w="6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Distributions to noncontrolling interests, net</w:t>
            </w:r>
          </w:p>
        </w:tc>
        <w:tc>
          <w:tcPr>
            <w:tcW w:w="2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40" w:type="dxa"/>
            <w:vAlign w:val="bottom"/>
          </w:tcPr>
          <w:p>
            <w:pPr>
              <w:spacing w:after="0"/>
              <w:rPr>
                <w:sz w:val="19"/>
                <w:szCs w:val="19"/>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Other - net</w:t>
            </w:r>
          </w:p>
        </w:tc>
        <w:tc>
          <w:tcPr>
            <w:tcW w:w="2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62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Stockholders’ Equity - June 30, 2018</w:t>
            </w: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43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Class A common stock, which help offset the dilutive effect of our share-based incentive compensation plans. During a given year the Company intends to repurchase at least as many shares as it expects to ultimately issue pursuant to such compensation plans in respect of year-end incentive compensation attributable to the prior year. The rate at which the Company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159"/>
              <w:spacing w:after="0" w:line="158"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616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4,268,479</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2018</w:t>
            </w:r>
          </w:p>
        </w:tc>
        <w:tc>
          <w:tcPr>
            <w:tcW w:w="6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4,147,526</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As of June 30, 2018, a total of $325 million of share repurchase authorization remained available under the Company’s share repurchase program, of which $25 million will expire on December 31, 2019 and $300 million will expire on December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ind w:right="60" w:firstLine="518"/>
        <w:spacing w:after="0" w:line="277" w:lineRule="auto"/>
        <w:rPr>
          <w:sz w:val="20"/>
          <w:szCs w:val="20"/>
          <w:color w:val="auto"/>
        </w:rPr>
      </w:pPr>
      <w:r>
        <w:rPr>
          <w:rFonts w:ascii="Arial" w:cs="Arial" w:eastAsia="Arial" w:hAnsi="Arial"/>
          <w:sz w:val="18"/>
          <w:szCs w:val="18"/>
          <w:color w:val="auto"/>
        </w:rPr>
        <w:t>During the six month period ended June 30, 2018, the Company had in place trading plans under Rule 10b5-1 of the Securities Exchange Act of 1934, as amended, pursuant to which it effected stock repurchases in the open market.</w:t>
      </w:r>
    </w:p>
    <w:p>
      <w:pPr>
        <w:spacing w:after="0" w:line="170"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Company plans to continue to deploy excess cash and may do so in a variety of ways, which may include repurchasing outstanding shares of Class A common stock, paying dividends to stockholders and repurchasing its outstanding debt.</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See Notes 12 and 13 of Notes to Condensed Consolidated Financial Statements for additional information regarding Lazard’s stockholders’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1,455,292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583,625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$31,056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771,145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81,344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149,092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115,226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425,483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2,235,087</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137,119</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732,717</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166,976</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See Note 10 of Notes to Condensed Consolidated Financial Statements.</w:t>
      </w:r>
    </w:p>
    <w:p>
      <w:pPr>
        <w:spacing w:after="0" w:line="117" w:lineRule="exact"/>
        <w:rPr>
          <w:rFonts w:ascii="Arial" w:cs="Arial" w:eastAsia="Arial" w:hAnsi="Arial"/>
          <w:sz w:val="18"/>
          <w:szCs w:val="18"/>
          <w:color w:val="auto"/>
        </w:rPr>
      </w:pPr>
    </w:p>
    <w:p>
      <w:pPr>
        <w:ind w:left="380" w:hanging="372"/>
        <w:spacing w:after="0" w:line="264"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$15,517 are excluded. Such commitments are required to be funded by capital contributions from noncontrolling interest holders. See Note 6 of Notes to Condensed Consolidated Financial Statements. These amounts are generally due on demand and therefore are presented in the “less than 1 year” category.</w:t>
      </w:r>
    </w:p>
    <w:p>
      <w:pPr>
        <w:spacing w:after="0" w:line="73" w:lineRule="exact"/>
        <w:rPr>
          <w:rFonts w:ascii="Arial" w:cs="Arial" w:eastAsia="Arial" w:hAnsi="Arial"/>
          <w:sz w:val="18"/>
          <w:szCs w:val="18"/>
          <w:color w:val="auto"/>
        </w:rPr>
      </w:pPr>
    </w:p>
    <w:p>
      <w:pPr>
        <w:ind w:left="380" w:right="20" w:hanging="372"/>
        <w:spacing w:after="0" w:line="255"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table above excludes contingent obligations, given the inability to make a reasonably reliable estimate of the timing of the amounts of any such payments. The table above also excludes any possible payments for uncertain tax positions and payments pursuant to the Company’s tax receivable agreement, given that the actual amount and timing of payments under the tax receivable agreement could differ materially from our estimates. At June 30, 2018, a tax receivable agreement obligation of $277,163 was recorded on the condensed consolidated statements of financial condition. See “Critical Accounting Policies and Estimates—Income Taxes” below. See also Notes 11, 13, 14, 15 and 17 of Notes to Condensed Consolidated Financial Statements regarding information in connection with commitments, incentive plans, employee benefit plans, income taxes and tax receivable agreement obligations,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(including the impact on the tax receivable agreement obligation), investing activities and goodwill. Lazard bases these estimates on historical experience and various other assumptions that it believes to be reasonable under the circumstances, the results of which form the basis for making judgments,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ind w:right="300"/>
        <w:spacing w:after="0" w:line="277" w:lineRule="auto"/>
        <w:rPr>
          <w:sz w:val="20"/>
          <w:szCs w:val="20"/>
          <w:color w:val="auto"/>
        </w:rPr>
      </w:pPr>
      <w:r>
        <w:rPr>
          <w:rFonts w:ascii="Arial" w:cs="Arial" w:eastAsia="Arial" w:hAnsi="Arial"/>
          <w:sz w:val="18"/>
          <w:szCs w:val="18"/>
          <w:color w:val="auto"/>
        </w:rPr>
        <w:t>including judgments regarding the carrying values of assets and liabilities, that are not readily apparent from other sources. Actual results may differ from these estimates.</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contract with a client has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performance obligations in the contract have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fee or other transaction price has been determined;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fee or other transaction price has been allocated to each performance obligation in the contract;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has satisfied the applicable performance obligation.</w:t>
      </w:r>
    </w:p>
    <w:p>
      <w:pPr>
        <w:spacing w:after="0" w:line="225"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January 1, 2018, the Company adopted new revenue recognition guidance. See Notes 2 and 3 of Notes to Consolidated Financial Statements.</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2" w:name="page63"/>
    <w:bookmarkEnd w:id="62"/>
    <w:p>
      <w:pPr>
        <w:ind w:right="100" w:firstLine="51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2017, on a consolidated basis, we recorded gross deferred tax assets of approximately $790.7 million, with such amount partially offset by a valuation allowance of approximately $61.5 million (as described below).</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$61.5 million of deferred tax assets held by these entities as of December 31, 2017.</w:t>
      </w:r>
    </w:p>
    <w:p>
      <w:pPr>
        <w:spacing w:after="0" w:line="158"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3"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On January 1, 2017, we adopted new accounting guidance on share-based incentive compensation. As a result of the adoption of this new guidance, we recognized excess tax benefits of $32.0 million and $8.3 million from the vesting of share-based incentive compensation in the provision for income taxes in the condensed consolidated statements of operations for the six month periods ended June 30, 2018 and 2017, respectively. Upon adoption of the new guidance, we also recorded deferred tax assets of $81.5 million, net of a valuation allowance of $12.1 million, for previously unrecognized excess tax benefits (including tax benefits from dividends or dividend equivalents) on share-based incentive compensation, with an offsetting adjustment to retained earnings. See Note 15 of Notes to Condensed Consolidated Financial Statements for further information on the adoption of this new guidance. The new guidance has since January 1, 2017 affected, and the Company expects that in future periods the new guidance will affect, the provision for income taxes for the delivery of stock under share-based incentive compensation arrangements, as well as the effective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3" w:name="page64"/>
    <w:bookmarkEnd w:id="63"/>
    <w:p>
      <w:pPr>
        <w:ind w:right="380"/>
        <w:spacing w:after="0" w:line="277" w:lineRule="auto"/>
        <w:rPr>
          <w:sz w:val="20"/>
          <w:szCs w:val="20"/>
          <w:color w:val="auto"/>
        </w:rPr>
      </w:pPr>
      <w:r>
        <w:rPr>
          <w:rFonts w:ascii="Arial" w:cs="Arial" w:eastAsia="Arial" w:hAnsi="Arial"/>
          <w:sz w:val="18"/>
          <w:szCs w:val="18"/>
          <w:color w:val="auto"/>
        </w:rPr>
        <w:t>tax rate in the relevant periods, which could be material to the condensed consolidated statements of operations and the classification of cash flows in the relevant periods.</w:t>
      </w:r>
    </w:p>
    <w:p>
      <w:pPr>
        <w:spacing w:after="0" w:line="170"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On December 22, 2017,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 The Tax Act further includes anti-base erosion provisions such as the base erosion and anti-abuse tax and tax on global intangible low-taxed income.</w:t>
      </w:r>
    </w:p>
    <w:p>
      <w:pPr>
        <w:spacing w:after="0" w:line="18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Lazard is a holding company that is treated as a publicly traded partnership for U.S. tax purposes, and our U.S. and certain foreign subsidiaries will be impacted by the Tax Act. While the Tax Act is currently expected to be moderately positive for us, the reduced corporate tax rate required us to remeasure our deferred tax assets and the liability associated with our tax receivable agreement. See Notes 15 and 17 of Notes to Condensed Consolidated Financial Statements for additional information regarding the impact of the Tax Act on us.</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See Item 1A, “Risk Factors” in our Form 10-K and Note 15 of Notes to Condensed Consolidated Financial Statements for additional information related to income taxes.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Amended and Restated Tax Receivable Agreement</w:t>
      </w:r>
    </w:p>
    <w:p>
      <w:pPr>
        <w:spacing w:after="0" w:line="11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During the period ended June 30, 2015, we released substantially all of our valuation allowance against deferred tax assets. As a result, we accrued a corresponding liability during the period ended June 30, 2015 for amounts relating to the Second Amended and Restated Tax Receivable Agreement, dated as of October 26, 2015 (the “Amended and Restated Tax Receivable Agreement”), between Lazard and LTBP Trust (the “Trust”). See Note 17 of Notes to Condensed Consolidated Financial Statements for additional information regarding the Amended and Restated Tax Receivable Agreement.</w:t>
      </w:r>
    </w:p>
    <w:p>
      <w:pPr>
        <w:spacing w:after="0" w:line="15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amount of the Amended and Restated Tax Receivable Agreement liability is an undiscounted amount based upon currently enacted tax laws, including the Tax Act, the current structure of the Company and various assumptions regarding potential future operating profitability. The assumptions reflected in the estimate involve significant judgment, and if our structure were to change or our annual taxable income were to increase, we could be required to accelerate payments under the Amended and Restated Tax Receivable Agreement. As such, the actual amount and timing of payments under the Amended and Restated Tax Receivable Agreement could differ materially from our estimates. Any changes in the amount of the estimated liability would be recorded as a non-compensation expense in the condensed consolidated statement of operations. Adjustments, if necessary, to the related deferred tax assets would be recorded through income tax expense.</w:t>
      </w:r>
    </w:p>
    <w:p>
      <w:pPr>
        <w:spacing w:after="0" w:line="189"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The cumulative liability relating to our obligations under the Amended and Restated Tax Receivable Agreement recorded as of June 30, 2018 and December 31, 2017 was $277 million and $310 million, which includes the impact of the Tax Act as of both periods and is recorded in “tax receivable agreement obligation” on the condensed consolidated statements of financial condition.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and interests in alternative investment, debt, equity and private equity funds.</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These investments, with the exception of interest-bearing deposits,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Condensed Consolidated Financial Statements for additional information on the measurement of the fair value of investments.</w:t>
      </w:r>
    </w:p>
    <w:p>
      <w:pPr>
        <w:spacing w:after="0" w:line="18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60" w:type="dxa"/>
            <w:vAlign w:val="bottom"/>
            <w:gridSpan w:val="7"/>
          </w:tcPr>
          <w:p>
            <w:pPr>
              <w:jc w:val="right"/>
              <w:ind w:right="124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r>
      <w:tr>
        <w:trPr>
          <w:trHeight w:val="230"/>
        </w:trPr>
        <w:tc>
          <w:tcPr>
            <w:tcW w:w="7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40" w:type="dxa"/>
            <w:vAlign w:val="bottom"/>
            <w:gridSpan w:val="3"/>
          </w:tcPr>
          <w:p>
            <w:pPr>
              <w:ind w:left="260"/>
              <w:spacing w:after="0"/>
              <w:rPr>
                <w:sz w:val="20"/>
                <w:szCs w:val="20"/>
                <w:color w:val="auto"/>
              </w:rPr>
            </w:pPr>
            <w:r>
              <w:rPr>
                <w:rFonts w:ascii="Arial" w:cs="Arial" w:eastAsia="Arial" w:hAnsi="Arial"/>
                <w:sz w:val="18"/>
                <w:szCs w:val="18"/>
                <w:color w:val="auto"/>
              </w:rPr>
              <w:t>Equities (a)</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99,016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111,067</w:t>
            </w: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9,617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15,215</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Alternative investments</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13,281</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8,392</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121,914</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134,674</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color w:val="auto"/>
              </w:rPr>
              <w:t>Other investments owned: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48,458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57,457</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gridSpan w:val="3"/>
          </w:tcPr>
          <w:p>
            <w:pPr>
              <w:ind w:left="260"/>
              <w:spacing w:after="0"/>
              <w:rPr>
                <w:sz w:val="20"/>
                <w:szCs w:val="20"/>
                <w:color w:val="auto"/>
              </w:rPr>
            </w:pPr>
            <w:r>
              <w:rPr>
                <w:rFonts w:ascii="Arial" w:cs="Arial" w:eastAsia="Arial" w:hAnsi="Arial"/>
                <w:sz w:val="18"/>
                <w:szCs w:val="18"/>
                <w:color w:val="auto"/>
              </w:rPr>
              <w:t>Interest-bearing deposits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530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Fixed income and other (c)</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98,288</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23,780</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Total other investments owned</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147,276</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81,793</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Subtotal</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269,190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216,467</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color w:val="auto"/>
              </w:rPr>
              <w:t>Add: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Private equity consolidated, not owned (d)</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18,800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19,222</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LFI (e)</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217,204</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191,497</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505,194</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427,186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7020" w:type="dxa"/>
            <w:vAlign w:val="bottom"/>
            <w:gridSpan w:val="4"/>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50"/>
        </w:trPr>
        <w:tc>
          <w:tcPr>
            <w:tcW w:w="9440" w:type="dxa"/>
            <w:vAlign w:val="bottom"/>
            <w:gridSpan w:val="8"/>
          </w:tcPr>
          <w:p>
            <w:pPr>
              <w:spacing w:after="0"/>
              <w:rPr>
                <w:sz w:val="20"/>
                <w:szCs w:val="20"/>
                <w:color w:val="auto"/>
              </w:rPr>
            </w:pPr>
            <w:r>
              <w:rPr>
                <w:rFonts w:ascii="Arial" w:cs="Arial" w:eastAsia="Arial" w:hAnsi="Arial"/>
                <w:sz w:val="18"/>
                <w:szCs w:val="18"/>
                <w:color w:val="auto"/>
                <w:w w:val="94"/>
              </w:rPr>
              <w:t>(a)  At June 30, 2018 and December 31, 2017, seed investments in directly owned equity securities were invested as follows: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55"/>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w w:val="89"/>
              </w:rPr>
              <w:t>June 30,</w:t>
            </w:r>
          </w:p>
        </w:tc>
        <w:tc>
          <w:tcPr>
            <w:tcW w:w="1980" w:type="dxa"/>
            <w:vAlign w:val="bottom"/>
            <w:gridSpan w:val="6"/>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0" w:type="dxa"/>
            <w:vAlign w:val="bottom"/>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56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Borders>
              <w:bottom w:val="single" w:sz="8" w:color="CFF0FC"/>
            </w:tcBorders>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tcPr>
          <w:p>
            <w:pPr>
              <w:ind w:left="240"/>
              <w:spacing w:after="0"/>
              <w:rPr>
                <w:sz w:val="20"/>
                <w:szCs w:val="20"/>
                <w:color w:val="auto"/>
              </w:rPr>
            </w:pPr>
            <w:r>
              <w:rPr>
                <w:rFonts w:ascii="Arial" w:cs="Arial" w:eastAsia="Arial" w:hAnsi="Arial"/>
                <w:sz w:val="18"/>
                <w:szCs w:val="18"/>
                <w:color w:val="auto"/>
              </w:rPr>
              <w:t>Financials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56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right="320" w:hanging="372"/>
        <w:spacing w:after="0" w:line="342" w:lineRule="auto"/>
        <w:tabs>
          <w:tab w:leader="none" w:pos="3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$28 million and $36 million as of June 30, 2018 and December 31, 2017, respectively.</w:t>
      </w:r>
    </w:p>
    <w:p>
      <w:pPr>
        <w:spacing w:after="0" w:line="15" w:lineRule="exact"/>
        <w:rPr>
          <w:rFonts w:ascii="Arial" w:cs="Arial" w:eastAsia="Arial" w:hAnsi="Arial"/>
          <w:sz w:val="16"/>
          <w:szCs w:val="16"/>
          <w:color w:val="auto"/>
        </w:rPr>
      </w:pPr>
    </w:p>
    <w:p>
      <w:pPr>
        <w:ind w:left="380" w:right="60" w:hanging="372"/>
        <w:spacing w:after="0" w:line="277"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June 30, 2018, includes investment in U.S. Treasury securities of approximately $75 million with original maturities of greater than three months and less than one year.</w:t>
      </w:r>
    </w:p>
    <w:p>
      <w:pPr>
        <w:spacing w:after="0" w:line="62" w:lineRule="exact"/>
        <w:rPr>
          <w:rFonts w:ascii="Arial" w:cs="Arial" w:eastAsia="Arial" w:hAnsi="Arial"/>
          <w:sz w:val="18"/>
          <w:szCs w:val="18"/>
          <w:color w:val="auto"/>
        </w:rPr>
      </w:pPr>
    </w:p>
    <w:p>
      <w:pPr>
        <w:jc w:val="both"/>
        <w:ind w:left="380" w:right="120" w:hanging="372"/>
        <w:spacing w:after="0" w:line="264"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“stockholders’ equity” on the condensed consolidated statements of financial condition.</w:t>
      </w:r>
    </w:p>
    <w:p>
      <w:pPr>
        <w:spacing w:after="0" w:line="73" w:lineRule="exact"/>
        <w:rPr>
          <w:rFonts w:ascii="Arial" w:cs="Arial" w:eastAsia="Arial" w:hAnsi="Arial"/>
          <w:sz w:val="18"/>
          <w:szCs w:val="18"/>
          <w:color w:val="auto"/>
        </w:rPr>
      </w:pPr>
    </w:p>
    <w:p>
      <w:pPr>
        <w:ind w:left="380" w:right="20" w:hanging="372"/>
        <w:spacing w:after="0" w:line="276"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$68 million in four entities as of June 30, 2018, as compared to $53 million in two entities as of December 31, 2017.</w:t>
      </w:r>
    </w:p>
    <w:p>
      <w:pPr>
        <w:spacing w:after="0" w:line="173"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At June 30, 2018 and December 31, 2017, total investments with a fair value of $505 million and $427 million, respectively, included $68 million and $80 million, respectively, or 13% and 19%, respectively, of investments that were classified using NAV or its equivalent as a practical expedient. See Notes 5 and 6 of Notes to Condensed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ind w:right="100" w:firstLine="518"/>
        <w:spacing w:after="0" w:line="264" w:lineRule="auto"/>
        <w:rPr>
          <w:sz w:val="20"/>
          <w:szCs w:val="20"/>
          <w:color w:val="auto"/>
        </w:rPr>
      </w:pPr>
      <w:r>
        <w:rPr>
          <w:rFonts w:ascii="Arial" w:cs="Arial" w:eastAsia="Arial" w:hAnsi="Arial"/>
          <w:sz w:val="18"/>
          <w:szCs w:val="18"/>
          <w:color w:val="auto"/>
        </w:rPr>
        <w:t>As of June 30, 2018 and December 31, 2017, the Company held seed investments of approximately $122 million and $135 million, respectively. Seed investments held in entities in which the Company maintained a controlling interest were $27 million in seven entities as of June 30, 2018, as compared to $28 million in eight entities as of December 31, 2017.</w:t>
      </w:r>
    </w:p>
    <w:p>
      <w:pPr>
        <w:spacing w:after="0" w:line="181" w:lineRule="exact"/>
        <w:rPr>
          <w:sz w:val="20"/>
          <w:szCs w:val="20"/>
          <w:color w:val="auto"/>
        </w:rPr>
      </w:pPr>
    </w:p>
    <w:p>
      <w:pPr>
        <w:ind w:right="380" w:firstLine="518"/>
        <w:spacing w:after="0" w:line="259" w:lineRule="auto"/>
        <w:rPr>
          <w:sz w:val="20"/>
          <w:szCs w:val="20"/>
          <w:color w:val="auto"/>
        </w:rPr>
      </w:pPr>
      <w:r>
        <w:rPr>
          <w:rFonts w:ascii="Arial" w:cs="Arial" w:eastAsia="Arial" w:hAnsi="Arial"/>
          <w:sz w:val="18"/>
          <w:szCs w:val="18"/>
          <w:color w:val="auto"/>
        </w:rPr>
        <w:t>As of June 30, 2018 and December 31, 2017, the Company did not consolidate or deconsolidate any seed investment entities or LFI investment entities. As such, 100% of the recorded balance of seed investments and LFI investments as of June 30, 2018 and December 31, 2017 represented the Company’s economic interest in the seed investments. See “—Consolidation of Variable Interest Entities” below for more information on the Company’s policy regarding the consolidation of seed investment entities.</w:t>
      </w:r>
    </w:p>
    <w:p>
      <w:pPr>
        <w:spacing w:after="0" w:line="18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9 of Notes to Condensed Consolidated Financial Statements for additional information regarding goodwill.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900" w:right="100" w:hanging="379"/>
        <w:spacing w:after="0" w:line="286"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57" w:lineRule="exact"/>
        <w:rPr>
          <w:rFonts w:ascii="Arial" w:cs="Arial" w:eastAsia="Arial" w:hAnsi="Arial"/>
          <w:sz w:val="17"/>
          <w:szCs w:val="17"/>
          <w:color w:val="auto"/>
        </w:rPr>
      </w:pPr>
    </w:p>
    <w:p>
      <w:pPr>
        <w:ind w:left="900" w:right="100" w:hanging="379"/>
        <w:spacing w:after="0" w:line="30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5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ind w:right="40" w:firstLine="518"/>
        <w:spacing w:after="0" w:line="257"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91" w:lineRule="exact"/>
        <w:rPr>
          <w:sz w:val="20"/>
          <w:szCs w:val="20"/>
          <w:color w:val="auto"/>
        </w:rPr>
      </w:pPr>
    </w:p>
    <w:p>
      <w:pPr>
        <w:jc w:val="center"/>
        <w:ind w:right="10000"/>
        <w:spacing w:after="0"/>
        <w:rPr>
          <w:sz w:val="20"/>
          <w:szCs w:val="20"/>
          <w:color w:val="auto"/>
        </w:rPr>
      </w:pPr>
      <w:r>
        <w:rPr>
          <w:rFonts w:ascii="Arial" w:cs="Arial" w:eastAsia="Arial" w:hAnsi="Arial"/>
          <w:sz w:val="16"/>
          <w:szCs w:val="16"/>
          <w:b w:val="1"/>
          <w:bCs w:val="1"/>
          <w:color w:val="auto"/>
        </w:rPr>
        <w:t>Risk Management</w:t>
      </w:r>
    </w:p>
    <w:p>
      <w:pPr>
        <w:spacing w:after="0" w:line="144" w:lineRule="exact"/>
        <w:rPr>
          <w:sz w:val="20"/>
          <w:szCs w:val="20"/>
          <w:color w:val="auto"/>
        </w:rPr>
      </w:pPr>
    </w:p>
    <w:p>
      <w:pPr>
        <w:jc w:val="center"/>
        <w:ind w:right="100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with maturities over 90 days that allow daily withdrawals without principal penalties.</w:t>
      </w:r>
    </w:p>
    <w:p>
      <w:pPr>
        <w:spacing w:after="0" w:line="19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Equity Market Price Risk—At June 30, 2018 and December 31, 2017, the Company’s exposure to equity market price risk in its investment portfolio, which primarily relates to investments in equity securities, equity funds and hedge funds, was approximately $103 million and $107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$0.9 million and $2.0 million in the carrying value of such investments as of June 30, 2018 and December 31, 2017, respectively, including the effect of the hedging transactions.</w:t>
      </w:r>
    </w:p>
    <w:p>
      <w:pPr>
        <w:spacing w:after="0" w:line="158"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Interest Rate/Credit Spread Risk—At June 30, 2018 and December 31, 2017, the Company’s exposure to interest rate and credit spread risk in its investment portfolio related to investments in debt securities or funds which invest primarily in debt securities was $129 million and $58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$1.3 million in the carrying value of such investments as of both June 30, 2018 and December 31, 2017, including the effect of the hedging transactions.</w:t>
      </w:r>
    </w:p>
    <w:p>
      <w:pPr>
        <w:spacing w:after="0" w:line="17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Foreign Exchange Rate Risk—At June 30, 2018 and December 31, 2017, the Company’s exposure to foreign exchange rate risk in its investment portfolio, which primarily relates to investments in foreign currency denominated equity and debt securities, was $59 million and $65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$1.5 million and $1.7 million in the carrying value of such investments as of June 30, 2018 and December 31, 2017, respectively, including the effect of the hedging transactions.</w:t>
      </w:r>
    </w:p>
    <w:p>
      <w:pPr>
        <w:spacing w:after="0" w:line="193"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Private Equity—The Company invests in private equity primarily as a part of its co-investment activities and in connection with certain legacy businesses. At June 30, 2018 and December 31, 2017, the Company’s exposure to changes in fair value of such investments was approximately $48 million and $57 million, respectively. The Company estimates that a hypothetical 10% adverse change in fair value would result in a decrease of approximately $4.8 million and $5.7 million in the carrying value of such investments as of June 30, 2018 and December 31, 2017, respectively.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7" w:name="page68"/>
    <w:bookmarkEnd w:id="67"/>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160" w:firstLine="518"/>
        <w:spacing w:after="0" w:line="270" w:lineRule="auto"/>
        <w:rPr>
          <w:sz w:val="20"/>
          <w:szCs w:val="20"/>
          <w:color w:val="auto"/>
        </w:rPr>
      </w:pPr>
      <w:r>
        <w:rPr>
          <w:rFonts w:ascii="Arial" w:cs="Arial" w:eastAsia="Arial" w:hAnsi="Arial"/>
          <w:sz w:val="17"/>
          <w:szCs w:val="17"/>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June 30, 2018, total receivables amounted to $714 million, net of an allowance for doubtful accounts of $35 million. As of that date, Financial Advisory and Asset Management fees, and customers and other receivables comprised 85% and 15% of total receivables, respectively. At December 31, 2017, total receivables amounted to $572 million, net of an allowance for doubtful accounts of $24 million. As of that date, Financial Advisory and Asset Management fees, and customers and other receivables comprised 85% and 15% of total receivables, respectively. At June 30, 2018 and December 31, 2017, the Company had receivables past due or deemed uncollectible of approximately $42 million and $35 million, respectively. See also “Critical Accounting Policies and Estimates—Revenue Recognition” above and Note 4 of Notes to Condensed Consolidated Financial Statements for additional information regarding receivables.</w:t>
      </w:r>
    </w:p>
    <w:p>
      <w:pPr>
        <w:spacing w:after="0" w:line="182"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June 30, 2018 and December 31, 2017, customer receivables included $55 million and $61 million of LFB loans, respectively, with such loans being fully collateralized and closely monitored for counterparty creditworthiness.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$6 million and $4 million at June 30, 2018 and December 31, 2017, respectively, and derivative liabilities, excluding the derivative liability arising from the Company’s obligation pertaining to LFI and other similar deferred compensation arrangements, amounted to $2 million and $16 million at such respective dates.</w:t>
      </w:r>
    </w:p>
    <w:p>
      <w:pPr>
        <w:spacing w:after="0" w:line="158"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$201 million and $182 million at June 30, 2018 and December 31, 2017,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June 30, 2018, Lazard estimates that its annual operating income relating to cash and cash equivalents would increase by approximately $8 million in the event interest rates were to increase by 1% and decrease by approximately $8 million if rates were to decrease by 1%.</w:t>
      </w:r>
    </w:p>
    <w:p>
      <w:pPr>
        <w:spacing w:after="0" w:line="14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As of June 30, 2018, the Company’s cash and cash equivalents totaled approximately $845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(iii) in short-term certificates of deposit from such banks and (iv) in short-term U.S. Treasury securities.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8" w:name="page69"/>
    <w:bookmarkEnd w:id="68"/>
    <w:p>
      <w:pPr>
        <w:ind w:right="80"/>
        <w:spacing w:after="0" w:line="277" w:lineRule="auto"/>
        <w:rPr>
          <w:sz w:val="20"/>
          <w:szCs w:val="20"/>
          <w:color w:val="auto"/>
        </w:rPr>
      </w:pPr>
      <w:r>
        <w:rPr>
          <w:rFonts w:ascii="Arial" w:cs="Arial" w:eastAsia="Arial" w:hAnsi="Arial"/>
          <w:sz w:val="18"/>
          <w:szCs w:val="18"/>
          <w:color w:val="auto"/>
        </w:rPr>
        <w:t>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 for the year ended December 31, 2017.</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following table sets forth information regarding Lazard’s purchases of its Class A common stock on a monthly basis during the second quarter of 2018. Share repurchases are recorded on a trade date basis.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per Share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left="278"/>
              <w:spacing w:after="0"/>
              <w:rPr>
                <w:sz w:val="20"/>
                <w:szCs w:val="20"/>
                <w:color w:val="auto"/>
              </w:rPr>
            </w:pPr>
            <w:r>
              <w:rPr>
                <w:rFonts w:ascii="Arial" w:cs="Arial" w:eastAsia="Arial" w:hAnsi="Arial"/>
                <w:sz w:val="14"/>
                <w:szCs w:val="14"/>
                <w:b w:val="1"/>
                <w:bCs w:val="1"/>
                <w:color w:val="auto"/>
                <w:w w:val="91"/>
              </w:rPr>
              <w:t>Programs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April 1 – April 30, 2018</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tcPr>
          <w:p>
            <w:pPr>
              <w:jc w:val="right"/>
              <w:spacing w:after="0"/>
              <w:rPr>
                <w:sz w:val="20"/>
                <w:szCs w:val="20"/>
                <w:color w:val="auto"/>
              </w:rPr>
            </w:pPr>
            <w:r>
              <w:rPr>
                <w:rFonts w:ascii="Arial" w:cs="Arial" w:eastAsia="Arial" w:hAnsi="Arial"/>
                <w:sz w:val="18"/>
                <w:szCs w:val="18"/>
                <w:color w:val="auto"/>
              </w:rPr>
              <w:t>982,944</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52.65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982,944</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350.7</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54.32</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May 1 – May 31, 2018</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197,296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53.27</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197,296</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340.2</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tcPr>
          <w:p>
            <w:pPr>
              <w:jc w:val="right"/>
              <w:spacing w:after="0"/>
              <w:rPr>
                <w:sz w:val="20"/>
                <w:szCs w:val="20"/>
                <w:color w:val="auto"/>
              </w:rPr>
            </w:pPr>
            <w:r>
              <w:rPr>
                <w:rFonts w:ascii="Arial" w:cs="Arial" w:eastAsia="Arial" w:hAnsi="Arial"/>
                <w:sz w:val="18"/>
                <w:szCs w:val="18"/>
                <w:color w:val="auto"/>
              </w:rPr>
              <w:t>46,096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55.09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June 1 – June 30, 2018</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tcPr>
          <w:p>
            <w:pPr>
              <w:jc w:val="right"/>
              <w:spacing w:after="0"/>
              <w:rPr>
                <w:sz w:val="20"/>
                <w:szCs w:val="20"/>
                <w:color w:val="auto"/>
              </w:rPr>
            </w:pPr>
            <w:r>
              <w:rPr>
                <w:rFonts w:ascii="Arial" w:cs="Arial" w:eastAsia="Arial" w:hAnsi="Arial"/>
                <w:sz w:val="18"/>
                <w:szCs w:val="18"/>
                <w:color w:val="auto"/>
              </w:rPr>
              <w:t>305,000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51.11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305,000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324.6</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 Repurchase Program (1)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1,485,240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1,485,240</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324.6</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Employee Transactions (2)</w:t>
            </w:r>
          </w:p>
        </w:tc>
        <w:tc>
          <w:tcPr>
            <w:tcW w:w="1100" w:type="dxa"/>
            <w:vAlign w:val="bottom"/>
          </w:tcPr>
          <w:p>
            <w:pPr>
              <w:jc w:val="right"/>
              <w:spacing w:after="0"/>
              <w:rPr>
                <w:sz w:val="20"/>
                <w:szCs w:val="20"/>
                <w:color w:val="auto"/>
              </w:rPr>
            </w:pPr>
            <w:r>
              <w:rPr>
                <w:rFonts w:ascii="Arial" w:cs="Arial" w:eastAsia="Arial" w:hAnsi="Arial"/>
                <w:sz w:val="18"/>
                <w:szCs w:val="18"/>
                <w:color w:val="auto"/>
              </w:rPr>
              <w:t>153,576</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53.23</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2090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380" w:right="120" w:hanging="372"/>
        <w:spacing w:after="0" w:line="277"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During the six months ended June 30, 2018 and since 2015, the Board of Directors of Lazard authorized the repurchase of Class A common stock as set forth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Date</w:t>
            </w: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Repurchase</w:t>
            </w:r>
          </w:p>
        </w:tc>
        <w:tc>
          <w:tcPr>
            <w:tcW w:w="23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Expiration</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gridSpan w:val="2"/>
            <w:vMerge w:val="continue"/>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Authorization</w:t>
            </w:r>
          </w:p>
        </w:tc>
        <w:tc>
          <w:tcPr>
            <w:tcW w:w="23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February 2015</w:t>
            </w:r>
          </w:p>
        </w:tc>
        <w:tc>
          <w:tcPr>
            <w:tcW w:w="2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Borders>
              <w:top w:val="single" w:sz="8" w:color="CFF0FC"/>
            </w:tcBorders>
            <w:shd w:val="clear" w:color="auto" w:fill="CFF0FC"/>
          </w:tcPr>
          <w:p>
            <w:pPr>
              <w:spacing w:after="0"/>
              <w:rPr>
                <w:sz w:val="19"/>
                <w:szCs w:val="19"/>
                <w:color w:val="auto"/>
              </w:rPr>
            </w:pPr>
          </w:p>
        </w:tc>
        <w:tc>
          <w:tcPr>
            <w:tcW w:w="2380" w:type="dxa"/>
            <w:vAlign w:val="bottom"/>
            <w:tcBorders>
              <w:top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89"/>
              </w:rPr>
              <w:t>December 31, 2016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January 2016</w:t>
            </w:r>
          </w:p>
        </w:tc>
        <w:tc>
          <w:tcPr>
            <w:tcW w:w="308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tcPr>
          <w:p>
            <w:pPr>
              <w:spacing w:after="0"/>
              <w:rPr>
                <w:sz w:val="19"/>
                <w:szCs w:val="19"/>
                <w:color w:val="auto"/>
              </w:rPr>
            </w:pPr>
          </w:p>
        </w:tc>
        <w:tc>
          <w:tcPr>
            <w:tcW w:w="2380" w:type="dxa"/>
            <w:vAlign w:val="bottom"/>
          </w:tcPr>
          <w:p>
            <w:pPr>
              <w:ind w:left="940"/>
              <w:spacing w:after="0"/>
              <w:rPr>
                <w:sz w:val="20"/>
                <w:szCs w:val="20"/>
                <w:color w:val="auto"/>
              </w:rPr>
            </w:pPr>
            <w:r>
              <w:rPr>
                <w:rFonts w:ascii="Arial" w:cs="Arial" w:eastAsia="Arial" w:hAnsi="Arial"/>
                <w:sz w:val="18"/>
                <w:szCs w:val="18"/>
                <w:color w:val="auto"/>
                <w:w w:val="89"/>
              </w:rPr>
              <w:t>December 31, 2017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April 2016</w:t>
            </w:r>
          </w:p>
        </w:tc>
        <w:tc>
          <w:tcPr>
            <w:tcW w:w="308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113,182</w:t>
            </w:r>
          </w:p>
        </w:tc>
        <w:tc>
          <w:tcPr>
            <w:tcW w:w="280" w:type="dxa"/>
            <w:vAlign w:val="bottom"/>
            <w:shd w:val="clear" w:color="auto" w:fill="CFF0FC"/>
          </w:tcPr>
          <w:p>
            <w:pPr>
              <w:spacing w:after="0"/>
              <w:rPr>
                <w:sz w:val="19"/>
                <w:szCs w:val="19"/>
                <w:color w:val="auto"/>
              </w:rPr>
            </w:pPr>
          </w:p>
        </w:tc>
        <w:tc>
          <w:tcPr>
            <w:tcW w:w="2380" w:type="dxa"/>
            <w:vAlign w:val="bottom"/>
            <w:shd w:val="clear" w:color="auto" w:fill="CFF0FC"/>
          </w:tcPr>
          <w:p>
            <w:pPr>
              <w:ind w:left="940"/>
              <w:spacing w:after="0"/>
              <w:rPr>
                <w:sz w:val="20"/>
                <w:szCs w:val="20"/>
                <w:color w:val="auto"/>
              </w:rPr>
            </w:pPr>
            <w:r>
              <w:rPr>
                <w:rFonts w:ascii="Arial" w:cs="Arial" w:eastAsia="Arial" w:hAnsi="Arial"/>
                <w:sz w:val="18"/>
                <w:szCs w:val="18"/>
                <w:color w:val="auto"/>
                <w:w w:val="89"/>
              </w:rPr>
              <w:t>December 31, 2017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November 2016</w:t>
            </w:r>
          </w:p>
        </w:tc>
        <w:tc>
          <w:tcPr>
            <w:tcW w:w="308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236,000</w:t>
            </w:r>
          </w:p>
        </w:tc>
        <w:tc>
          <w:tcPr>
            <w:tcW w:w="280" w:type="dxa"/>
            <w:vAlign w:val="bottom"/>
          </w:tcPr>
          <w:p>
            <w:pPr>
              <w:spacing w:after="0"/>
              <w:rPr>
                <w:sz w:val="19"/>
                <w:szCs w:val="19"/>
                <w:color w:val="auto"/>
              </w:rPr>
            </w:pPr>
          </w:p>
        </w:tc>
        <w:tc>
          <w:tcPr>
            <w:tcW w:w="2380" w:type="dxa"/>
            <w:vAlign w:val="bottom"/>
          </w:tcPr>
          <w:p>
            <w:pPr>
              <w:ind w:left="940"/>
              <w:spacing w:after="0"/>
              <w:rPr>
                <w:sz w:val="20"/>
                <w:szCs w:val="20"/>
                <w:color w:val="auto"/>
              </w:rPr>
            </w:pPr>
            <w:r>
              <w:rPr>
                <w:rFonts w:ascii="Arial" w:cs="Arial" w:eastAsia="Arial" w:hAnsi="Arial"/>
                <w:sz w:val="18"/>
                <w:szCs w:val="18"/>
                <w:color w:val="auto"/>
                <w:w w:val="89"/>
              </w:rPr>
              <w:t>December 31, 2018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October 2017</w:t>
            </w:r>
          </w:p>
        </w:tc>
        <w:tc>
          <w:tcPr>
            <w:tcW w:w="3080" w:type="dxa"/>
            <w:vAlign w:val="bottom"/>
            <w:gridSpan w:val="3"/>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80" w:type="dxa"/>
            <w:vAlign w:val="bottom"/>
            <w:shd w:val="clear" w:color="auto" w:fill="CFF0FC"/>
          </w:tcPr>
          <w:p>
            <w:pPr>
              <w:spacing w:after="0"/>
              <w:rPr>
                <w:sz w:val="19"/>
                <w:szCs w:val="19"/>
                <w:color w:val="auto"/>
              </w:rPr>
            </w:pPr>
          </w:p>
        </w:tc>
        <w:tc>
          <w:tcPr>
            <w:tcW w:w="2380" w:type="dxa"/>
            <w:vAlign w:val="bottom"/>
            <w:shd w:val="clear" w:color="auto" w:fill="CFF0FC"/>
          </w:tcPr>
          <w:p>
            <w:pPr>
              <w:ind w:left="940"/>
              <w:spacing w:after="0"/>
              <w:rPr>
                <w:sz w:val="20"/>
                <w:szCs w:val="20"/>
                <w:color w:val="auto"/>
              </w:rPr>
            </w:pPr>
            <w:r>
              <w:rPr>
                <w:rFonts w:ascii="Arial" w:cs="Arial" w:eastAsia="Arial" w:hAnsi="Arial"/>
                <w:sz w:val="18"/>
                <w:szCs w:val="18"/>
                <w:color w:val="auto"/>
                <w:w w:val="89"/>
              </w:rPr>
              <w:t>December 31, 2019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gridSpan w:val="2"/>
          </w:tcPr>
          <w:p>
            <w:pPr>
              <w:ind w:left="580"/>
              <w:spacing w:after="0"/>
              <w:rPr>
                <w:sz w:val="20"/>
                <w:szCs w:val="20"/>
                <w:color w:val="auto"/>
              </w:rPr>
            </w:pPr>
            <w:r>
              <w:rPr>
                <w:rFonts w:ascii="Arial" w:cs="Arial" w:eastAsia="Arial" w:hAnsi="Arial"/>
                <w:sz w:val="18"/>
                <w:szCs w:val="18"/>
                <w:color w:val="auto"/>
              </w:rPr>
              <w:t>April 2018</w:t>
            </w:r>
          </w:p>
        </w:tc>
        <w:tc>
          <w:tcPr>
            <w:tcW w:w="308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Pr>
          <w:p>
            <w:pPr>
              <w:spacing w:after="0"/>
              <w:rPr>
                <w:sz w:val="21"/>
                <w:szCs w:val="21"/>
                <w:color w:val="auto"/>
              </w:rPr>
            </w:pPr>
          </w:p>
        </w:tc>
        <w:tc>
          <w:tcPr>
            <w:tcW w:w="2380" w:type="dxa"/>
            <w:vAlign w:val="bottom"/>
          </w:tcPr>
          <w:p>
            <w:pPr>
              <w:ind w:left="940"/>
              <w:spacing w:after="0"/>
              <w:rPr>
                <w:sz w:val="20"/>
                <w:szCs w:val="20"/>
                <w:color w:val="auto"/>
              </w:rPr>
            </w:pPr>
            <w:r>
              <w:rPr>
                <w:rFonts w:ascii="Arial" w:cs="Arial" w:eastAsia="Arial" w:hAnsi="Arial"/>
                <w:sz w:val="18"/>
                <w:szCs w:val="18"/>
                <w:color w:val="auto"/>
                <w:w w:val="89"/>
              </w:rPr>
              <w:t>December 31, 2020</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60" w:type="dxa"/>
            <w:vAlign w:val="bottom"/>
          </w:tcPr>
          <w:p>
            <w:pPr>
              <w:jc w:val="right"/>
              <w:ind w:right="45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0" w:name="page71"/>
    <w:bookmarkEnd w:id="70"/>
    <w:p>
      <w:pPr>
        <w:ind w:left="380"/>
        <w:spacing w:after="0" w:line="297" w:lineRule="auto"/>
        <w:rPr>
          <w:sz w:val="20"/>
          <w:szCs w:val="20"/>
          <w:color w:val="auto"/>
        </w:rPr>
      </w:pPr>
      <w:r>
        <w:rPr>
          <w:rFonts w:ascii="Arial" w:cs="Arial" w:eastAsia="Arial" w:hAnsi="Arial"/>
          <w:sz w:val="16"/>
          <w:szCs w:val="16"/>
          <w:color w:val="auto"/>
        </w:rPr>
        <w:t>A significant portion of the Company’s purchases under the share repurchase program are used to offset a portion of the shares that have been or will be issued under the 2008 Plan and the 2018 Plan. Purchases under the share repurchase program may be made in the open market or through privately negotiated transactions. The rate at which the Company purchases shares in connection with the share repurchase program may vary from quarter to quarter due to a variety of factors. Amounts shown in this line item include repurchases of Class A common stock and exclude the shares of Class A common stock withheld by the Company to meet the minimum statutory tax withholding requirements as described below.</w:t>
      </w:r>
    </w:p>
    <w:p>
      <w:pPr>
        <w:spacing w:after="0" w:line="158" w:lineRule="exact"/>
        <w:rPr>
          <w:sz w:val="20"/>
          <w:szCs w:val="20"/>
          <w:color w:val="auto"/>
        </w:rPr>
      </w:pPr>
    </w:p>
    <w:p>
      <w:pPr>
        <w:ind w:left="380" w:right="60" w:hanging="372"/>
        <w:spacing w:after="0" w:line="257"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Under the terms of the 2008 Plan and the 2018 Plan, upon the vesting of RSUs, PRSUs, DSUs and delivery of restricted Class A common stock, shares of Class A common stock may be withheld by the Company to meet the minimum statutory tax withholding requirements. During the three month period ended June 30, 2018, the Company satisfied such obligations in lieu of issuing (i) 80,972 shares of Class A common stock upon the vesting or settlement of 1,029,255 RSUs and PRSUs and (ii) 72,604 shares of Class A common stock upon the vesting of 249,132 shares of restricted Class A common stock.</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990"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100" w:type="dxa"/>
            <w:vAlign w:val="bottom"/>
            <w:gridSpan w:val="29"/>
          </w:tcPr>
          <w:p>
            <w:pPr>
              <w:ind w:left="2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Item 6.</w:t>
            </w:r>
          </w:p>
        </w:tc>
        <w:tc>
          <w:tcPr>
            <w:tcW w:w="10400" w:type="dxa"/>
            <w:vAlign w:val="bottom"/>
            <w:gridSpan w:val="37"/>
          </w:tcPr>
          <w:p>
            <w:pPr>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10400" w:type="dxa"/>
            <w:vAlign w:val="bottom"/>
            <w:gridSpan w:val="37"/>
          </w:tcPr>
          <w:p>
            <w:pPr>
              <w:spacing w:after="0"/>
              <w:rPr>
                <w:rFonts w:ascii="Arial" w:cs="Arial" w:eastAsia="Arial" w:hAnsi="Arial"/>
                <w:sz w:val="18"/>
                <w:szCs w:val="18"/>
                <w:color w:val="0000EE"/>
                <w:w w:val="95"/>
              </w:rPr>
            </w:pPr>
            <w:hyperlink r:id="rId104">
              <w:r>
                <w:rPr>
                  <w:rFonts w:ascii="Arial" w:cs="Arial" w:eastAsia="Arial" w:hAnsi="Arial"/>
                  <w:sz w:val="18"/>
                  <w:szCs w:val="18"/>
                  <w:color w:val="0000EE"/>
                  <w:w w:val="95"/>
                </w:rPr>
                <w:t>Certificate of Incorporation and Memorandum of Association of the Registrant (incorporated by reference to Exhibit 3.1 to the Registrant’s</w:t>
              </w:r>
            </w:hyperlink>
          </w:p>
        </w:tc>
      </w:tr>
      <w:tr>
        <w:trPr>
          <w:trHeight w:val="196"/>
        </w:trPr>
        <w:tc>
          <w:tcPr>
            <w:tcW w:w="104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Registration Statement (File No. 333-121407) on Form S-1/A filed on March 21, 2005).</w:t>
              </w:r>
            </w:hyperlink>
          </w:p>
        </w:tc>
        <w:tc>
          <w:tcPr>
            <w:tcW w:w="3660" w:type="dxa"/>
            <w:vAlign w:val="bottom"/>
            <w:tcBorders>
              <w:top w:val="single" w:sz="8" w:color="0000EE"/>
            </w:tcBorders>
            <w:gridSpan w:val="10"/>
          </w:tcPr>
          <w:p>
            <w:pPr>
              <w:spacing w:after="0"/>
              <w:rPr>
                <w:sz w:val="17"/>
                <w:szCs w:val="17"/>
                <w:color w:val="auto"/>
              </w:rPr>
            </w:pPr>
          </w:p>
        </w:tc>
        <w:tc>
          <w:tcPr>
            <w:tcW w:w="380" w:type="dxa"/>
            <w:vAlign w:val="bottom"/>
            <w:gridSpan w:val="14"/>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3.2</w:t>
            </w:r>
          </w:p>
        </w:tc>
        <w:tc>
          <w:tcPr>
            <w:tcW w:w="10400" w:type="dxa"/>
            <w:vAlign w:val="bottom"/>
            <w:gridSpan w:val="37"/>
          </w:tcPr>
          <w:p>
            <w:pPr>
              <w:spacing w:after="0"/>
              <w:rPr>
                <w:rFonts w:ascii="Arial" w:cs="Arial" w:eastAsia="Arial" w:hAnsi="Arial"/>
                <w:sz w:val="18"/>
                <w:szCs w:val="18"/>
                <w:color w:val="0000EE"/>
                <w:w w:val="95"/>
              </w:rPr>
            </w:pPr>
            <w:hyperlink r:id="rId105">
              <w:r>
                <w:rPr>
                  <w:rFonts w:ascii="Arial" w:cs="Arial" w:eastAsia="Arial" w:hAnsi="Arial"/>
                  <w:sz w:val="18"/>
                  <w:szCs w:val="18"/>
                  <w:color w:val="0000EE"/>
                  <w:w w:val="95"/>
                </w:rPr>
                <w:t>Certificate of Incorporation on Change of Name of the Registrant (incorporated by reference to Exhibit 3.2 to the Registrant’s Registration</w:t>
              </w:r>
            </w:hyperlink>
          </w:p>
        </w:tc>
      </w:tr>
      <w:tr>
        <w:trPr>
          <w:trHeight w:val="196"/>
        </w:trPr>
        <w:tc>
          <w:tcPr>
            <w:tcW w:w="1040" w:type="dxa"/>
            <w:vAlign w:val="bottom"/>
          </w:tcPr>
          <w:p>
            <w:pPr>
              <w:spacing w:after="0"/>
              <w:rPr>
                <w:sz w:val="17"/>
                <w:szCs w:val="17"/>
                <w:color w:val="auto"/>
              </w:rPr>
            </w:pPr>
          </w:p>
        </w:tc>
        <w:tc>
          <w:tcPr>
            <w:tcW w:w="99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Statement (File No. 333-121407) on Form S-1/A filed on March 21, 2005).</w:t>
              </w:r>
            </w:hyperlink>
          </w:p>
        </w:tc>
        <w:tc>
          <w:tcPr>
            <w:tcW w:w="420" w:type="dxa"/>
            <w:vAlign w:val="bottom"/>
            <w:gridSpan w:val="1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3.3</w:t>
            </w:r>
          </w:p>
        </w:tc>
        <w:tc>
          <w:tcPr>
            <w:tcW w:w="10180" w:type="dxa"/>
            <w:vAlign w:val="bottom"/>
            <w:tcBorders>
              <w:bottom w:val="single" w:sz="8" w:color="0000EE"/>
            </w:tcBorders>
            <w:gridSpan w:val="30"/>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Amended and Restated Bye-Laws of Lazard Ltd (incorporated by reference to Exhibit 3.3 to the Registrant’s Quarterly Report (File No. 001-</w:t>
              </w:r>
            </w:hyperlink>
          </w:p>
        </w:tc>
        <w:tc>
          <w:tcPr>
            <w:tcW w:w="22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7"/>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32492) on Form 10-Q filed on June 16, 2005).</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3.4</w:t>
            </w:r>
          </w:p>
        </w:tc>
        <w:tc>
          <w:tcPr>
            <w:tcW w:w="10400" w:type="dxa"/>
            <w:vAlign w:val="bottom"/>
            <w:gridSpan w:val="37"/>
          </w:tcPr>
          <w:p>
            <w:pPr>
              <w:spacing w:after="0"/>
              <w:rPr>
                <w:rFonts w:ascii="Arial" w:cs="Arial" w:eastAsia="Arial" w:hAnsi="Arial"/>
                <w:sz w:val="18"/>
                <w:szCs w:val="18"/>
                <w:color w:val="0000EE"/>
                <w:w w:val="94"/>
              </w:rPr>
            </w:pPr>
            <w:hyperlink r:id="rId107">
              <w:r>
                <w:rPr>
                  <w:rFonts w:ascii="Arial" w:cs="Arial" w:eastAsia="Arial" w:hAnsi="Arial"/>
                  <w:sz w:val="18"/>
                  <w:szCs w:val="18"/>
                  <w:color w:val="0000EE"/>
                  <w:w w:val="94"/>
                </w:rPr>
                <w:t>First Amendment to Amended and Restated Bye-Laws of Lazard Ltd (incorporated by reference to Exhibit 3.4 to the Registrant’s Quarterly</w:t>
              </w:r>
            </w:hyperlink>
          </w:p>
        </w:tc>
      </w:tr>
      <w:tr>
        <w:trPr>
          <w:trHeight w:val="196"/>
        </w:trPr>
        <w:tc>
          <w:tcPr>
            <w:tcW w:w="104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Report (File No. 001-32492) on Form 10-Q filed on May 9, 2008).</w:t>
              </w:r>
            </w:hyperlink>
          </w:p>
        </w:tc>
        <w:tc>
          <w:tcPr>
            <w:tcW w:w="5240" w:type="dxa"/>
            <w:vAlign w:val="bottom"/>
            <w:tcBorders>
              <w:top w:val="single" w:sz="8" w:color="0000EE"/>
            </w:tcBorders>
            <w:gridSpan w:val="14"/>
          </w:tcPr>
          <w:p>
            <w:pPr>
              <w:spacing w:after="0"/>
              <w:rPr>
                <w:sz w:val="17"/>
                <w:szCs w:val="17"/>
                <w:color w:val="auto"/>
              </w:rPr>
            </w:pPr>
          </w:p>
        </w:tc>
        <w:tc>
          <w:tcPr>
            <w:tcW w:w="340" w:type="dxa"/>
            <w:vAlign w:val="bottom"/>
            <w:gridSpan w:val="13"/>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3.5</w:t>
            </w:r>
          </w:p>
        </w:tc>
        <w:tc>
          <w:tcPr>
            <w:tcW w:w="9800" w:type="dxa"/>
            <w:vAlign w:val="bottom"/>
            <w:tcBorders>
              <w:bottom w:val="single" w:sz="8" w:color="0000EE"/>
            </w:tcBorders>
            <w:gridSpan w:val="19"/>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Second Amendment to the Amended and Restated Bye-Laws of Lazard Ltd (incorporated by reference to Exhibit 3.5 to the Registrant’s</w:t>
              </w:r>
            </w:hyperlink>
          </w:p>
        </w:tc>
        <w:tc>
          <w:tcPr>
            <w:tcW w:w="600" w:type="dxa"/>
            <w:vAlign w:val="bottom"/>
            <w:gridSpan w:val="1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7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Quarterly Report (File No. 001-32492) on Form 10-Q filed on April 30, 2010).</w:t>
              </w:r>
            </w:hyperlink>
          </w:p>
        </w:tc>
        <w:tc>
          <w:tcPr>
            <w:tcW w:w="4700" w:type="dxa"/>
            <w:vAlign w:val="bottom"/>
            <w:gridSpan w:val="25"/>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4.1</w:t>
            </w:r>
          </w:p>
        </w:tc>
        <w:tc>
          <w:tcPr>
            <w:tcW w:w="10160" w:type="dxa"/>
            <w:vAlign w:val="bottom"/>
            <w:tcBorders>
              <w:bottom w:val="single" w:sz="8" w:color="0000EE"/>
            </w:tcBorders>
            <w:gridSpan w:val="29"/>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Form of Specimen Certificate for Class A common stock (incorporated by reference to Exhibit 4.1 to the Registrant’s Registration Statement</w:t>
              </w:r>
            </w:hyperlink>
          </w:p>
        </w:tc>
        <w:tc>
          <w:tcPr>
            <w:tcW w:w="24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7"/>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(File No. 333-121407) on Form S-1/A filed on April 11, 2005).</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60" w:type="dxa"/>
            <w:vAlign w:val="bottom"/>
            <w:tcBorders>
              <w:left w:val="single" w:sz="8" w:color="0000EE"/>
            </w:tcBorders>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4.2</w:t>
            </w:r>
          </w:p>
        </w:tc>
        <w:tc>
          <w:tcPr>
            <w:tcW w:w="10260" w:type="dxa"/>
            <w:vAlign w:val="bottom"/>
            <w:tcBorders>
              <w:bottom w:val="single" w:sz="8" w:color="0000EE"/>
            </w:tcBorders>
            <w:gridSpan w:val="32"/>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Indenture, dated as of May 10, 2005, by and between Lazard Group LLC and The Bank of New York, as Trustee (incorporated by reference to</w:t>
              </w:r>
            </w:hyperlink>
          </w:p>
        </w:tc>
        <w:tc>
          <w:tcPr>
            <w:tcW w:w="14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7"/>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Exhibit 4.1 to Lazard Group LLC’s Registration Statement (File No. 333-126751)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60" w:type="dxa"/>
            <w:vAlign w:val="bottom"/>
            <w:tcBorders>
              <w:left w:val="single" w:sz="8" w:color="0000EE"/>
            </w:tcBorders>
            <w:gridSpan w:val="5"/>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4.3</w:t>
            </w:r>
          </w:p>
        </w:tc>
        <w:tc>
          <w:tcPr>
            <w:tcW w:w="10360" w:type="dxa"/>
            <w:vAlign w:val="bottom"/>
            <w:tcBorders>
              <w:bottom w:val="single" w:sz="8" w:color="0000EE"/>
            </w:tcBorders>
            <w:gridSpan w:val="35"/>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Fourth Supplemental Indenture, dated as of June 21, 2007, between Lazard Group LLC and The Bank of New York, as trustee (incorporated by</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5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reference to Exhibit 4.1 to the Registrant’s Current Report on Form 8-K (File No. 001-32492) filed on June 22, 2007).</w:t>
              </w:r>
            </w:hyperlink>
          </w:p>
        </w:tc>
        <w:tc>
          <w:tcPr>
            <w:tcW w:w="1820" w:type="dxa"/>
            <w:vAlign w:val="bottom"/>
            <w:gridSpan w:val="21"/>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4.4</w:t>
            </w:r>
          </w:p>
        </w:tc>
        <w:tc>
          <w:tcPr>
            <w:tcW w:w="10400" w:type="dxa"/>
            <w:vAlign w:val="bottom"/>
            <w:gridSpan w:val="37"/>
          </w:tcPr>
          <w:p>
            <w:pPr>
              <w:spacing w:after="0"/>
              <w:rPr>
                <w:rFonts w:ascii="Arial" w:cs="Arial" w:eastAsia="Arial" w:hAnsi="Arial"/>
                <w:sz w:val="18"/>
                <w:szCs w:val="18"/>
                <w:color w:val="0000EE"/>
                <w:w w:val="95"/>
              </w:rPr>
            </w:pPr>
            <w:hyperlink r:id="rId112">
              <w:r>
                <w:rPr>
                  <w:rFonts w:ascii="Arial" w:cs="Arial" w:eastAsia="Arial" w:hAnsi="Arial"/>
                  <w:sz w:val="18"/>
                  <w:szCs w:val="18"/>
                  <w:color w:val="0000EE"/>
                  <w:w w:val="95"/>
                </w:rPr>
                <w:t>Fifth Supplemental Indenture, dated as of November 14, 2013,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60" w:type="dxa"/>
            <w:vAlign w:val="bottom"/>
            <w:tcBorders>
              <w:left w:val="single" w:sz="8" w:color="0000EE"/>
            </w:tcBorders>
            <w:gridSpan w:val="5"/>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(incorporated by reference to Exhibit 4.1 to the Registrant’s Current Report on Form 8-K (File No. 001-32492) filed on November 14, 2013).</w:t>
              </w:r>
            </w:hyperlink>
          </w:p>
        </w:tc>
        <w:tc>
          <w:tcPr>
            <w:tcW w:w="200" w:type="dxa"/>
            <w:vAlign w:val="bottom"/>
            <w:gridSpan w:val="6"/>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4.5</w:t>
            </w:r>
          </w:p>
        </w:tc>
        <w:tc>
          <w:tcPr>
            <w:tcW w:w="10400" w:type="dxa"/>
            <w:vAlign w:val="bottom"/>
            <w:gridSpan w:val="37"/>
          </w:tcPr>
          <w:p>
            <w:pPr>
              <w:spacing w:after="0"/>
              <w:rPr>
                <w:rFonts w:ascii="Arial" w:cs="Arial" w:eastAsia="Arial" w:hAnsi="Arial"/>
                <w:sz w:val="18"/>
                <w:szCs w:val="18"/>
                <w:color w:val="0000EE"/>
                <w:w w:val="95"/>
              </w:rPr>
            </w:pPr>
            <w:hyperlink r:id="rId113">
              <w:r>
                <w:rPr>
                  <w:rFonts w:ascii="Arial" w:cs="Arial" w:eastAsia="Arial" w:hAnsi="Arial"/>
                  <w:sz w:val="18"/>
                  <w:szCs w:val="18"/>
                  <w:color w:val="0000EE"/>
                  <w:w w:val="95"/>
                </w:rPr>
                <w:t>Sixth Supplemental Indenture, dated as of February 13, 2015,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60" w:type="dxa"/>
            <w:vAlign w:val="bottom"/>
            <w:tcBorders>
              <w:left w:val="single" w:sz="8" w:color="0000EE"/>
            </w:tcBorders>
            <w:gridSpan w:val="5"/>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7"/>
          </w:tcPr>
          <w:p>
            <w:pPr>
              <w:spacing w:after="0" w:line="196" w:lineRule="exact"/>
              <w:rPr>
                <w:rFonts w:ascii="Arial" w:cs="Arial" w:eastAsia="Arial" w:hAnsi="Arial"/>
                <w:sz w:val="18"/>
                <w:szCs w:val="18"/>
                <w:color w:val="0000EE"/>
                <w:w w:val="94"/>
              </w:rPr>
            </w:pPr>
            <w:hyperlink r:id="rId113">
              <w:r>
                <w:rPr>
                  <w:rFonts w:ascii="Arial" w:cs="Arial" w:eastAsia="Arial" w:hAnsi="Arial"/>
                  <w:sz w:val="18"/>
                  <w:szCs w:val="18"/>
                  <w:color w:val="0000EE"/>
                  <w:w w:val="94"/>
                </w:rPr>
                <w:t>(incorporated by reference to Exhibit 4.1 of the Registrant’s Current Report on Form 8-K (File No. 001-32492) filed on February 13, 2015).</w:t>
              </w:r>
            </w:hyperlink>
          </w:p>
        </w:tc>
      </w:tr>
      <w:tr>
        <w:trPr>
          <w:trHeight w:val="20"/>
        </w:trPr>
        <w:tc>
          <w:tcPr>
            <w:tcW w:w="10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60" w:type="dxa"/>
            <w:vAlign w:val="bottom"/>
            <w:tcBorders>
              <w:left w:val="single" w:sz="8" w:color="0000EE"/>
            </w:tcBorders>
            <w:gridSpan w:val="5"/>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4.6</w:t>
            </w:r>
          </w:p>
        </w:tc>
        <w:tc>
          <w:tcPr>
            <w:tcW w:w="10140" w:type="dxa"/>
            <w:vAlign w:val="bottom"/>
            <w:tcBorders>
              <w:bottom w:val="single" w:sz="8" w:color="0000EE"/>
            </w:tcBorders>
            <w:gridSpan w:val="28"/>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Seventh Supplemental Indenture, dated as of November 4, 2016, between Lazard Group LLC and The Bank of New York Mellon, as trustee</w:t>
              </w:r>
            </w:hyperlink>
          </w:p>
        </w:tc>
        <w:tc>
          <w:tcPr>
            <w:tcW w:w="26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(incorporated by reference to Exhibit 4.1 of the Registrant’s Current Report on Form 8-K (File No. 001-32492) filed on November 7, 2016).</w:t>
              </w:r>
            </w:hyperlink>
          </w:p>
        </w:tc>
        <w:tc>
          <w:tcPr>
            <w:tcW w:w="280" w:type="dxa"/>
            <w:vAlign w:val="bottom"/>
            <w:gridSpan w:val="10"/>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4.7</w:t>
            </w:r>
          </w:p>
        </w:tc>
        <w:tc>
          <w:tcPr>
            <w:tcW w:w="10400" w:type="dxa"/>
            <w:vAlign w:val="bottom"/>
            <w:gridSpan w:val="37"/>
          </w:tcPr>
          <w:p>
            <w:pPr>
              <w:spacing w:after="0"/>
              <w:rPr>
                <w:rFonts w:ascii="Arial" w:cs="Arial" w:eastAsia="Arial" w:hAnsi="Arial"/>
                <w:sz w:val="18"/>
                <w:szCs w:val="18"/>
                <w:color w:val="auto"/>
              </w:rPr>
            </w:pPr>
            <w:r>
              <w:rPr>
                <w:rFonts w:ascii="Arial" w:cs="Arial" w:eastAsia="Arial" w:hAnsi="Arial"/>
                <w:sz w:val="18"/>
                <w:szCs w:val="18"/>
                <w:color w:val="auto"/>
              </w:rPr>
              <w:t xml:space="preserve">Form of Senior Note (included in Exhibits </w:t>
            </w:r>
            <w:hyperlink r:id="rId111">
              <w:r>
                <w:rPr>
                  <w:rFonts w:ascii="Arial" w:cs="Arial" w:eastAsia="Arial" w:hAnsi="Arial"/>
                  <w:sz w:val="18"/>
                  <w:szCs w:val="18"/>
                  <w:color w:val="0000EE"/>
                </w:rPr>
                <w:t>4.3</w:t>
              </w:r>
            </w:hyperlink>
            <w:r>
              <w:rPr>
                <w:rFonts w:ascii="Arial" w:cs="Arial" w:eastAsia="Arial" w:hAnsi="Arial"/>
                <w:sz w:val="18"/>
                <w:szCs w:val="18"/>
                <w:color w:val="auto"/>
              </w:rPr>
              <w:t xml:space="preserve">, </w:t>
            </w:r>
            <w:hyperlink r:id="rId112">
              <w:r>
                <w:rPr>
                  <w:rFonts w:ascii="Arial" w:cs="Arial" w:eastAsia="Arial" w:hAnsi="Arial"/>
                  <w:sz w:val="18"/>
                  <w:szCs w:val="18"/>
                  <w:color w:val="0000EE"/>
                </w:rPr>
                <w:t>4.4</w:t>
              </w:r>
            </w:hyperlink>
            <w:r>
              <w:rPr>
                <w:rFonts w:ascii="Arial" w:cs="Arial" w:eastAsia="Arial" w:hAnsi="Arial"/>
                <w:sz w:val="18"/>
                <w:szCs w:val="18"/>
                <w:color w:val="auto"/>
              </w:rPr>
              <w:t xml:space="preserve">, </w:t>
            </w:r>
            <w:hyperlink r:id="rId113">
              <w:r>
                <w:rPr>
                  <w:rFonts w:ascii="Arial" w:cs="Arial" w:eastAsia="Arial" w:hAnsi="Arial"/>
                  <w:sz w:val="18"/>
                  <w:szCs w:val="18"/>
                  <w:color w:val="0000EE"/>
                </w:rPr>
                <w:t>4.5</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14">
              <w:r>
                <w:rPr>
                  <w:rFonts w:ascii="Arial" w:cs="Arial" w:eastAsia="Arial" w:hAnsi="Arial"/>
                  <w:sz w:val="18"/>
                  <w:szCs w:val="18"/>
                  <w:color w:val="0000EE"/>
                </w:rPr>
                <w:t>4.6</w:t>
              </w:r>
            </w:hyperlink>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10.1</w:t>
            </w:r>
          </w:p>
        </w:tc>
        <w:tc>
          <w:tcPr>
            <w:tcW w:w="10360" w:type="dxa"/>
            <w:vAlign w:val="bottom"/>
            <w:tcBorders>
              <w:bottom w:val="single" w:sz="8" w:color="0000EE"/>
            </w:tcBorders>
            <w:gridSpan w:val="35"/>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Amended and Restated Operating Agreement of Lazard Group LLC, dated as of October 26, 2015 (incorporated by reference to Exhibit 10.1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8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Registrant’s Quarterly Report (File No. 001-32492) on Form 10-Q filed on October 28, 2015).</w:t>
              </w:r>
            </w:hyperlink>
          </w:p>
        </w:tc>
        <w:tc>
          <w:tcPr>
            <w:tcW w:w="3600" w:type="dxa"/>
            <w:vAlign w:val="bottom"/>
            <w:gridSpan w:val="23"/>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10.2</w:t>
            </w:r>
          </w:p>
        </w:tc>
        <w:tc>
          <w:tcPr>
            <w:tcW w:w="10400" w:type="dxa"/>
            <w:vAlign w:val="bottom"/>
            <w:gridSpan w:val="37"/>
          </w:tcPr>
          <w:p>
            <w:pPr>
              <w:spacing w:after="0"/>
              <w:rPr>
                <w:rFonts w:ascii="Arial" w:cs="Arial" w:eastAsia="Arial" w:hAnsi="Arial"/>
                <w:sz w:val="18"/>
                <w:szCs w:val="18"/>
                <w:color w:val="0000EE"/>
                <w:w w:val="95"/>
              </w:rPr>
            </w:pPr>
            <w:hyperlink r:id="rId116">
              <w:r>
                <w:rPr>
                  <w:rFonts w:ascii="Arial" w:cs="Arial" w:eastAsia="Arial" w:hAnsi="Arial"/>
                  <w:sz w:val="18"/>
                  <w:szCs w:val="18"/>
                  <w:color w:val="0000EE"/>
                  <w:w w:val="95"/>
                </w:rPr>
                <w:t>Amendment No.1 to Amended and Restated Operating Agreement of Lazard Group LLC, dated as of October 27, 2016 (incorporated by</w:t>
              </w:r>
            </w:hyperlink>
          </w:p>
        </w:tc>
      </w:tr>
      <w:tr>
        <w:trPr>
          <w:trHeight w:val="196"/>
        </w:trPr>
        <w:tc>
          <w:tcPr>
            <w:tcW w:w="104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reference to Exhibit 10.2 to Registrant’s Quarterly Report (File No. 001-32492) on Form 10-Q filed on October 28, 2016).</w:t>
              </w:r>
            </w:hyperlink>
          </w:p>
        </w:tc>
        <w:tc>
          <w:tcPr>
            <w:tcW w:w="1060" w:type="dxa"/>
            <w:vAlign w:val="bottom"/>
            <w:tcBorders>
              <w:top w:val="single" w:sz="8" w:color="0000EE"/>
            </w:tcBorders>
            <w:gridSpan w:val="3"/>
          </w:tcPr>
          <w:p>
            <w:pPr>
              <w:spacing w:after="0"/>
              <w:rPr>
                <w:sz w:val="17"/>
                <w:szCs w:val="17"/>
                <w:color w:val="auto"/>
              </w:rPr>
            </w:pPr>
          </w:p>
        </w:tc>
        <w:tc>
          <w:tcPr>
            <w:tcW w:w="520" w:type="dxa"/>
            <w:vAlign w:val="bottom"/>
            <w:gridSpan w:val="17"/>
          </w:tcPr>
          <w:p>
            <w:pPr>
              <w:spacing w:after="0"/>
              <w:rPr>
                <w:sz w:val="17"/>
                <w:szCs w:val="17"/>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10.3</w:t>
            </w:r>
          </w:p>
        </w:tc>
        <w:tc>
          <w:tcPr>
            <w:tcW w:w="10360" w:type="dxa"/>
            <w:vAlign w:val="bottom"/>
            <w:tcBorders>
              <w:bottom w:val="single" w:sz="8" w:color="0000EE"/>
            </w:tcBorders>
            <w:gridSpan w:val="35"/>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Second Amended and Restated Tax Receivable Agreement, dated as of October 26, 2015, by and among Ltd Sub A, Ltd Sub B and LTBP Trust</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7"/>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(incorporated by reference to Exhibit 10.2 to the Registrant’s Quarterly Report (File No. 001-32492) on Form 10-Q filed on October 28, 2015).</w:t>
              </w:r>
            </w:hyperlink>
          </w:p>
        </w:tc>
      </w:tr>
      <w:tr>
        <w:trPr>
          <w:trHeight w:val="20"/>
        </w:trPr>
        <w:tc>
          <w:tcPr>
            <w:tcW w:w="104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140" w:type="dxa"/>
            <w:vAlign w:val="bottom"/>
            <w:tcBorders>
              <w:right w:val="single" w:sz="8" w:color="0000EE"/>
            </w:tcBorders>
            <w:gridSpan w:val="6"/>
            <w:shd w:val="clear" w:color="auto" w:fill="0000EE"/>
          </w:tcPr>
          <w:p>
            <w:pPr>
              <w:spacing w:after="0" w:line="20" w:lineRule="exact"/>
              <w:rPr>
                <w:sz w:val="1"/>
                <w:szCs w:val="1"/>
                <w:color w:val="auto"/>
              </w:rPr>
            </w:pPr>
          </w:p>
        </w:tc>
        <w:tc>
          <w:tcPr>
            <w:tcW w:w="3520" w:type="dxa"/>
            <w:vAlign w:val="bottom"/>
            <w:tcBorders>
              <w:left w:val="single" w:sz="8" w:color="0000EE"/>
            </w:tcBorders>
            <w:gridSpan w:val="6"/>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gridSpan w:val="7"/>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10.4</w:t>
            </w:r>
          </w:p>
        </w:tc>
        <w:tc>
          <w:tcPr>
            <w:tcW w:w="10340" w:type="dxa"/>
            <w:vAlign w:val="bottom"/>
            <w:tcBorders>
              <w:bottom w:val="single" w:sz="8" w:color="0000EE"/>
            </w:tcBorders>
            <w:gridSpan w:val="34"/>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Lease, dated as of January 27, 1994, by and between Rockefeller Center Properties and Lazard Frères &amp; Co. LLC (incorporated by reference to</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7"/>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Exhibit 10.19 to the Registrant’s Registration Statement (File No. 333-121407) on Form S-1/A filed on February 11, 2005).</w:t>
              </w:r>
            </w:hyperlink>
          </w:p>
        </w:tc>
      </w:tr>
      <w:tr>
        <w:trPr>
          <w:trHeight w:val="20"/>
        </w:trPr>
        <w:tc>
          <w:tcPr>
            <w:tcW w:w="104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140" w:type="dxa"/>
            <w:vAlign w:val="bottom"/>
            <w:tcBorders>
              <w:right w:val="single" w:sz="8" w:color="0000EE"/>
            </w:tcBorders>
            <w:gridSpan w:val="6"/>
            <w:shd w:val="clear" w:color="auto" w:fill="0000EE"/>
          </w:tcPr>
          <w:p>
            <w:pPr>
              <w:spacing w:after="0" w:line="20" w:lineRule="exact"/>
              <w:rPr>
                <w:sz w:val="1"/>
                <w:szCs w:val="1"/>
                <w:color w:val="auto"/>
              </w:rPr>
            </w:pPr>
          </w:p>
        </w:tc>
        <w:tc>
          <w:tcPr>
            <w:tcW w:w="3520" w:type="dxa"/>
            <w:vAlign w:val="bottom"/>
            <w:tcBorders>
              <w:left w:val="single" w:sz="8" w:color="0000EE"/>
            </w:tcBorders>
            <w:gridSpan w:val="6"/>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10.5</w:t>
            </w:r>
          </w:p>
        </w:tc>
        <w:tc>
          <w:tcPr>
            <w:tcW w:w="10380" w:type="dxa"/>
            <w:vAlign w:val="bottom"/>
            <w:tcBorders>
              <w:bottom w:val="single" w:sz="8" w:color="0000EE"/>
            </w:tcBorders>
            <w:gridSpan w:val="36"/>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Fourth Amendment dated as of February 16, 2011, by and among RCPI Landmark Properties, L.L.C. (as the successor in interest to Rockefeller</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Center Properties), RCPI 30 Rock 22234849, L.L.C. and Lazard Group LLC (as the successor in interest to Lazard Frères &amp; Co. LLC), to the</w:t>
              </w:r>
            </w:hyperlink>
          </w:p>
        </w:tc>
        <w:tc>
          <w:tcPr>
            <w:tcW w:w="20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Lease dated as of January 27, 1994, by and among Rockefeller Center Properties and Lazard Frères &amp; Co. LLC (incorporated by reference to</w:t>
              </w:r>
            </w:hyperlink>
          </w:p>
        </w:tc>
        <w:tc>
          <w:tcPr>
            <w:tcW w:w="22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7"/>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Exhibit 10.16 to the Registrant’s Quarterly Report (File No. 001-32492) on Form 10-Q filed on April 29, 2011).</w:t>
              </w:r>
            </w:hyperlink>
          </w:p>
        </w:tc>
      </w:tr>
      <w:tr>
        <w:trPr>
          <w:trHeight w:val="20"/>
        </w:trPr>
        <w:tc>
          <w:tcPr>
            <w:tcW w:w="104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140" w:type="dxa"/>
            <w:vAlign w:val="bottom"/>
            <w:tcBorders>
              <w:right w:val="single" w:sz="8" w:color="0000EE"/>
            </w:tcBorders>
            <w:gridSpan w:val="6"/>
            <w:shd w:val="clear" w:color="auto" w:fill="0000EE"/>
          </w:tcPr>
          <w:p>
            <w:pPr>
              <w:spacing w:after="0" w:line="20" w:lineRule="exact"/>
              <w:rPr>
                <w:sz w:val="1"/>
                <w:szCs w:val="1"/>
                <w:color w:val="auto"/>
              </w:rPr>
            </w:pPr>
          </w:p>
        </w:tc>
        <w:tc>
          <w:tcPr>
            <w:tcW w:w="3520" w:type="dxa"/>
            <w:vAlign w:val="bottom"/>
            <w:tcBorders>
              <w:left w:val="single" w:sz="8" w:color="0000EE"/>
            </w:tcBorders>
            <w:gridSpan w:val="6"/>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10.6*</w:t>
            </w:r>
          </w:p>
        </w:tc>
        <w:tc>
          <w:tcPr>
            <w:tcW w:w="10100" w:type="dxa"/>
            <w:vAlign w:val="bottom"/>
            <w:tcBorders>
              <w:bottom w:val="single" w:sz="8" w:color="0000EE"/>
            </w:tcBorders>
            <w:gridSpan w:val="26"/>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Lazard Ltd 2005 Equity Incentive Plan (incorporated by reference to Exhibit 10.21 to the Registrant’s Registration Statement (File No. 333-</w:t>
              </w:r>
            </w:hyperlink>
          </w:p>
        </w:tc>
        <w:tc>
          <w:tcPr>
            <w:tcW w:w="30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7"/>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121407) on Form S-1/A filed on May 2, 2005).</w:t>
              </w:r>
            </w:hyperlink>
          </w:p>
        </w:tc>
      </w:tr>
      <w:tr>
        <w:trPr>
          <w:trHeight w:val="20"/>
        </w:trPr>
        <w:tc>
          <w:tcPr>
            <w:tcW w:w="104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5260" w:type="dxa"/>
            <w:vAlign w:val="bottom"/>
            <w:gridSpan w:val="10"/>
          </w:tcPr>
          <w:p>
            <w:pPr>
              <w:spacing w:after="0" w:line="20" w:lineRule="exact"/>
              <w:rPr>
                <w:sz w:val="1"/>
                <w:szCs w:val="1"/>
                <w:color w:val="auto"/>
              </w:rPr>
            </w:pPr>
          </w:p>
        </w:tc>
        <w:tc>
          <w:tcPr>
            <w:tcW w:w="600" w:type="dxa"/>
            <w:vAlign w:val="bottom"/>
            <w:gridSpan w:val="18"/>
          </w:tcPr>
          <w:p>
            <w:pPr>
              <w:spacing w:after="0" w:line="20" w:lineRule="exact"/>
              <w:rPr>
                <w:sz w:val="1"/>
                <w:szCs w:val="1"/>
                <w:color w:val="auto"/>
              </w:rPr>
            </w:pPr>
          </w:p>
        </w:tc>
      </w:tr>
      <w:tr>
        <w:trPr>
          <w:trHeight w:val="277"/>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10.7*</w:t>
            </w:r>
          </w:p>
        </w:tc>
        <w:tc>
          <w:tcPr>
            <w:tcW w:w="9800" w:type="dxa"/>
            <w:vAlign w:val="bottom"/>
            <w:tcBorders>
              <w:bottom w:val="single" w:sz="8" w:color="0000EE"/>
            </w:tcBorders>
            <w:gridSpan w:val="19"/>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Lazard Ltd 2008 Incentive Compensation Plan (incorporated by reference to Annex B to the Registrant’s Definitive Proxy Statement on</w:t>
              </w:r>
            </w:hyperlink>
          </w:p>
        </w:tc>
        <w:tc>
          <w:tcPr>
            <w:tcW w:w="600" w:type="dxa"/>
            <w:vAlign w:val="bottom"/>
            <w:gridSpan w:val="1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5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Schedule 14A (File No. 001-32492) filed on March 24, 2008).</w:t>
              </w:r>
            </w:hyperlink>
          </w:p>
        </w:tc>
        <w:tc>
          <w:tcPr>
            <w:tcW w:w="5860" w:type="dxa"/>
            <w:vAlign w:val="bottom"/>
            <w:gridSpan w:val="28"/>
          </w:tcPr>
          <w:p>
            <w:pPr>
              <w:spacing w:after="0"/>
              <w:rPr>
                <w:sz w:val="17"/>
                <w:szCs w:val="17"/>
                <w:color w:val="auto"/>
              </w:rPr>
            </w:pPr>
          </w:p>
        </w:tc>
      </w:tr>
      <w:tr>
        <w:trPr>
          <w:trHeight w:val="453"/>
        </w:trPr>
        <w:tc>
          <w:tcPr>
            <w:tcW w:w="1040" w:type="dxa"/>
            <w:vAlign w:val="bottom"/>
          </w:tcPr>
          <w:p>
            <w:pPr>
              <w:spacing w:after="0"/>
              <w:rPr>
                <w:sz w:val="24"/>
                <w:szCs w:val="24"/>
                <w:color w:val="auto"/>
              </w:rPr>
            </w:pPr>
          </w:p>
        </w:tc>
        <w:tc>
          <w:tcPr>
            <w:tcW w:w="4820" w:type="dxa"/>
            <w:vAlign w:val="bottom"/>
            <w:gridSpan w:val="10"/>
          </w:tcPr>
          <w:p>
            <w:pPr>
              <w:ind w:left="4580"/>
              <w:spacing w:after="0"/>
              <w:rPr>
                <w:sz w:val="20"/>
                <w:szCs w:val="20"/>
                <w:color w:val="auto"/>
              </w:rPr>
            </w:pPr>
            <w:r>
              <w:rPr>
                <w:rFonts w:ascii="Arial" w:cs="Arial" w:eastAsia="Arial" w:hAnsi="Arial"/>
                <w:sz w:val="18"/>
                <w:szCs w:val="18"/>
                <w:color w:val="auto"/>
              </w:rPr>
              <w:t>70</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2" w:name="page73"/>
    <w:bookmarkEnd w:id="72"/>
    <w:p>
      <w:pPr>
        <w:ind w:left="940" w:right="6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24">
        <w:r>
          <w:rPr>
            <w:rFonts w:ascii="Arial" w:cs="Arial" w:eastAsia="Arial" w:hAnsi="Arial"/>
            <w:sz w:val="18"/>
            <w:szCs w:val="18"/>
            <w:u w:val="single" w:color="auto"/>
            <w:color w:val="0000EE"/>
          </w:rPr>
          <w:t>Lazard Ltd 2016 French Sub-plan (incorporated by reference to Annex B to the Registrant’s Definitive Proxy Statement on Schedule 14A (File</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No. 001-32492) filed on March 10, 2016).</w:t>
        </w:r>
      </w:hyperlink>
    </w:p>
    <w:p>
      <w:pPr>
        <w:spacing w:after="0" w:line="35" w:lineRule="exact"/>
        <w:rPr>
          <w:sz w:val="20"/>
          <w:szCs w:val="20"/>
          <w:color w:val="auto"/>
        </w:rPr>
      </w:pPr>
    </w:p>
    <w:p>
      <w:pPr>
        <w:ind w:left="940" w:right="58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25">
        <w:r>
          <w:rPr>
            <w:rFonts w:ascii="Arial" w:cs="Arial" w:eastAsia="Arial" w:hAnsi="Arial"/>
            <w:sz w:val="18"/>
            <w:szCs w:val="18"/>
            <w:u w:val="single" w:color="auto"/>
            <w:color w:val="0000EE"/>
          </w:rPr>
          <w:t>Lazard Ltd 2018 Incentive Compensation Plan (incorporated by reference to Annex B to the Registrant’s Definitive Proxy Statement on</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Schedule 14A (File No. 001-32492) filed on March 15, 2018).</w:t>
        </w:r>
      </w:hyperlink>
    </w:p>
    <w:p>
      <w:pPr>
        <w:spacing w:after="0" w:line="35" w:lineRule="exact"/>
        <w:rPr>
          <w:sz w:val="20"/>
          <w:szCs w:val="20"/>
          <w:color w:val="auto"/>
        </w:rPr>
      </w:pPr>
    </w:p>
    <w:p>
      <w:pPr>
        <w:ind w:left="940" w:right="6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26">
        <w:r>
          <w:rPr>
            <w:rFonts w:ascii="Arial" w:cs="Arial" w:eastAsia="Arial" w:hAnsi="Arial"/>
            <w:sz w:val="18"/>
            <w:szCs w:val="18"/>
            <w:u w:val="single" w:color="auto"/>
            <w:color w:val="0000EE"/>
          </w:rPr>
          <w:t>Amended and Restated Agreement relating to Retention and Noncompetition and Other Covenants, dated as of March 9, 2016, by and among</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the Registrant, Lazard Group LLC and Kenneth M. Jacobs (incorporated by reference to Exhibit 10.9 to the Registrant’s Quarterly Report (File</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No. 001-32492) on Form 10-Q filed on April 27, 2016).</w:t>
        </w:r>
      </w:hyperlink>
    </w:p>
    <w:p>
      <w:pPr>
        <w:spacing w:after="0" w:line="46" w:lineRule="exact"/>
        <w:rPr>
          <w:rFonts w:ascii="Arial" w:cs="Arial" w:eastAsia="Arial" w:hAnsi="Arial"/>
          <w:sz w:val="18"/>
          <w:szCs w:val="18"/>
          <w:u w:val="single" w:color="auto"/>
          <w:color w:val="0000EE"/>
        </w:rPr>
      </w:pPr>
    </w:p>
    <w:p>
      <w:pPr>
        <w:jc w:val="both"/>
        <w:ind w:left="940" w:right="16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27">
        <w:r>
          <w:rPr>
            <w:rFonts w:ascii="Arial" w:cs="Arial" w:eastAsia="Arial" w:hAnsi="Arial"/>
            <w:sz w:val="18"/>
            <w:szCs w:val="18"/>
            <w:u w:val="single" w:color="auto"/>
            <w:color w:val="0000EE"/>
          </w:rPr>
          <w:t>Amended and Restated Agreement relating to Retention and Noncompetition and Other Covenants, dated as of March 9, 2016, by and among</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the Registrant, Lazard Group LLC and Ashish Bhutani (incorporated by reference to Exhibit 10.10 to the Registrant’s Quarterly Report (File</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No. 001-32492) on Form 10-Q filed on April 27, 2016).</w:t>
        </w:r>
      </w:hyperlink>
    </w:p>
    <w:p>
      <w:pPr>
        <w:spacing w:after="0" w:line="46" w:lineRule="exact"/>
        <w:rPr>
          <w:rFonts w:ascii="Arial" w:cs="Arial" w:eastAsia="Arial" w:hAnsi="Arial"/>
          <w:sz w:val="18"/>
          <w:szCs w:val="18"/>
          <w:u w:val="single" w:color="auto"/>
          <w:color w:val="0000EE"/>
        </w:rPr>
      </w:pPr>
    </w:p>
    <w:p>
      <w:pPr>
        <w:jc w:val="both"/>
        <w:ind w:left="940" w:right="8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28">
        <w:r>
          <w:rPr>
            <w:rFonts w:ascii="Arial" w:cs="Arial" w:eastAsia="Arial" w:hAnsi="Arial"/>
            <w:sz w:val="18"/>
            <w:szCs w:val="18"/>
            <w:u w:val="single" w:color="auto"/>
            <w:color w:val="0000EE"/>
          </w:rPr>
          <w:t>Amended and Restated Agreement relating to Retention and Noncompetition and Other Covenants, dated as of March 9, 2016, by and among</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the Registrant, Lazard Group LLC and Matthieu Bucaille (incorporated by reference to Exhibit 10.11 to the Registrant’s Quarterly Report (File</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No. 001-32492) on Form 10-Q filed on April 27, 2016).</w:t>
        </w:r>
      </w:hyperlink>
    </w:p>
    <w:p>
      <w:pPr>
        <w:spacing w:after="0" w:line="46" w:lineRule="exact"/>
        <w:rPr>
          <w:rFonts w:ascii="Arial" w:cs="Arial" w:eastAsia="Arial" w:hAnsi="Arial"/>
          <w:sz w:val="18"/>
          <w:szCs w:val="18"/>
          <w:u w:val="single" w:color="auto"/>
          <w:color w:val="0000EE"/>
        </w:rPr>
      </w:pPr>
    </w:p>
    <w:p>
      <w:pPr>
        <w:jc w:val="both"/>
        <w:ind w:left="940" w:right="8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29">
        <w:r>
          <w:rPr>
            <w:rFonts w:ascii="Arial" w:cs="Arial" w:eastAsia="Arial" w:hAnsi="Arial"/>
            <w:sz w:val="18"/>
            <w:szCs w:val="18"/>
            <w:u w:val="single" w:color="auto"/>
            <w:color w:val="0000EE"/>
          </w:rPr>
          <w:t>Amended and Restated Agreement relating to Retention and Noncompetition and Other Covenants, dated as of March 9, 2016, by and among</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the Registrant, Lazard Group LLC and Scott D. Hoffman (incorporated by reference to Exhibit 10.12 to the Registrant’s Quarterly Report (File</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No. 001-32492) on Form 10-Q filed on April 27, 2016).</w:t>
        </w:r>
      </w:hyperlink>
    </w:p>
    <w:p>
      <w:pPr>
        <w:spacing w:after="0" w:line="46" w:lineRule="exact"/>
        <w:rPr>
          <w:rFonts w:ascii="Arial" w:cs="Arial" w:eastAsia="Arial" w:hAnsi="Arial"/>
          <w:sz w:val="18"/>
          <w:szCs w:val="18"/>
          <w:u w:val="single" w:color="auto"/>
          <w:color w:val="0000EE"/>
        </w:rPr>
      </w:pPr>
    </w:p>
    <w:p>
      <w:pPr>
        <w:ind w:left="940" w:right="240" w:hanging="949"/>
        <w:spacing w:after="0" w:line="286" w:lineRule="auto"/>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10.14*</w:t>
      </w:r>
      <w:r>
        <w:rPr>
          <w:sz w:val="20"/>
          <w:szCs w:val="20"/>
          <w:color w:val="auto"/>
        </w:rPr>
        <w:tab/>
      </w:r>
      <w:hyperlink r:id="rId130">
        <w:r>
          <w:rPr>
            <w:rFonts w:ascii="Arial" w:cs="Arial" w:eastAsia="Arial" w:hAnsi="Arial"/>
            <w:sz w:val="17"/>
            <w:szCs w:val="17"/>
            <w:u w:val="single" w:color="auto"/>
            <w:color w:val="0000EE"/>
          </w:rPr>
          <w:t>Amendment, dated as of October 30, 2017, to Amended and Restated Agreement relating to Retention and Noncompetition and Other</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Covenants, dated as of March 9, 2016, by and among the Registrant, Lazard Group LLC and Scott D. Hoffman (incorporated by reference to</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Exhibit 10.14 to the Registrant’s Quarterly Report (File No. 001-324927) on Form 10-Q filed October 31, 2017).</w:t>
        </w:r>
      </w:hyperlink>
    </w:p>
    <w:p>
      <w:pPr>
        <w:spacing w:after="0" w:line="30" w:lineRule="exact"/>
        <w:rPr>
          <w:rFonts w:ascii="Arial" w:cs="Arial" w:eastAsia="Arial" w:hAnsi="Arial"/>
          <w:sz w:val="17"/>
          <w:szCs w:val="17"/>
          <w:u w:val="single" w:color="auto"/>
          <w:color w:val="0000EE"/>
        </w:rPr>
      </w:pPr>
    </w:p>
    <w:p>
      <w:pPr>
        <w:jc w:val="both"/>
        <w:ind w:left="94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31">
        <w:r>
          <w:rPr>
            <w:rFonts w:ascii="Arial" w:cs="Arial" w:eastAsia="Arial" w:hAnsi="Arial"/>
            <w:sz w:val="18"/>
            <w:szCs w:val="18"/>
            <w:u w:val="single" w:color="auto"/>
            <w:color w:val="0000EE"/>
          </w:rPr>
          <w:t>Agreement relating to Retention and Noncompetition and Other Covenants, dated as of October 30, 2017, by and among the Registrant, Lazard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Group LLC and Evan L. Russo (incorporated by reference to Exhibit 10.15 to the Registrant’s Quarterly Report (File No. 001-324927) on Form</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10-Q filed October 31, 2017).</w:t>
        </w:r>
      </w:hyperlink>
    </w:p>
    <w:p>
      <w:pPr>
        <w:spacing w:after="0" w:line="46" w:lineRule="exact"/>
        <w:rPr>
          <w:rFonts w:ascii="Arial" w:cs="Arial" w:eastAsia="Arial" w:hAnsi="Arial"/>
          <w:sz w:val="18"/>
          <w:szCs w:val="18"/>
          <w:u w:val="single" w:color="auto"/>
          <w:color w:val="0000EE"/>
        </w:rPr>
      </w:pPr>
    </w:p>
    <w:p>
      <w:pPr>
        <w:ind w:left="940" w:right="2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32">
        <w:r>
          <w:rPr>
            <w:rFonts w:ascii="Arial" w:cs="Arial" w:eastAsia="Arial" w:hAnsi="Arial"/>
            <w:sz w:val="18"/>
            <w:szCs w:val="18"/>
            <w:u w:val="single" w:color="auto"/>
            <w:color w:val="0000EE"/>
          </w:rPr>
          <w:t>Amended and Restated Agreement relating to Retention and Noncompetition and Other Covenants, dated as of March 9, 2016, by and among</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the Registrant, Lazard Group LLC and Alexander F. Stern (incorporated by reference to Exhibit 10.13 to the Registrant’s Quarterly Report (File</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No. 001-32492) on Form 10-Q filed on April 27, 2016).</w:t>
        </w:r>
      </w:hyperlink>
    </w:p>
    <w:p>
      <w:pPr>
        <w:spacing w:after="0" w:line="46" w:lineRule="exact"/>
        <w:rPr>
          <w:rFonts w:ascii="Arial" w:cs="Arial" w:eastAsia="Arial" w:hAnsi="Arial"/>
          <w:sz w:val="18"/>
          <w:szCs w:val="18"/>
          <w:u w:val="single" w:color="auto"/>
          <w:color w:val="0000EE"/>
        </w:rPr>
      </w:pPr>
    </w:p>
    <w:p>
      <w:pPr>
        <w:ind w:left="940" w:right="18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33">
        <w:r>
          <w:rPr>
            <w:rFonts w:ascii="Arial" w:cs="Arial" w:eastAsia="Arial" w:hAnsi="Arial"/>
            <w:sz w:val="18"/>
            <w:szCs w:val="18"/>
            <w:u w:val="single" w:color="auto"/>
            <w:color w:val="0000EE"/>
          </w:rPr>
          <w:t>Form of Award Letter for Annual Grant of Deferred Stock Units to Non-Executive Directors (incorporated by reference to Exhibit 99.1 to the</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Registrant’s Current Report on Form 8-K (File No. 001-32492) filed on September 8, 2005).</w:t>
        </w:r>
      </w:hyperlink>
    </w:p>
    <w:p>
      <w:pPr>
        <w:spacing w:after="0" w:line="35" w:lineRule="exact"/>
        <w:rPr>
          <w:sz w:val="20"/>
          <w:szCs w:val="20"/>
          <w:color w:val="auto"/>
        </w:rPr>
      </w:pPr>
    </w:p>
    <w:p>
      <w:pPr>
        <w:ind w:left="940" w:right="320" w:hanging="949"/>
        <w:spacing w:after="0" w:line="334"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hyperlink r:id="rId134">
        <w:r>
          <w:rPr>
            <w:rFonts w:ascii="Arial" w:cs="Arial" w:eastAsia="Arial" w:hAnsi="Arial"/>
            <w:sz w:val="16"/>
            <w:szCs w:val="16"/>
            <w:u w:val="single" w:color="auto"/>
            <w:color w:val="0000EE"/>
          </w:rPr>
          <w:t>Form of Agreement evidencing a grant of Restricted Stock Units to Executive Officers under the 2008 Incentive Compensation Plan</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(incorporated by reference to Exhibit 10.41 to the Registrant’s Annual Report (File No. 001-32492) on Form 10-K filed on March 2, 2009).</w:t>
        </w:r>
      </w:hyperlink>
    </w:p>
    <w:p>
      <w:pPr>
        <w:spacing w:after="0" w:line="1" w:lineRule="exact"/>
        <w:rPr>
          <w:sz w:val="20"/>
          <w:szCs w:val="20"/>
          <w:color w:val="auto"/>
        </w:rPr>
      </w:pPr>
    </w:p>
    <w:p>
      <w:pPr>
        <w:ind w:left="940" w:right="58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35">
        <w:r>
          <w:rPr>
            <w:rFonts w:ascii="Arial" w:cs="Arial" w:eastAsia="Arial" w:hAnsi="Arial"/>
            <w:sz w:val="18"/>
            <w:szCs w:val="18"/>
            <w:u w:val="single" w:color="auto"/>
            <w:color w:val="0000EE"/>
          </w:rPr>
          <w:t>Form of Agreement evidencing a grant of Deferred Cash Award to Executive Officers (incorporated by reference to Exhibit 10.42 to the</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Registrant’s Annual Report (File No. 001-32492) on Form 10-K filed on March 2, 2009).</w:t>
        </w:r>
      </w:hyperlink>
    </w:p>
    <w:p>
      <w:pPr>
        <w:spacing w:after="0" w:line="35" w:lineRule="exact"/>
        <w:rPr>
          <w:sz w:val="20"/>
          <w:szCs w:val="20"/>
          <w:color w:val="auto"/>
        </w:rPr>
      </w:pPr>
    </w:p>
    <w:p>
      <w:pPr>
        <w:ind w:left="940" w:right="36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36">
        <w:r>
          <w:rPr>
            <w:rFonts w:ascii="Arial" w:cs="Arial" w:eastAsia="Arial" w:hAnsi="Arial"/>
            <w:sz w:val="18"/>
            <w:szCs w:val="18"/>
            <w:u w:val="single" w:color="auto"/>
            <w:color w:val="0000EE"/>
          </w:rPr>
          <w:t>Directors’ Fee Deferral Unit Plan (incorporated by reference to Exhibit 10.39 to the Registrant’s Quarterly Report (File No. 001-32492) on</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Form 10-Q filed on May 11, 2006).</w:t>
        </w:r>
      </w:hyperlink>
    </w:p>
    <w:p>
      <w:pPr>
        <w:spacing w:after="0" w:line="35" w:lineRule="exact"/>
        <w:rPr>
          <w:sz w:val="20"/>
          <w:szCs w:val="20"/>
          <w:color w:val="auto"/>
        </w:rPr>
      </w:pPr>
    </w:p>
    <w:p>
      <w:pPr>
        <w:jc w:val="both"/>
        <w:ind w:left="940" w:right="34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37">
        <w:r>
          <w:rPr>
            <w:rFonts w:ascii="Arial" w:cs="Arial" w:eastAsia="Arial" w:hAnsi="Arial"/>
            <w:sz w:val="18"/>
            <w:szCs w:val="18"/>
            <w:u w:val="single" w:color="auto"/>
            <w:color w:val="0000EE"/>
          </w:rPr>
          <w:t>Amended and Restated Credit Agreement, dated as of September 25, 2015, among Lazard Group LLC, the Banks from time to time parties</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thereto, and Citibank, N.A., as Administrative Agent (incorporated by reference to Exhibit 10.27 to the Registrant’s Quarterly Report (File</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No. 001-32492) on Form 10-Q filed on October 28, 2015).</w:t>
        </w:r>
      </w:hyperlink>
    </w:p>
    <w:p>
      <w:pPr>
        <w:spacing w:after="0" w:line="46" w:lineRule="exact"/>
        <w:rPr>
          <w:rFonts w:ascii="Arial" w:cs="Arial" w:eastAsia="Arial" w:hAnsi="Arial"/>
          <w:sz w:val="18"/>
          <w:szCs w:val="18"/>
          <w:u w:val="single" w:color="auto"/>
          <w:color w:val="0000EE"/>
        </w:rPr>
      </w:pPr>
    </w:p>
    <w:p>
      <w:pPr>
        <w:ind w:left="940" w:right="26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38">
        <w:r>
          <w:rPr>
            <w:rFonts w:ascii="Arial" w:cs="Arial" w:eastAsia="Arial" w:hAnsi="Arial"/>
            <w:sz w:val="18"/>
            <w:szCs w:val="18"/>
            <w:u w:val="single" w:color="auto"/>
            <w:color w:val="0000EE"/>
          </w:rPr>
          <w:t>Form of Agreement evidencing a grant of Lazard Fund Interests to Named Executive Officers (incorporated by reference to Exhibit 10.55 to</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the Registrant’s Quarterly Report (File No. 001-32492) on Form 10-Q filed on May 1, 2013).</w:t>
        </w:r>
      </w:hyperlink>
    </w:p>
    <w:p>
      <w:pPr>
        <w:spacing w:after="0" w:line="35" w:lineRule="exact"/>
        <w:rPr>
          <w:sz w:val="20"/>
          <w:szCs w:val="20"/>
          <w:color w:val="auto"/>
        </w:rPr>
      </w:pPr>
    </w:p>
    <w:p>
      <w:pPr>
        <w:ind w:left="940" w:right="360" w:hanging="949"/>
        <w:spacing w:after="0" w:line="334"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139">
        <w:r>
          <w:rPr>
            <w:rFonts w:ascii="Arial" w:cs="Arial" w:eastAsia="Arial" w:hAnsi="Arial"/>
            <w:sz w:val="16"/>
            <w:szCs w:val="16"/>
            <w:u w:val="single" w:color="auto"/>
            <w:color w:val="0000EE"/>
          </w:rPr>
          <w:t>Form of Agreement evidencing a February 20, 2014 grant of Performance-Based Stock Units under the 2008 Incentive Compensation Plan</w:t>
        </w:r>
      </w:hyperlink>
      <w:r>
        <w:rPr>
          <w:rFonts w:ascii="Arial" w:cs="Arial" w:eastAsia="Arial" w:hAnsi="Arial"/>
          <w:sz w:val="16"/>
          <w:szCs w:val="16"/>
          <w:u w:val="single" w:color="auto"/>
          <w:color w:val="0000EE"/>
        </w:rPr>
        <w:t xml:space="preserve"> </w:t>
      </w:r>
      <w:hyperlink r:id="rId139">
        <w:r>
          <w:rPr>
            <w:rFonts w:ascii="Arial" w:cs="Arial" w:eastAsia="Arial" w:hAnsi="Arial"/>
            <w:sz w:val="16"/>
            <w:szCs w:val="16"/>
            <w:u w:val="single" w:color="auto"/>
            <w:color w:val="0000EE"/>
          </w:rPr>
          <w:t>(incorporated by reference to Exhibit 10.55 to the Registrant’s Quarterly Report (File No. 001-32492) on Form 10-Q filed May 6, 2014).</w:t>
        </w:r>
      </w:hyperlink>
    </w:p>
    <w:p>
      <w:pPr>
        <w:spacing w:after="0" w:line="1" w:lineRule="exact"/>
        <w:rPr>
          <w:sz w:val="20"/>
          <w:szCs w:val="20"/>
          <w:color w:val="auto"/>
        </w:rPr>
      </w:pPr>
    </w:p>
    <w:p>
      <w:pPr>
        <w:ind w:left="940" w:right="420" w:hanging="949"/>
        <w:spacing w:after="0" w:line="264"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40">
        <w:r>
          <w:rPr>
            <w:rFonts w:ascii="Arial" w:cs="Arial" w:eastAsia="Arial" w:hAnsi="Arial"/>
            <w:sz w:val="18"/>
            <w:szCs w:val="18"/>
            <w:u w:val="single" w:color="auto"/>
            <w:color w:val="0000EE"/>
          </w:rPr>
          <w:t>Agreement between the Company and Kenneth M. Jacobs, dated as of February 20, 2014, evidencing a grant of Performance-Based Stock</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Units under the 2008 Incentive Compensation Plan (incorporated by reference to Exhibit 10.56 to the Registrant’s Quarterly Report</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(File No. 001-32492) on Form 10-Q filed on May 6, 2014).</w:t>
        </w:r>
      </w:hyperlink>
    </w:p>
    <w:p>
      <w:pPr>
        <w:spacing w:after="0" w:line="46" w:lineRule="exact"/>
        <w:rPr>
          <w:rFonts w:ascii="Arial" w:cs="Arial" w:eastAsia="Arial" w:hAnsi="Arial"/>
          <w:sz w:val="18"/>
          <w:szCs w:val="18"/>
          <w:u w:val="single" w:color="auto"/>
          <w:color w:val="0000EE"/>
        </w:rPr>
      </w:pPr>
    </w:p>
    <w:p>
      <w:pPr>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10.25*</w:t>
      </w:r>
      <w:r>
        <w:rPr>
          <w:sz w:val="20"/>
          <w:szCs w:val="20"/>
          <w:color w:val="auto"/>
        </w:rPr>
        <w:tab/>
      </w:r>
      <w:hyperlink r:id="rId141">
        <w:r>
          <w:rPr>
            <w:rFonts w:ascii="Arial" w:cs="Arial" w:eastAsia="Arial" w:hAnsi="Arial"/>
            <w:sz w:val="16"/>
            <w:szCs w:val="16"/>
            <w:u w:val="single" w:color="auto"/>
            <w:color w:val="0000EE"/>
          </w:rPr>
          <w:t>Form of Agreement evidencing a grant of Restricted Stock under the 2008 Incentive Compensation Plan (incorporated by reference to Exhibit</w:t>
        </w:r>
      </w:hyperlink>
    </w:p>
    <w:p>
      <w:pPr>
        <w:spacing w:after="0" w:line="23" w:lineRule="exact"/>
        <w:rPr>
          <w:rFonts w:ascii="Arial" w:cs="Arial" w:eastAsia="Arial" w:hAnsi="Arial"/>
          <w:sz w:val="18"/>
          <w:szCs w:val="18"/>
          <w:u w:val="single" w:color="auto"/>
          <w:color w:val="0000EE"/>
        </w:rPr>
      </w:pPr>
    </w:p>
    <w:p>
      <w:pPr>
        <w:ind w:left="940"/>
        <w:spacing w:after="0"/>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10.55 to the Registrant’s Quarterly Report (File No. 001-32492) on Form 10-Q filed on April 30, 2010).</w:t>
        </w:r>
      </w:hyperlink>
    </w:p>
    <w:p>
      <w:pPr>
        <w:spacing w:after="0" w:line="76" w:lineRule="exact"/>
        <w:rPr>
          <w:rFonts w:ascii="Arial" w:cs="Arial" w:eastAsia="Arial" w:hAnsi="Arial"/>
          <w:sz w:val="18"/>
          <w:szCs w:val="18"/>
          <w:u w:val="single" w:color="auto"/>
          <w:color w:val="0000EE"/>
        </w:rPr>
      </w:pPr>
    </w:p>
    <w:p>
      <w:pPr>
        <w:ind w:left="940" w:right="500" w:hanging="949"/>
        <w:spacing w:after="0" w:line="277"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42">
        <w:r>
          <w:rPr>
            <w:rFonts w:ascii="Arial" w:cs="Arial" w:eastAsia="Arial" w:hAnsi="Arial"/>
            <w:sz w:val="18"/>
            <w:szCs w:val="18"/>
            <w:u w:val="single" w:color="auto"/>
            <w:color w:val="0000EE"/>
          </w:rPr>
          <w:t>Form of Agreement evidencing a grant of Lazard Fund Interests (incorporated by reference to Exhibit 10.55 to the Registrant’s Quarterly</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Report (File No. 001-32492) on Form 10-Q filed on April 29, 2011).</w:t>
        </w:r>
      </w:hyperlink>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40" w:top="422"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Arial" w:cs="Arial" w:eastAsia="Arial" w:hAnsi="Arial"/>
                <w:sz w:val="18"/>
                <w:szCs w:val="18"/>
                <w:color w:val="auto"/>
              </w:rPr>
              <w:t>12.1</w:t>
            </w:r>
          </w:p>
        </w:tc>
        <w:tc>
          <w:tcPr>
            <w:tcW w:w="3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Computation of Ratio of Earnings to Fixed Charges.</w:t>
              </w:r>
            </w:hyperlink>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31.1</w:t>
            </w:r>
          </w:p>
        </w:tc>
        <w:tc>
          <w:tcPr>
            <w:tcW w:w="37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Rule 13a-14(a) Certification of Kenneth M. Jacobs.</w:t>
              </w:r>
            </w:hyperlink>
          </w:p>
        </w:tc>
        <w:tc>
          <w:tcPr>
            <w:tcW w:w="60" w:type="dxa"/>
            <w:vAlign w:val="bottom"/>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3780" w:type="dxa"/>
            <w:vAlign w:val="bottom"/>
            <w:gridSpan w:val="5"/>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Rule 13a-14(a) Certification of Evan L. Russo.</w:t>
              </w:r>
            </w:hyperlink>
          </w:p>
        </w:tc>
      </w:tr>
      <w:tr>
        <w:trPr>
          <w:trHeight w:val="20"/>
        </w:trPr>
        <w:tc>
          <w:tcPr>
            <w:tcW w:w="104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36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Section 1350 Certification for Kenneth M. Jacobs.</w:t>
              </w:r>
            </w:hyperlink>
          </w:p>
        </w:tc>
        <w:tc>
          <w:tcPr>
            <w:tcW w:w="140" w:type="dxa"/>
            <w:vAlign w:val="bottom"/>
            <w:gridSpan w:val="2"/>
          </w:tcPr>
          <w:p>
            <w:pPr>
              <w:spacing w:after="0"/>
              <w:rPr>
                <w:sz w:val="24"/>
                <w:szCs w:val="24"/>
                <w:color w:val="auto"/>
              </w:rPr>
            </w:pPr>
          </w:p>
        </w:tc>
      </w:tr>
      <w:tr>
        <w:trPr>
          <w:trHeight w:val="277"/>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3780" w:type="dxa"/>
            <w:vAlign w:val="bottom"/>
            <w:gridSpan w:val="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Section 1350 Certification for Evan L. Russo.</w:t>
              </w:r>
            </w:hyperlink>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33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480" w:type="dxa"/>
            <w:vAlign w:val="bottom"/>
            <w:gridSpan w:val="4"/>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3780" w:type="dxa"/>
            <w:vAlign w:val="bottom"/>
            <w:gridSpan w:val="5"/>
          </w:tcPr>
          <w:p>
            <w:pPr>
              <w:spacing w:after="0"/>
              <w:rPr>
                <w:sz w:val="20"/>
                <w:szCs w:val="20"/>
                <w:color w:val="auto"/>
              </w:rPr>
            </w:pPr>
            <w:r>
              <w:rPr>
                <w:rFonts w:ascii="Arial" w:cs="Arial" w:eastAsia="Arial" w:hAnsi="Arial"/>
                <w:sz w:val="18"/>
                <w:szCs w:val="18"/>
                <w:color w:val="auto"/>
              </w:rPr>
              <w:t>XBRL Taxonomy Extension Schema</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3780" w:type="dxa"/>
            <w:vAlign w:val="bottom"/>
            <w:gridSpan w:val="5"/>
          </w:tcPr>
          <w:p>
            <w:pPr>
              <w:spacing w:after="0"/>
              <w:rPr>
                <w:sz w:val="20"/>
                <w:szCs w:val="20"/>
                <w:color w:val="auto"/>
              </w:rPr>
            </w:pPr>
            <w:r>
              <w:rPr>
                <w:rFonts w:ascii="Arial" w:cs="Arial" w:eastAsia="Arial" w:hAnsi="Arial"/>
                <w:sz w:val="18"/>
                <w:szCs w:val="18"/>
                <w:color w:val="auto"/>
                <w:w w:val="96"/>
              </w:rPr>
              <w:t>XBRL Taxonomy Extension Calculation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3780" w:type="dxa"/>
            <w:vAlign w:val="bottom"/>
            <w:gridSpan w:val="5"/>
          </w:tcPr>
          <w:p>
            <w:pPr>
              <w:spacing w:after="0"/>
              <w:rPr>
                <w:sz w:val="20"/>
                <w:szCs w:val="20"/>
                <w:color w:val="auto"/>
              </w:rPr>
            </w:pPr>
            <w:r>
              <w:rPr>
                <w:rFonts w:ascii="Arial" w:cs="Arial" w:eastAsia="Arial" w:hAnsi="Arial"/>
                <w:sz w:val="18"/>
                <w:szCs w:val="18"/>
                <w:color w:val="auto"/>
                <w:w w:val="99"/>
              </w:rPr>
              <w:t>XBRL Taxonomy Extension Definition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37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3780" w:type="dxa"/>
            <w:vAlign w:val="bottom"/>
            <w:gridSpan w:val="5"/>
          </w:tcPr>
          <w:p>
            <w:pPr>
              <w:spacing w:after="0"/>
              <w:rPr>
                <w:sz w:val="20"/>
                <w:szCs w:val="20"/>
                <w:color w:val="auto"/>
              </w:rPr>
            </w:pPr>
            <w:r>
              <w:rPr>
                <w:rFonts w:ascii="Arial" w:cs="Arial" w:eastAsia="Arial" w:hAnsi="Arial"/>
                <w:sz w:val="18"/>
                <w:szCs w:val="18"/>
                <w:color w:val="auto"/>
                <w:w w:val="93"/>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090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4"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24"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Evan L. Russo</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Evan L. Russo</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r>
      <w:tr>
        <w:trPr>
          <w:trHeight w:val="45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Dominick Ragone</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Dominick Ragone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37"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Six Months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2018</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5"/>
          </w:tcPr>
          <w:p>
            <w:pPr>
              <w:jc w:val="right"/>
              <w:ind w:right="50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385,768</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825,446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517,461</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(16,620)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519,465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216,807</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Add—Fixed charges</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40,297</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77,716</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73,654</w:t>
            </w:r>
          </w:p>
        </w:tc>
        <w:tc>
          <w:tcPr>
            <w:tcW w:w="3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75,109</w:t>
            </w: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86,066</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103,668</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before fixed charges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426,065</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903,162</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591,115</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58,489</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605,531</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320,475</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(b)</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27,097</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53,518</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50,292</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51,159</w:t>
            </w:r>
          </w:p>
        </w:tc>
        <w:tc>
          <w:tcPr>
            <w:tcW w:w="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62,570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79,381</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(c)</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13,200</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24,198</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23,362</w:t>
            </w:r>
          </w:p>
        </w:tc>
        <w:tc>
          <w:tcPr>
            <w:tcW w:w="3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23,950</w:t>
            </w: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23,496</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24,287</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fixed charges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40,297</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77,716</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73,654</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75,109</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86,066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103,668</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34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w w:val="99"/>
              </w:rPr>
              <w:t>(d)</w:t>
            </w: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3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w w:val="90"/>
              </w:rPr>
              <w:t>(e)</w:t>
            </w: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3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(f)</w:t>
            </w: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w w:val="99"/>
              </w:rPr>
              <w:t>(g)</w:t>
            </w: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w w:val="90"/>
              </w:rPr>
              <w:t>(h)</w:t>
            </w:r>
          </w:p>
        </w:tc>
        <w:tc>
          <w:tcPr>
            <w:tcW w:w="0" w:type="dxa"/>
            <w:vAlign w:val="bottom"/>
          </w:tcPr>
          <w:p>
            <w:pPr>
              <w:spacing w:after="0"/>
              <w:rPr>
                <w:sz w:val="1"/>
                <w:szCs w:val="1"/>
                <w:color w:val="auto"/>
              </w:rPr>
            </w:pPr>
          </w:p>
        </w:tc>
      </w:tr>
      <w:tr>
        <w:trPr>
          <w:trHeight w:val="196"/>
        </w:trPr>
        <w:tc>
          <w:tcPr>
            <w:tcW w:w="452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Deficiency in the coverage of operating income</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before fixed charges to total fixed charges</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16,620</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5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17"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144" w:lineRule="exact"/>
        <w:rPr>
          <w:rFonts w:ascii="Arial" w:cs="Arial" w:eastAsia="Arial" w:hAnsi="Arial"/>
          <w:sz w:val="18"/>
          <w:szCs w:val="18"/>
          <w:color w:val="auto"/>
        </w:rPr>
      </w:pPr>
    </w:p>
    <w:p>
      <w:pPr>
        <w:jc w:val="both"/>
        <w:ind w:left="520" w:right="160" w:hanging="512"/>
        <w:spacing w:after="0" w:line="264"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income for the six months ended June 30, 2018 is presented after giving effect to (i) $9,313 of acquisition-related benefits, (ii) $12,830 of expenses associated with the ERP system implementation and (iii) $2,425 of expenses related to office space reorganization. Excluding the impact of such items, the ratio of earnings to fixed charges would have been 10.88.</w:t>
      </w:r>
    </w:p>
    <w:p>
      <w:pPr>
        <w:spacing w:after="0" w:line="73" w:lineRule="exact"/>
        <w:rPr>
          <w:rFonts w:ascii="Arial" w:cs="Arial" w:eastAsia="Arial" w:hAnsi="Arial"/>
          <w:sz w:val="18"/>
          <w:szCs w:val="18"/>
          <w:color w:val="auto"/>
        </w:rPr>
      </w:pPr>
    </w:p>
    <w:p>
      <w:pPr>
        <w:ind w:left="520" w:right="40" w:hanging="512"/>
        <w:spacing w:after="0" w:line="312" w:lineRule="auto"/>
        <w:tabs>
          <w:tab w:leader="none" w:pos="5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2017 is presented after giving effect to (i) $6,582 of acquisition-related costs, (ii) $25,308 of expenses associated with the ERP system implementation, (iii) $11,354 of expenses related to office space reorganization and (iv) $202,546 relating to the benefit pursuant to the tax receivable agreement. Excluding the impact of such items, the ratio of earnings to fixed charges would have been 9.56.</w:t>
      </w:r>
    </w:p>
    <w:p>
      <w:pPr>
        <w:spacing w:after="0" w:line="38" w:lineRule="exact"/>
        <w:rPr>
          <w:rFonts w:ascii="Arial" w:cs="Arial" w:eastAsia="Arial" w:hAnsi="Arial"/>
          <w:sz w:val="16"/>
          <w:szCs w:val="16"/>
          <w:color w:val="auto"/>
        </w:rPr>
      </w:pPr>
    </w:p>
    <w:p>
      <w:pPr>
        <w:ind w:left="520" w:right="40" w:hanging="512"/>
        <w:spacing w:after="0" w:line="297" w:lineRule="auto"/>
        <w:tabs>
          <w:tab w:leader="none" w:pos="5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2016 is presented after giving effect to (i) a charge of $3,148 associated with the redemption of the remaining portion of the 6.85% senior notes due June 2017 (the “2017 Notes”), (ii) $599 excess interest expense due to the period of time between the issuance of the 2027 Notes and the settlement of the redemption of the 2017 Notes, (iii) $34,092 of acquisition-related costs and (iv) $12,668 gain on the acquisition of MBA Lazard (which resulted from the increase in the fair value of the Company’s investment in MBA Lazard prior to the acquisition). Excluding the impact of such items, the ratio of earnings to fixed charges would have been 8.43.</w:t>
      </w:r>
    </w:p>
    <w:p>
      <w:pPr>
        <w:spacing w:after="0" w:line="50" w:lineRule="exact"/>
        <w:rPr>
          <w:rFonts w:ascii="Arial" w:cs="Arial" w:eastAsia="Arial" w:hAnsi="Arial"/>
          <w:sz w:val="16"/>
          <w:szCs w:val="16"/>
          <w:color w:val="auto"/>
        </w:rPr>
      </w:pPr>
    </w:p>
    <w:p>
      <w:pPr>
        <w:ind w:left="520" w:hanging="512"/>
        <w:spacing w:after="0"/>
        <w:tabs>
          <w:tab w:leader="none" w:pos="5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(i) a charge of $60,219 associated with the redemption of</w:t>
      </w:r>
    </w:p>
    <w:p>
      <w:pPr>
        <w:spacing w:after="0" w:line="46" w:lineRule="exact"/>
        <w:rPr>
          <w:rFonts w:ascii="Arial" w:cs="Arial" w:eastAsia="Arial" w:hAnsi="Arial"/>
          <w:sz w:val="16"/>
          <w:szCs w:val="16"/>
          <w:color w:val="auto"/>
        </w:rPr>
      </w:pPr>
    </w:p>
    <w:p>
      <w:pPr>
        <w:ind w:left="520" w:right="20"/>
        <w:spacing w:after="0" w:line="295" w:lineRule="auto"/>
        <w:rPr>
          <w:rFonts w:ascii="Arial" w:cs="Arial" w:eastAsia="Arial" w:hAnsi="Arial"/>
          <w:sz w:val="16"/>
          <w:szCs w:val="16"/>
          <w:color w:val="auto"/>
        </w:rPr>
      </w:pPr>
      <w:r>
        <w:rPr>
          <w:rFonts w:ascii="Arial" w:cs="Arial" w:eastAsia="Arial" w:hAnsi="Arial"/>
          <w:sz w:val="16"/>
          <w:szCs w:val="16"/>
          <w:color w:val="auto"/>
        </w:rPr>
        <w:t>$450 million of the 2017 Notes, (ii) $2,655 excess interest expense due to the period of time between the issuance of the 2025 Notes and the settlement of the redemption of the 2017 Notes, (iii) $12,203 relating to a private equity revenue adjustment and (iv) $542,270 relating to the provision pursuant to the tax receivable agreement. Excluding the impact of such items, the ratio of earnings to fixed charges would have been 8.95. The Company’s net income for the year ended December 31, 2015, which was affected by a significant income tax benefit during such period, was $992,932.</w:t>
      </w:r>
    </w:p>
    <w:p>
      <w:pPr>
        <w:spacing w:after="0" w:line="53" w:lineRule="exact"/>
        <w:rPr>
          <w:rFonts w:ascii="Arial" w:cs="Arial" w:eastAsia="Arial" w:hAnsi="Arial"/>
          <w:sz w:val="16"/>
          <w:szCs w:val="16"/>
          <w:color w:val="auto"/>
        </w:rPr>
      </w:pPr>
    </w:p>
    <w:p>
      <w:pPr>
        <w:ind w:left="520" w:right="260" w:hanging="512"/>
        <w:spacing w:after="0" w:line="259"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2013 is presented after giving effect to a charge of (i) $64,703 associated with the cost saving initiatives announced by the Company in October 2012, (ii) $54,087 pertaining to the refinancing of the 7.125% senior notes due May 2015 and the issuance of the 2020 Notes and (iii) $12,203 relating to private equity incentive compensation. Excluding the impact of such items, the ratio of earnings to fixed charges would have been 4.35.</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2018 of Lazard Ltd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Evan L. Russo, certify that:</w:t>
      </w:r>
    </w:p>
    <w:p>
      <w:pPr>
        <w:spacing w:after="0" w:line="117" w:lineRule="exact"/>
        <w:rPr>
          <w:sz w:val="20"/>
          <w:szCs w:val="20"/>
          <w:color w:val="auto"/>
        </w:rPr>
      </w:pPr>
    </w:p>
    <w:p>
      <w:pPr>
        <w:ind w:left="700" w:hanging="174"/>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2018 of Lazard Ltd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June 30, 2018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337"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Ltd (the “Registrant”) hereby certifies that the Registrant’s Quarterly Report on Form 10-Q for the quarter ended June 30, 2018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1."/>
      <w:numFmt w:val="decimal"/>
      <w:start w:val="2"/>
    </w:lvl>
  </w:abstractNum>
  <w:abstractNum w:abstractNumId="6">
    <w:nsid w:val="419AC241"/>
    <w:multiLevelType w:val="hybridMultilevel"/>
    <w:lvl w:ilvl="0">
      <w:lvlJc w:val="left"/>
      <w:lvlText w:val="(%1)"/>
      <w:numFmt w:val="lowerRoman"/>
      <w:start w:val="2"/>
    </w:lvl>
  </w:abstractNum>
  <w:abstractNum w:abstractNumId="7">
    <w:nsid w:val="5577F8E1"/>
    <w:multiLevelType w:val="hybridMultilevel"/>
    <w:lvl w:ilvl="0">
      <w:lvlJc w:val="left"/>
      <w:lvlText w:val="%1."/>
      <w:numFmt w:val="decimal"/>
      <w:start w:val="3"/>
    </w:lvl>
  </w:abstractNum>
  <w:abstractNum w:abstractNumId="8">
    <w:nsid w:val="440BADFC"/>
    <w:multiLevelType w:val="hybridMultilevel"/>
    <w:lvl w:ilvl="0">
      <w:lvlJc w:val="left"/>
      <w:lvlText w:val="(%1)"/>
      <w:numFmt w:val="lowerLetter"/>
      <w:start w:val="1"/>
    </w:lvl>
  </w:abstractNum>
  <w:abstractNum w:abstractNumId="9">
    <w:nsid w:val="5072367"/>
    <w:multiLevelType w:val="hybridMultilevel"/>
    <w:lvl w:ilvl="0">
      <w:lvlJc w:val="left"/>
      <w:lvlText w:val="%1."/>
      <w:numFmt w:val="decimal"/>
      <w:start w:val="4"/>
    </w:lvl>
  </w:abstractNum>
  <w:abstractNum w:abstractNumId="10">
    <w:nsid w:val="3804823E"/>
    <w:multiLevelType w:val="hybridMultilevel"/>
    <w:lvl w:ilvl="0">
      <w:lvlJc w:val="left"/>
      <w:lvlText w:val="%1."/>
      <w:numFmt w:val="decimal"/>
      <w:start w:val="5"/>
    </w:lvl>
  </w:abstractNum>
  <w:abstractNum w:abstractNumId="11">
    <w:nsid w:val="77465F01"/>
    <w:multiLevelType w:val="hybridMultilevel"/>
    <w:lvl w:ilvl="0">
      <w:lvlJc w:val="left"/>
      <w:lvlText w:val="(%1)"/>
      <w:numFmt w:val="lowerLetter"/>
      <w:start w:val="1"/>
    </w:lvl>
  </w:abstractNum>
  <w:abstractNum w:abstractNumId="12">
    <w:nsid w:val="7724C67E"/>
    <w:multiLevelType w:val="hybridMultilevel"/>
    <w:lvl w:ilvl="0">
      <w:lvlJc w:val="left"/>
      <w:lvlText w:val="%1."/>
      <w:numFmt w:val="decimal"/>
      <w:start w:val="6"/>
    </w:lvl>
  </w:abstractNum>
  <w:abstractNum w:abstractNumId="13">
    <w:nsid w:val="5C482A97"/>
    <w:multiLevelType w:val="hybridMultilevel"/>
    <w:lvl w:ilvl="0">
      <w:lvlJc w:val="left"/>
      <w:lvlText w:val="(%1)"/>
      <w:numFmt w:val="lowerLetter"/>
      <w:start w:val="1"/>
    </w:lvl>
  </w:abstractNum>
  <w:abstractNum w:abstractNumId="14">
    <w:nsid w:val="2463B9EA"/>
    <w:multiLevelType w:val="hybridMultilevel"/>
    <w:lvl w:ilvl="0">
      <w:lvlJc w:val="left"/>
      <w:lvlText w:val="(%1)"/>
      <w:numFmt w:val="lowerLetter"/>
      <w:start w:val="1"/>
    </w:lvl>
  </w:abstractNum>
  <w:abstractNum w:abstractNumId="15">
    <w:nsid w:val="5E884ADC"/>
    <w:multiLevelType w:val="hybridMultilevel"/>
    <w:lvl w:ilvl="0">
      <w:lvlJc w:val="left"/>
      <w:lvlText w:val="(%1)"/>
      <w:numFmt w:val="lowerLetter"/>
      <w:start w:val="1"/>
    </w:lvl>
  </w:abstractNum>
  <w:abstractNum w:abstractNumId="16">
    <w:nsid w:val="51EAD36B"/>
    <w:multiLevelType w:val="hybridMultilevel"/>
    <w:lvl w:ilvl="0">
      <w:lvlJc w:val="left"/>
      <w:lvlText w:val="%1."/>
      <w:numFmt w:val="decimal"/>
      <w:start w:val="7"/>
    </w:lvl>
  </w:abstractNum>
  <w:abstractNum w:abstractNumId="17">
    <w:nsid w:val="2D517796"/>
    <w:multiLevelType w:val="hybridMultilevel"/>
    <w:lvl w:ilvl="0">
      <w:lvlJc w:val="left"/>
      <w:lvlText w:val="(%1)"/>
      <w:numFmt w:val="lowerLetter"/>
      <w:start w:val="1"/>
    </w:lvl>
  </w:abstractNum>
  <w:abstractNum w:abstractNumId="18">
    <w:nsid w:val="580BD78F"/>
    <w:multiLevelType w:val="hybridMultilevel"/>
    <w:lvl w:ilvl="0">
      <w:lvlJc w:val="left"/>
      <w:lvlText w:val="%1."/>
      <w:numFmt w:val="decimal"/>
      <w:start w:val="8"/>
    </w:lvl>
  </w:abstractNum>
  <w:abstractNum w:abstractNumId="19">
    <w:nsid w:val="153EA438"/>
    <w:multiLevelType w:val="hybridMultilevel"/>
    <w:lvl w:ilvl="0">
      <w:lvlJc w:val="left"/>
      <w:lvlText w:val="%1."/>
      <w:numFmt w:val="decimal"/>
      <w:start w:val="9"/>
    </w:lvl>
  </w:abstractNum>
  <w:abstractNum w:abstractNumId="20">
    <w:nsid w:val="3855585C"/>
    <w:multiLevelType w:val="hybridMultilevel"/>
    <w:lvl w:ilvl="0">
      <w:lvlJc w:val="left"/>
      <w:lvlText w:val="(%1)"/>
      <w:numFmt w:val="lowerLetter"/>
      <w:start w:val="1"/>
    </w:lvl>
  </w:abstractNum>
  <w:abstractNum w:abstractNumId="21">
    <w:nsid w:val="70A64E2A"/>
    <w:multiLevelType w:val="hybridMultilevel"/>
    <w:lvl w:ilvl="0">
      <w:lvlJc w:val="left"/>
      <w:lvlText w:val="%1."/>
      <w:numFmt w:val="decimal"/>
      <w:start w:val="10"/>
    </w:lvl>
  </w:abstractNum>
  <w:abstractNum w:abstractNumId="22">
    <w:nsid w:val="6A2342EC"/>
    <w:multiLevelType w:val="hybridMultilevel"/>
    <w:lvl w:ilvl="0">
      <w:lvlJc w:val="left"/>
      <w:lvlText w:val="(%1)"/>
      <w:numFmt w:val="lowerLetter"/>
      <w:start w:val="1"/>
    </w:lvl>
  </w:abstractNum>
  <w:abstractNum w:abstractNumId="23">
    <w:nsid w:val="2A487CB0"/>
    <w:multiLevelType w:val="hybridMultilevel"/>
    <w:lvl w:ilvl="0">
      <w:lvlJc w:val="left"/>
      <w:lvlText w:val="%1."/>
      <w:numFmt w:val="decimal"/>
      <w:start w:val="11"/>
    </w:lvl>
  </w:abstractNum>
  <w:abstractNum w:abstractNumId="24">
    <w:nsid w:val="1D4ED43B"/>
    <w:multiLevelType w:val="hybridMultilevel"/>
    <w:lvl w:ilvl="0">
      <w:lvlJc w:val="left"/>
      <w:lvlText w:val="%1."/>
      <w:numFmt w:val="decimal"/>
      <w:start w:val="12"/>
    </w:lvl>
  </w:abstractNum>
  <w:abstractNum w:abstractNumId="25">
    <w:nsid w:val="725A06FB"/>
    <w:multiLevelType w:val="hybridMultilevel"/>
    <w:lvl w:ilvl="0">
      <w:lvlJc w:val="left"/>
      <w:lvlText w:val="(%1)"/>
      <w:numFmt w:val="lowerLetter"/>
      <w:start w:val="1"/>
    </w:lvl>
  </w:abstractNum>
  <w:abstractNum w:abstractNumId="26">
    <w:nsid w:val="2CD89A32"/>
    <w:multiLevelType w:val="hybridMultilevel"/>
    <w:lvl w:ilvl="0">
      <w:lvlJc w:val="left"/>
      <w:lvlText w:val="%1."/>
      <w:numFmt w:val="decimal"/>
      <w:start w:val="13"/>
    </w:lvl>
  </w:abstractNum>
  <w:abstractNum w:abstractNumId="27">
    <w:nsid w:val="57E4CCAF"/>
    <w:multiLevelType w:val="hybridMultilevel"/>
    <w:lvl w:ilvl="0">
      <w:lvlJc w:val="left"/>
      <w:lvlText w:val="(%1)"/>
      <w:numFmt w:val="lowerLetter"/>
      <w:start w:val="1"/>
    </w:lvl>
  </w:abstractNum>
  <w:abstractNum w:abstractNumId="28">
    <w:nsid w:val="7A6D8D3C"/>
    <w:multiLevelType w:val="hybridMultilevel"/>
    <w:lvl w:ilvl="0">
      <w:lvlJc w:val="left"/>
      <w:lvlText w:val="%1."/>
      <w:numFmt w:val="decimal"/>
      <w:start w:val="14"/>
    </w:lvl>
  </w:abstractNum>
  <w:abstractNum w:abstractNumId="29">
    <w:nsid w:val="4B588F54"/>
    <w:multiLevelType w:val="hybridMultilevel"/>
    <w:lvl w:ilvl="0">
      <w:lvlJc w:val="left"/>
      <w:lvlText w:val="%1."/>
      <w:numFmt w:val="decimal"/>
      <w:start w:val="15"/>
    </w:lvl>
  </w:abstractNum>
  <w:abstractNum w:abstractNumId="30">
    <w:nsid w:val="542289EC"/>
    <w:multiLevelType w:val="hybridMultilevel"/>
    <w:lvl w:ilvl="0">
      <w:lvlJc w:val="left"/>
      <w:lvlText w:val="%1."/>
      <w:numFmt w:val="decimal"/>
      <w:start w:val="16"/>
    </w:lvl>
  </w:abstractNum>
  <w:abstractNum w:abstractNumId="31">
    <w:nsid w:val="6DE91B18"/>
    <w:multiLevelType w:val="hybridMultilevel"/>
    <w:lvl w:ilvl="0">
      <w:lvlJc w:val="left"/>
      <w:lvlText w:val="%1."/>
      <w:numFmt w:val="decimal"/>
      <w:start w:val="17"/>
    </w:lvl>
  </w:abstractNum>
  <w:abstractNum w:abstractNumId="32">
    <w:nsid w:val="38437FDB"/>
    <w:multiLevelType w:val="hybridMultilevel"/>
    <w:lvl w:ilvl="0">
      <w:lvlJc w:val="left"/>
      <w:lvlText w:val="(%1)"/>
      <w:numFmt w:val="lowerRoman"/>
      <w:start w:val="1"/>
    </w:lvl>
  </w:abstractNum>
  <w:abstractNum w:abstractNumId="33">
    <w:nsid w:val="7644A45C"/>
    <w:multiLevelType w:val="hybridMultilevel"/>
    <w:lvl w:ilvl="0">
      <w:lvlJc w:val="left"/>
      <w:lvlText w:val="%1."/>
      <w:numFmt w:val="decimal"/>
      <w:start w:val="18"/>
    </w:lvl>
  </w:abstractNum>
  <w:abstractNum w:abstractNumId="34">
    <w:nsid w:val="32FFF902"/>
    <w:multiLevelType w:val="hybridMultilevel"/>
    <w:lvl w:ilvl="0">
      <w:lvlJc w:val="left"/>
      <w:lvlText w:val="%1."/>
      <w:numFmt w:val="decimal"/>
      <w:start w:val="19"/>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lvl w:ilvl="1">
      <w:lvlJc w:val="left"/>
      <w:lvlText w:val="(%2)"/>
      <w:numFmt w:val="lowerRoman"/>
      <w:start w:val="1"/>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Roman"/>
      <w:start w:val="2"/>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1)"/>
      <w:numFmt w:val="lowerLetter"/>
      <w:start w:val="2"/>
    </w:lvl>
  </w:abstractNum>
  <w:abstractNum w:abstractNumId="50">
    <w:nsid w:val="39386575"/>
    <w:multiLevelType w:val="hybridMultilevel"/>
    <w:lvl w:ilvl="0">
      <w:lvlJc w:val="left"/>
      <w:lvlText w:val="(%1)"/>
      <w:numFmt w:val="lowerLetter"/>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lowerLetter"/>
      <w:start w:val="2"/>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decimal"/>
      <w:start w:val="2"/>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1)"/>
      <w:numFmt w:val="lowerLetter"/>
      <w:start w:val="1"/>
    </w:lvl>
    <w:lvl w:ilvl="1">
      <w:lvlJc w:val="left"/>
      <w:lvlText w:val="•"/>
      <w:numFmt w:val="bullet"/>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04" Type="http://schemas.openxmlformats.org/officeDocument/2006/relationships/hyperlink" Target="http://www.sec.gov/Archives/edgar/data/1311370/000119312505056426/dex31.htm" TargetMode="External"/><Relationship Id="rId105" Type="http://schemas.openxmlformats.org/officeDocument/2006/relationships/hyperlink" Target="http://www.sec.gov/Archives/edgar/data/1311370/000119312505056426/dex32.htm" TargetMode="External"/><Relationship Id="rId106" Type="http://schemas.openxmlformats.org/officeDocument/2006/relationships/hyperlink" Target="http://www.sec.gov/Archives/edgar/data/1311370/000119312505126336/dex33.htm" TargetMode="External"/><Relationship Id="rId107" Type="http://schemas.openxmlformats.org/officeDocument/2006/relationships/hyperlink" Target="http://www.sec.gov/Archives/edgar/data/1311370/000119312508108332/dex34.htm" TargetMode="External"/><Relationship Id="rId108" Type="http://schemas.openxmlformats.org/officeDocument/2006/relationships/hyperlink" Target="http://www.sec.gov/Archives/edgar/data/1311370/000119312510102269/dex35.htm" TargetMode="External"/><Relationship Id="rId109" Type="http://schemas.openxmlformats.org/officeDocument/2006/relationships/hyperlink" Target="http://www.sec.gov/Archives/edgar/data/1311370/000119312505073325/dex41.htm" TargetMode="External"/><Relationship Id="rId110" Type="http://schemas.openxmlformats.org/officeDocument/2006/relationships/hyperlink" Target="http://www.sec.gov/Archives/edgar/data/1326141/000119312505145683/dex41.htm" TargetMode="External"/><Relationship Id="rId111" Type="http://schemas.openxmlformats.org/officeDocument/2006/relationships/hyperlink" Target="http://www.sec.gov/Archives/edgar/data/1311370/000119312507140226/dex41.htm" TargetMode="External"/><Relationship Id="rId112" Type="http://schemas.openxmlformats.org/officeDocument/2006/relationships/hyperlink" Target="http://www.sec.gov/Archives/edgar/data/1311370/000119312513442315/d627962dex41.htm" TargetMode="External"/><Relationship Id="rId113" Type="http://schemas.openxmlformats.org/officeDocument/2006/relationships/hyperlink" Target="http://www.sec.gov/Archives/edgar/data/1311370/000119312515050385/d871111dex41.htm" TargetMode="External"/><Relationship Id="rId114" Type="http://schemas.openxmlformats.org/officeDocument/2006/relationships/hyperlink" Target="http://www.sec.gov/Archives/edgar/data/1311370/000119312516760477/d43064dex41.htm" TargetMode="External"/><Relationship Id="rId115" Type="http://schemas.openxmlformats.org/officeDocument/2006/relationships/hyperlink" Target="http://www.sec.gov/Archives/edgar/data/1311370/000119312515355042/d41332dex101.htm" TargetMode="External"/><Relationship Id="rId116" Type="http://schemas.openxmlformats.org/officeDocument/2006/relationships/hyperlink" Target="http://www.sec.gov/Archives/edgar/data/1311370/000156459016026505/laz-ex102_1418.htm" TargetMode="External"/><Relationship Id="rId117" Type="http://schemas.openxmlformats.org/officeDocument/2006/relationships/hyperlink" Target="http://www.sec.gov/Archives/edgar/data/1311370/000119312515355042/d41332dex102.htm" TargetMode="External"/><Relationship Id="rId118" Type="http://schemas.openxmlformats.org/officeDocument/2006/relationships/hyperlink" Target="http://www.sec.gov/Archives/edgar/data/1311370/000119312505025486/dex1019.htm" TargetMode="External"/><Relationship Id="rId119" Type="http://schemas.openxmlformats.org/officeDocument/2006/relationships/hyperlink" Target="http://www.sec.gov/Archives/edgar/data/1311370/000119312511117012/dex1016.htm" TargetMode="External"/><Relationship Id="rId120" Type="http://schemas.openxmlformats.org/officeDocument/2006/relationships/hyperlink" Target="http://www.sec.gov/Archives/edgar/data/1311370/000119312505091140/dex1021.htm" TargetMode="External"/><Relationship Id="rId121" Type="http://schemas.openxmlformats.org/officeDocument/2006/relationships/hyperlink" Target="http://www.sec.gov/Archives/edgar/data/1311370/000119312508063107/ddef14a.htm" TargetMode="External"/><Relationship Id="rId124" Type="http://schemas.openxmlformats.org/officeDocument/2006/relationships/hyperlink" Target="http://www.sec.gov/Archives/edgar/data/1311370/000119312516500308/d128121ddef14a.htm" TargetMode="External"/><Relationship Id="rId125" Type="http://schemas.openxmlformats.org/officeDocument/2006/relationships/hyperlink" Target="http://www.sec.gov/Archives/edgar/data/1311370/000119312518082725/d525181ddef14a.htm" TargetMode="External"/><Relationship Id="rId126" Type="http://schemas.openxmlformats.org/officeDocument/2006/relationships/hyperlink" Target="http://www.sec.gov/Archives/edgar/data/1311370/000119312516556959/d150073dex109.htm" TargetMode="External"/><Relationship Id="rId127" Type="http://schemas.openxmlformats.org/officeDocument/2006/relationships/hyperlink" Target="http://www.sec.gov/Archives/edgar/data/1311370/000119312516556959/d150073dex1010.htm" TargetMode="External"/><Relationship Id="rId128" Type="http://schemas.openxmlformats.org/officeDocument/2006/relationships/hyperlink" Target="http://www.sec.gov/Archives/edgar/data/1311370/000119312516556959/d150073dex1011.htm" TargetMode="External"/><Relationship Id="rId129" Type="http://schemas.openxmlformats.org/officeDocument/2006/relationships/hyperlink" Target="http://www.sec.gov/Archives/edgar/data/1311370/000119312516556959/d150073dex1012.htm" TargetMode="External"/><Relationship Id="rId130" Type="http://schemas.openxmlformats.org/officeDocument/2006/relationships/hyperlink" Target="http://www.sec.gov/Archives/edgar/data/1311370/000156459017020405/laz-ex1014_1108.htm" TargetMode="External"/><Relationship Id="rId131" Type="http://schemas.openxmlformats.org/officeDocument/2006/relationships/hyperlink" Target="http://www.sec.gov/Archives/edgar/data/1311370/000156459017020405/laz-ex1015_1109.htm" TargetMode="External"/><Relationship Id="rId132" Type="http://schemas.openxmlformats.org/officeDocument/2006/relationships/hyperlink" Target="http://www.sec.gov/Archives/edgar/data/1311370/000119312516556959/d150073dex1013.htm" TargetMode="External"/><Relationship Id="rId133" Type="http://schemas.openxmlformats.org/officeDocument/2006/relationships/hyperlink" Target="http://www.sec.gov/Archives/edgar/data/1311370/000089882205001180/sept9_exhibit.txt" TargetMode="External"/><Relationship Id="rId134" Type="http://schemas.openxmlformats.org/officeDocument/2006/relationships/hyperlink" Target="http://www.sec.gov/Archives/edgar/data/1311370/000119312509041325/dex1041.htm" TargetMode="External"/><Relationship Id="rId135" Type="http://schemas.openxmlformats.org/officeDocument/2006/relationships/hyperlink" Target="http://www.sec.gov/Archives/edgar/data/1311370/000119312509041325/dex1042.htm" TargetMode="External"/><Relationship Id="rId136" Type="http://schemas.openxmlformats.org/officeDocument/2006/relationships/hyperlink" Target="http://www.sec.gov/Archives/edgar/data/1311370/000119312506109044/dex1039.htm" TargetMode="External"/><Relationship Id="rId137" Type="http://schemas.openxmlformats.org/officeDocument/2006/relationships/hyperlink" Target="http://www.sec.gov/Archives/edgar/data/1311370/000119312515355042/d41332dex1027.htm" TargetMode="External"/><Relationship Id="rId138" Type="http://schemas.openxmlformats.org/officeDocument/2006/relationships/hyperlink" Target="http://www.sec.gov/Archives/edgar/data/1311370/000119312513188120/d498095dex1055.htm" TargetMode="External"/><Relationship Id="rId139" Type="http://schemas.openxmlformats.org/officeDocument/2006/relationships/hyperlink" Target="http://www.sec.gov/Archives/edgar/data/1311370/000119312514184963/d687179dex1055.htm" TargetMode="External"/><Relationship Id="rId140" Type="http://schemas.openxmlformats.org/officeDocument/2006/relationships/hyperlink" Target="http://www.sec.gov/Archives/edgar/data/1311370/000119312514184963/d687179dex1056.htm" TargetMode="External"/><Relationship Id="rId141" Type="http://schemas.openxmlformats.org/officeDocument/2006/relationships/hyperlink" Target="http://www.sec.gov/Archives/edgar/data/1311370/000119312510102269/dex1055.htm" TargetMode="External"/><Relationship Id="rId142" Type="http://schemas.openxmlformats.org/officeDocument/2006/relationships/hyperlink" Target="http://www.sec.gov/Archives/edgar/data/1311370/000119312511117012/dex105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2019-12-28T21:07:18Z</dcterms:created>
  <dcterms:modified xsi:type="dcterms:W3CDTF">2019-12-28T21:07:18Z</dcterms:modified>
</cp:coreProperties>
</file>