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28"/>
        </w:trPr>
        <w:tc>
          <w:tcPr>
            <w:tcW w:w="598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1"/>
              </w:rPr>
              <w:t>Delaware</w:t>
            </w:r>
          </w:p>
        </w:tc>
        <w:tc>
          <w:tcPr>
            <w:tcW w:w="218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51"/>
        </w:trPr>
        <w:tc>
          <w:tcPr>
            <w:tcW w:w="5980" w:type="dxa"/>
            <w:vAlign w:val="bottom"/>
            <w:gridSpan w:val="3"/>
          </w:tcPr>
          <w:p>
            <w:pPr>
              <w:jc w:val="center"/>
              <w:ind w:right="338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180" w:type="dxa"/>
            <w:vAlign w:val="bottom"/>
          </w:tcPr>
          <w:p>
            <w:pPr>
              <w:jc w:val="center"/>
              <w:ind w:left="22"/>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80" w:type="dxa"/>
            <w:vAlign w:val="bottom"/>
            <w:gridSpan w:val="3"/>
          </w:tcPr>
          <w:p>
            <w:pPr>
              <w:jc w:val="center"/>
              <w:ind w:right="3380"/>
              <w:spacing w:after="0"/>
              <w:rPr>
                <w:sz w:val="20"/>
                <w:szCs w:val="20"/>
                <w:color w:val="auto"/>
              </w:rPr>
            </w:pPr>
            <w:r>
              <w:rPr>
                <w:rFonts w:ascii="Arial" w:cs="Arial" w:eastAsia="Arial" w:hAnsi="Arial"/>
                <w:sz w:val="14"/>
                <w:szCs w:val="14"/>
                <w:b w:val="1"/>
                <w:bCs w:val="1"/>
                <w:color w:val="auto"/>
                <w:w w:val="88"/>
              </w:rPr>
              <w:t>or Organization)</w:t>
            </w:r>
          </w:p>
        </w:tc>
        <w:tc>
          <w:tcPr>
            <w:tcW w:w="218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30 Rockefeller Plaza</w:t>
            </w:r>
          </w:p>
        </w:tc>
        <w:tc>
          <w:tcPr>
            <w:tcW w:w="218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New York, NY 10112</w:t>
            </w:r>
          </w:p>
        </w:tc>
        <w:tc>
          <w:tcPr>
            <w:tcW w:w="2180" w:type="dxa"/>
            <w:vAlign w:val="bottom"/>
          </w:tcPr>
          <w:p>
            <w:pPr>
              <w:spacing w:after="0"/>
              <w:rPr>
                <w:sz w:val="18"/>
                <w:szCs w:val="18"/>
                <w:color w:val="auto"/>
              </w:rPr>
            </w:pPr>
          </w:p>
        </w:tc>
      </w:tr>
      <w:tr>
        <w:trPr>
          <w:trHeight w:val="228"/>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180" w:type="dxa"/>
            <w:vAlign w:val="bottom"/>
          </w:tcPr>
          <w:p>
            <w:pPr>
              <w:spacing w:after="0"/>
              <w:rPr>
                <w:sz w:val="19"/>
                <w:szCs w:val="19"/>
                <w:color w:val="auto"/>
              </w:rPr>
            </w:pPr>
          </w:p>
        </w:tc>
      </w:tr>
      <w:tr>
        <w:trPr>
          <w:trHeight w:val="270"/>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8"/>
              </w:rPr>
              <w:t>Registrant’s telephone number: (212)-632-6000</w:t>
            </w:r>
          </w:p>
        </w:tc>
        <w:tc>
          <w:tcPr>
            <w:tcW w:w="218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480" w:firstLine="342"/>
        <w:spacing w:after="0" w:line="268" w:lineRule="auto"/>
        <w:rPr>
          <w:sz w:val="20"/>
          <w:szCs w:val="20"/>
          <w:color w:val="auto"/>
        </w:rPr>
      </w:pPr>
      <w:r>
        <w:rPr>
          <w:rFonts w:ascii="Arial" w:cs="Arial" w:eastAsia="Arial" w:hAnsi="Arial"/>
          <w:sz w:val="18"/>
          <w:szCs w:val="18"/>
          <w:color w:val="auto"/>
        </w:rPr>
        <w:t>As of October 20, 2014,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September 30, 2014 of all of the common membership interests in Lazard Group. Lazard Ltd controls Lazard Group through two of its indirect wholly-owned subsidiaries that are co-managing members of Lazard Group.</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9">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September 30, 2014 and December 31, 2013</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Operations for the three month and nine month periods ended September 30, 2014 and 2013</w:t>
              </w:r>
            </w:hyperlink>
          </w:p>
        </w:tc>
        <w:tc>
          <w:tcPr>
            <w:tcW w:w="1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1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nine month periods ended September 30, 2014 and 2013</w:t>
              </w:r>
            </w:hyperlink>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 periods ended September 30,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nine month periods ended September 30,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3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900" w:type="dxa"/>
            <w:vAlign w:val="bottom"/>
          </w:tcPr>
          <w:p>
            <w:pPr>
              <w:jc w:val="right"/>
              <w:ind w:right="195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789,874</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89"/>
              </w:rPr>
              <w:t>Receivables (net of allowance for doubtful accounts of $29,859 and $28,777 at September 30, 2014 and December 31, 2013,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98,708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537,562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466,542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89"/>
              </w:rPr>
              <w:t>Property (net of accumulated amortization and depreciation of $257,512 and $253,930 at September 30, 2014 and December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31, 2013, respectively)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227,358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248,795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$51,325 and $45,379 at September 30, 2014 and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2013, 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290,359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3,092,938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278,334</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112,620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514,669</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2,484,502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2,557,862</w:t>
            </w: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1"/>
              </w:rPr>
              <w:t>Members’ equity (net of 4,005,583 and 5,744,856 shares of Lazard Ltd Class A common stock, at a cost of $161,311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571,668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and $194,873 at September 30, 2014 and December 31, 2013, respectively)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663,030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(118,963)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(102,196)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544,067</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64,369</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608,436</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3,092,938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78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78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106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tcPr>
          <w:p>
            <w:pPr>
              <w:jc w:val="right"/>
              <w:spacing w:after="0"/>
              <w:rPr>
                <w:sz w:val="20"/>
                <w:szCs w:val="20"/>
                <w:color w:val="auto"/>
              </w:rPr>
            </w:pPr>
            <w:r>
              <w:rPr>
                <w:rFonts w:ascii="Arial" w:cs="Arial" w:eastAsia="Arial" w:hAnsi="Arial"/>
                <w:sz w:val="18"/>
                <w:szCs w:val="18"/>
                <w:color w:val="auto"/>
              </w:rPr>
              <w:t>$290,604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$232,006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$843,186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$660,351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 fees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805,848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707,536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2,609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25,554</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60,815</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61,518</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583,077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502,002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1,718,050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1,437,965</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566,296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479,969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1,666,396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1,371,480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800" w:type="dxa"/>
            <w:vAlign w:val="bottom"/>
          </w:tcPr>
          <w:p>
            <w:pPr>
              <w:jc w:val="right"/>
              <w:spacing w:after="0"/>
              <w:rPr>
                <w:sz w:val="20"/>
                <w:szCs w:val="20"/>
                <w:color w:val="auto"/>
              </w:rPr>
            </w:pPr>
            <w:r>
              <w:rPr>
                <w:rFonts w:ascii="Arial" w:cs="Arial" w:eastAsia="Arial" w:hAnsi="Arial"/>
                <w:sz w:val="18"/>
                <w:szCs w:val="18"/>
                <w:color w:val="auto"/>
              </w:rPr>
              <w:t>338,598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301,795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1,006,059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910,638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800" w:type="dxa"/>
            <w:vAlign w:val="bottom"/>
          </w:tcPr>
          <w:p>
            <w:pPr>
              <w:jc w:val="right"/>
              <w:spacing w:after="0"/>
              <w:rPr>
                <w:sz w:val="20"/>
                <w:szCs w:val="20"/>
                <w:color w:val="auto"/>
              </w:rPr>
            </w:pPr>
            <w:r>
              <w:rPr>
                <w:rFonts w:ascii="Arial" w:cs="Arial" w:eastAsia="Arial" w:hAnsi="Arial"/>
                <w:sz w:val="18"/>
                <w:szCs w:val="18"/>
                <w:color w:val="auto"/>
              </w:rPr>
              <w:t>19,127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17,076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59,254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60,645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10,820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31,180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30,646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00" w:type="dxa"/>
            <w:vAlign w:val="bottom"/>
          </w:tcPr>
          <w:p>
            <w:pPr>
              <w:jc w:val="right"/>
              <w:spacing w:after="0"/>
              <w:rPr>
                <w:sz w:val="20"/>
                <w:szCs w:val="20"/>
                <w:color w:val="auto"/>
              </w:rPr>
            </w:pPr>
            <w:r>
              <w:rPr>
                <w:rFonts w:ascii="Arial" w:cs="Arial" w:eastAsia="Arial" w:hAnsi="Arial"/>
                <w:sz w:val="18"/>
                <w:szCs w:val="18"/>
                <w:color w:val="auto"/>
              </w:rPr>
              <w:t>4,020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452,251</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398,899</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1,335,075</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1,227,250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144,230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22,370</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12,252</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56,105</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275,216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122,177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$269,483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$ 91,675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68,818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275,216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0"/>
        </w:trPr>
        <w:tc>
          <w:tcPr>
            <w:tcW w:w="20" w:type="dxa"/>
            <w:vAlign w:val="bottom"/>
          </w:tcPr>
          <w:p>
            <w:pPr>
              <w:spacing w:after="0"/>
              <w:rPr>
                <w:sz w:val="6"/>
                <w:szCs w:val="6"/>
                <w:color w:val="auto"/>
              </w:rPr>
            </w:pPr>
          </w:p>
        </w:tc>
        <w:tc>
          <w:tcPr>
            <w:tcW w:w="7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(23,572)</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11,407</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(16,787)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(9,557)</w:t>
            </w:r>
          </w:p>
        </w:tc>
      </w:tr>
      <w:tr>
        <w:trPr>
          <w:trHeight w:val="282"/>
        </w:trPr>
        <w:tc>
          <w:tcPr>
            <w:tcW w:w="20" w:type="dxa"/>
            <w:vAlign w:val="bottom"/>
          </w:tcPr>
          <w:p>
            <w:pPr>
              <w:spacing w:after="0"/>
              <w:rPr>
                <w:sz w:val="24"/>
                <w:szCs w:val="24"/>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791</w:t>
            </w:r>
          </w:p>
        </w:tc>
      </w:tr>
      <w:tr>
        <w:trPr>
          <w:trHeight w:val="70"/>
        </w:trPr>
        <w:tc>
          <w:tcPr>
            <w:tcW w:w="20" w:type="dxa"/>
            <w:vAlign w:val="bottom"/>
          </w:tcPr>
          <w:p>
            <w:pPr>
              <w:spacing w:after="0"/>
              <w:rPr>
                <w:sz w:val="6"/>
                <w:szCs w:val="6"/>
                <w:color w:val="auto"/>
              </w:rPr>
            </w:pPr>
          </w:p>
        </w:tc>
        <w:tc>
          <w:tcPr>
            <w:tcW w:w="7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5"/>
        </w:trPr>
        <w:tc>
          <w:tcPr>
            <w:tcW w:w="20" w:type="dxa"/>
            <w:vAlign w:val="bottom"/>
          </w:tcPr>
          <w:p>
            <w:pPr>
              <w:spacing w:after="0"/>
              <w:rPr>
                <w:sz w:val="23"/>
                <w:szCs w:val="23"/>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w w:val="95"/>
              </w:rPr>
              <w:t>Actuarial gain (loss) (net of tax (expense) benefit of $(1,731) and $(25) for the three</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60"/>
              <w:spacing w:after="0"/>
              <w:rPr>
                <w:sz w:val="20"/>
                <w:szCs w:val="20"/>
                <w:color w:val="auto"/>
              </w:rPr>
            </w:pPr>
            <w:r>
              <w:rPr>
                <w:rFonts w:ascii="Arial" w:cs="Arial" w:eastAsia="Arial" w:hAnsi="Arial"/>
                <w:sz w:val="18"/>
                <w:szCs w:val="18"/>
                <w:color w:val="auto"/>
                <w:w w:val="89"/>
              </w:rPr>
              <w:t>months ended September 30, 2014 and 2013, respectively, and $1,919 and $1,686 for</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060"/>
              <w:spacing w:after="0"/>
              <w:rPr>
                <w:sz w:val="20"/>
                <w:szCs w:val="20"/>
                <w:color w:val="auto"/>
              </w:rPr>
            </w:pPr>
            <w:r>
              <w:rPr>
                <w:rFonts w:ascii="Arial" w:cs="Arial" w:eastAsia="Arial" w:hAnsi="Arial"/>
                <w:sz w:val="18"/>
                <w:szCs w:val="18"/>
                <w:color w:val="auto"/>
              </w:rPr>
              <w:t>the nine months ended September 30, 2014 and 2013, respectively)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3,251</w:t>
            </w:r>
          </w:p>
        </w:tc>
        <w:tc>
          <w:tcPr>
            <w:tcW w:w="2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(3,695)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(2,669)</w:t>
            </w:r>
          </w:p>
        </w:tc>
      </w:tr>
      <w:tr>
        <w:trPr>
          <w:trHeight w:val="70"/>
        </w:trPr>
        <w:tc>
          <w:tcPr>
            <w:tcW w:w="20" w:type="dxa"/>
            <w:vAlign w:val="bottom"/>
          </w:tcPr>
          <w:p>
            <w:pPr>
              <w:spacing w:after="0"/>
              <w:rPr>
                <w:sz w:val="6"/>
                <w:szCs w:val="6"/>
                <w:color w:val="auto"/>
              </w:rPr>
            </w:pPr>
          </w:p>
        </w:tc>
        <w:tc>
          <w:tcPr>
            <w:tcW w:w="7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Adjustment for items reclassified to earnings (net of tax expense of $528 and $404 for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0"/>
              </w:rPr>
              <w:t>the three months ended September 30, 2014 and 2013, respectively, and $1,391 and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8"/>
              </w:rPr>
              <w:t>$1,206 for the nine months ended September 30, 2014 and 2013, respectively)</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9"/>
                <w:szCs w:val="19"/>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(19,176)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12,944</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(16,768)</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(7,782)</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114,395</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24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$ 71,440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79,676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252,716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$ 110,014</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$ 275,216</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$ 122,177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20" w:type="dxa"/>
            <w:vAlign w:val="bottom"/>
          </w:tcPr>
          <w:p>
            <w:pPr>
              <w:jc w:val="right"/>
              <w:spacing w:after="0"/>
              <w:rPr>
                <w:sz w:val="20"/>
                <w:szCs w:val="20"/>
                <w:color w:val="auto"/>
              </w:rPr>
            </w:pPr>
            <w:r>
              <w:rPr>
                <w:rFonts w:ascii="Arial" w:cs="Arial" w:eastAsia="Arial" w:hAnsi="Arial"/>
                <w:sz w:val="18"/>
                <w:szCs w:val="18"/>
                <w:color w:val="auto"/>
              </w:rPr>
              <w:t>26,332</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interest rate hedge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227,077</w:t>
            </w:r>
          </w:p>
        </w:tc>
        <w:tc>
          <w:tcPr>
            <w:tcW w:w="3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20" w:type="dxa"/>
            <w:vAlign w:val="bottom"/>
          </w:tcPr>
          <w:p>
            <w:pPr>
              <w:jc w:val="right"/>
              <w:spacing w:after="0"/>
              <w:rPr>
                <w:sz w:val="20"/>
                <w:szCs w:val="20"/>
                <w:color w:val="auto"/>
              </w:rPr>
            </w:pPr>
            <w:r>
              <w:rPr>
                <w:rFonts w:ascii="Arial" w:cs="Arial" w:eastAsia="Arial" w:hAnsi="Arial"/>
                <w:sz w:val="18"/>
                <w:szCs w:val="18"/>
                <w:color w:val="auto"/>
              </w:rPr>
              <w:t>5,946</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with banks and short-term investments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(18,626)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(1,218)</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(78,023)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(105,041)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(61,671)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345,080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(14,161)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(13,138)</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1,508</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(8,919)</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(141,192)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(77,934)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 to members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(109,805)</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(61,496)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(83,783)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(4,432)</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(347,259)</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(275,170)</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(27,086)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(42,403)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$ 789,874</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$ 682,147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Members’</w:t>
            </w:r>
          </w:p>
        </w:tc>
        <w:tc>
          <w:tcPr>
            <w:tcW w:w="200" w:type="dxa"/>
            <w:vAlign w:val="bottom"/>
          </w:tcPr>
          <w:p>
            <w:pPr>
              <w:spacing w:after="0"/>
              <w:rPr>
                <w:sz w:val="12"/>
                <w:szCs w:val="12"/>
                <w:color w:val="auto"/>
              </w:rPr>
            </w:pP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Group Members’</w:t>
            </w: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2013 (*)</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$ 545,572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(92,393)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453,179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75,908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$ 529,087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117,716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Other comprehensive loss - net of tax</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183,341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(61,496)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(61,496)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(8,858)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(77,934)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(77,934)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4"/>
              </w:rPr>
              <w:t>Delivery of Lazard Ltd Class A common stock in connection with</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w w:val="94"/>
              </w:rPr>
              <w:t>shared-based incentive compensation awards and related tax</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benefit of $862</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(124,684)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(124,684)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(124,684)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Lazard Ltd Class A common stock issuable (including</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640"/>
              <w:spacing w:after="0"/>
              <w:rPr>
                <w:sz w:val="20"/>
                <w:szCs w:val="20"/>
                <w:color w:val="auto"/>
              </w:rPr>
            </w:pPr>
            <w:r>
              <w:rPr>
                <w:rFonts w:ascii="Arial" w:cs="Arial" w:eastAsia="Arial" w:hAnsi="Arial"/>
                <w:sz w:val="18"/>
                <w:szCs w:val="18"/>
                <w:color w:val="auto"/>
              </w:rPr>
              <w:t>related amortization)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Adjustment related to noncontrolling interests</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2013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$ 581,238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(100,095)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481,143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71,087</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$ 552,230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460" w:right="28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issued at both January 1, 2013 and September 30, 2013. Also includes profit participation interests and two managing member interests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right="418"/>
              <w:spacing w:after="0"/>
              <w:rPr>
                <w:sz w:val="20"/>
                <w:szCs w:val="20"/>
                <w:color w:val="auto"/>
              </w:rPr>
            </w:pPr>
            <w:r>
              <w:rPr>
                <w:rFonts w:ascii="Arial" w:cs="Arial" w:eastAsia="Arial" w:hAnsi="Arial"/>
                <w:sz w:val="14"/>
                <w:szCs w:val="14"/>
                <w:b w:val="1"/>
                <w:bCs w:val="1"/>
                <w:color w:val="auto"/>
                <w:w w:val="86"/>
              </w:rPr>
              <w:t>Accumulated</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18"/>
              <w:spacing w:after="0" w:line="149" w:lineRule="exact"/>
              <w:rPr>
                <w:sz w:val="20"/>
                <w:szCs w:val="20"/>
                <w:color w:val="auto"/>
              </w:rPr>
            </w:pPr>
            <w:r>
              <w:rPr>
                <w:rFonts w:ascii="Arial" w:cs="Arial" w:eastAsia="Arial" w:hAnsi="Arial"/>
                <w:sz w:val="14"/>
                <w:szCs w:val="14"/>
                <w:b w:val="1"/>
                <w:bCs w:val="1"/>
                <w:color w:val="auto"/>
                <w:w w:val="90"/>
              </w:rPr>
              <w:t>Other</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Lazard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39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Group</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Members’</w:t>
            </w:r>
          </w:p>
        </w:tc>
        <w:tc>
          <w:tcPr>
            <w:tcW w:w="220" w:type="dxa"/>
            <w:vAlign w:val="bottom"/>
          </w:tcPr>
          <w:p>
            <w:pPr>
              <w:spacing w:after="0"/>
              <w:rPr>
                <w:sz w:val="12"/>
                <w:szCs w:val="12"/>
                <w:color w:val="auto"/>
              </w:rPr>
            </w:pPr>
          </w:p>
        </w:tc>
        <w:tc>
          <w:tcPr>
            <w:tcW w:w="1380" w:type="dxa"/>
            <w:vAlign w:val="bottom"/>
            <w:gridSpan w:val="3"/>
          </w:tcPr>
          <w:p>
            <w:pPr>
              <w:jc w:val="center"/>
              <w:ind w:right="418"/>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Members’</w:t>
            </w: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88"/>
              </w:rPr>
              <w:t>Net of Tax</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2014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$ 571,668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(102,196)</w:t>
            </w:r>
          </w:p>
        </w:tc>
        <w:tc>
          <w:tcPr>
            <w:tcW w:w="4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$ 469,472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66,654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$ 536,126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269,483</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269,483</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2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275,216</w:t>
            </w:r>
          </w:p>
        </w:tc>
      </w:tr>
      <w:tr>
        <w:trPr>
          <w:trHeight w:val="228"/>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 – net of tax</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38"/>
              <w:spacing w:after="0"/>
              <w:rPr>
                <w:sz w:val="20"/>
                <w:szCs w:val="20"/>
                <w:color w:val="auto"/>
              </w:rPr>
            </w:pPr>
            <w:r>
              <w:rPr>
                <w:rFonts w:ascii="Arial" w:cs="Arial" w:eastAsia="Arial" w:hAnsi="Arial"/>
                <w:sz w:val="18"/>
                <w:szCs w:val="18"/>
                <w:color w:val="auto"/>
              </w:rPr>
              <w:t>(16,767)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(16,767)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(16,768)</w:t>
            </w:r>
          </w:p>
        </w:tc>
      </w:tr>
      <w:tr>
        <w:trPr>
          <w:trHeight w:val="218"/>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159,095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159,095</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w w:val="98"/>
              </w:rPr>
              <w:t>(109,805)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(109,805)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(8,017)</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(117,822)</w:t>
            </w:r>
          </w:p>
        </w:tc>
      </w:tr>
      <w:tr>
        <w:trPr>
          <w:trHeight w:val="23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(141,192)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(141,192)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(141,192)</w:t>
            </w:r>
          </w:p>
        </w:tc>
      </w:tr>
      <w:tr>
        <w:trPr>
          <w:trHeight w:val="208"/>
        </w:trPr>
        <w:tc>
          <w:tcPr>
            <w:tcW w:w="540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2"/>
          </w:tcPr>
          <w:p>
            <w:pPr>
              <w:ind w:left="220"/>
              <w:spacing w:after="0"/>
              <w:rPr>
                <w:sz w:val="20"/>
                <w:szCs w:val="20"/>
                <w:color w:val="auto"/>
              </w:rPr>
            </w:pPr>
            <w:r>
              <w:rPr>
                <w:rFonts w:ascii="Arial" w:cs="Arial" w:eastAsia="Arial" w:hAnsi="Arial"/>
                <w:sz w:val="18"/>
                <w:szCs w:val="18"/>
                <w:color w:val="auto"/>
                <w:w w:val="93"/>
              </w:rPr>
              <w:t>shared-based incentive compensation awards and related tax benefit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400" w:type="dxa"/>
            <w:vAlign w:val="bottom"/>
            <w:gridSpan w:val="2"/>
          </w:tcPr>
          <w:p>
            <w:pPr>
              <w:ind w:left="220"/>
              <w:spacing w:after="0"/>
              <w:rPr>
                <w:sz w:val="20"/>
                <w:szCs w:val="20"/>
                <w:color w:val="auto"/>
              </w:rPr>
            </w:pPr>
            <w:r>
              <w:rPr>
                <w:rFonts w:ascii="Arial" w:cs="Arial" w:eastAsia="Arial" w:hAnsi="Arial"/>
                <w:sz w:val="18"/>
                <w:szCs w:val="18"/>
                <w:color w:val="auto"/>
              </w:rPr>
              <w:t>of $1,409</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(82,374)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(82,374)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(82,374)</w:t>
            </w:r>
          </w:p>
        </w:tc>
      </w:tr>
      <w:tr>
        <w:trPr>
          <w:trHeight w:val="232"/>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8"/>
        </w:trPr>
        <w:tc>
          <w:tcPr>
            <w:tcW w:w="5400" w:type="dxa"/>
            <w:vAlign w:val="bottom"/>
            <w:gridSpan w:val="2"/>
          </w:tcPr>
          <w:p>
            <w:pPr>
              <w:ind w:left="440"/>
              <w:spacing w:after="0"/>
              <w:rPr>
                <w:sz w:val="20"/>
                <w:szCs w:val="20"/>
                <w:color w:val="auto"/>
              </w:rPr>
            </w:pPr>
            <w:r>
              <w:rPr>
                <w:rFonts w:ascii="Arial" w:cs="Arial" w:eastAsia="Arial" w:hAnsi="Arial"/>
                <w:sz w:val="18"/>
                <w:szCs w:val="18"/>
                <w:color w:val="auto"/>
              </w:rPr>
              <w:t>Lazard Ltd Class A common stock issuable (including related</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400" w:type="dxa"/>
            <w:vAlign w:val="bottom"/>
            <w:gridSpan w:val="2"/>
          </w:tcPr>
          <w:p>
            <w:pPr>
              <w:ind w:left="660"/>
              <w:spacing w:after="0"/>
              <w:rPr>
                <w:sz w:val="20"/>
                <w:szCs w:val="20"/>
                <w:color w:val="auto"/>
              </w:rPr>
            </w:pPr>
            <w:r>
              <w:rPr>
                <w:rFonts w:ascii="Arial" w:cs="Arial" w:eastAsia="Arial" w:hAnsi="Arial"/>
                <w:sz w:val="18"/>
                <w:szCs w:val="18"/>
                <w:color w:val="auto"/>
              </w:rPr>
              <w:t>amortization)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387</w:t>
            </w:r>
          </w:p>
        </w:tc>
      </w:tr>
      <w:tr>
        <w:trPr>
          <w:trHeight w:val="218"/>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(4,232)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(4,232)</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Balance – September 30, 2014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$ 663,030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(118,963</w:t>
            </w:r>
          </w:p>
        </w:tc>
        <w:tc>
          <w:tcPr>
            <w:tcW w:w="480" w:type="dxa"/>
            <w:vAlign w:val="bottom"/>
          </w:tcPr>
          <w:p>
            <w:pPr>
              <w:jc w:val="right"/>
              <w:ind w:right="338"/>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$ 544,067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$ 608,436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2014 and September 30, 2014. Also includes profit participation interests and two managing member interests issued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598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SIGNIFICANT ACCOUNTING POLICIES Organization</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 Ltd indirectly held 100% and approximately 99.5% of all outstanding Lazard Group common membership interests as of September 30, 2014 and December 31, 2013, respectively. Lazard Ltd, through its control of the managing members of Lazard Group, controls Lazard Group. LAZ-MD Holdings LLC (“LAZ-MD Holdings”), an entity formerly owned by Lazard Group’s current and former managing directors, held approximately 0.5% of the outstanding Lazard Group common membership interests as of December 31, 2013. Additionally, LAZ-MD Holdings was the sole owner of the one issued and outstanding share of Lazard Ltd’s Class B common stock (the “Class B common stock”), which provided LAZ-MD Holdings with approximately 0.6% of the voting power, but no economic rights, in Lazard Ltd as of December 31, 2013.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color w:val="auto"/>
        </w:rPr>
        <w:t>—The accompanying condensed consolidated financial statements of Lazard Group have been prepared pursuant to the rules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2013 (the “Form 10-K”). The accompanying December 31, 2013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2014 are not necessarily indicative of the results to be expected for any future interim or annual period.</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b w:val="1"/>
          <w:bCs w:val="1"/>
          <w:i w:val="1"/>
          <w:iCs w:val="1"/>
          <w:color w:val="auto"/>
        </w:rPr>
        <w:t>Deposits with Banks and Short-Term Investments</w:t>
      </w:r>
      <w:r>
        <w:rPr>
          <w:rFonts w:ascii="Arial" w:cs="Arial" w:eastAsia="Arial" w:hAnsi="Arial"/>
          <w:sz w:val="16"/>
          <w:szCs w:val="16"/>
          <w:color w:val="auto"/>
        </w:rPr>
        <w:t>—Represents LFB’s short-term deposits, including with the Banque de France and amounts placed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 The carrying value of deposits with banks and short-term investments approximates fair value due to their short-term maturities. Under the fair value hierarchy, such amounts would be categorized within Level 1 if carried at fair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detailed discussion about the Company’s significant accounting policies, see Note 2 of Notes to Consolidated Financial Statements in our Form 10-K.</w:t>
      </w:r>
    </w:p>
    <w:p>
      <w:pPr>
        <w:spacing w:after="0" w:line="3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Financial Accounting Standards Board (the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FASB issued comprehensive new revenue recognition guidance. The guidance requires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recognize revenue when it transfers promised services to customers in an amount that reflects the consideration to which the company expects to be entitled in exchange for those services and requires enhanced disclosures to help users of financial statements better understand the nature, amount, timing, and uncertainty of revenue that is recognized. The new guidance is effective for annual and interim periods beginning after December 15, 2016 and early adoption is not permitted. The new guidance can be applied either retrospectively to each prior reporting period presented, or as a cumulative-effect adjustment as of the date of adoption. The Company is currently evaluating the new guidance.</w:t>
      </w:r>
    </w:p>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nine month periods ended September 30, 2014 and 2013 was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 Period</w:t>
            </w:r>
          </w:p>
        </w:tc>
        <w:tc>
          <w:tcPr>
            <w:tcW w:w="24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 Period</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Ended September 30,</w:t>
            </w:r>
          </w:p>
        </w:tc>
        <w:tc>
          <w:tcPr>
            <w:tcW w:w="24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Ended September 30,</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$29,943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$24,593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2,064</w:t>
            </w:r>
          </w:p>
        </w:tc>
        <w:tc>
          <w:tcPr>
            <w:tcW w:w="2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9,567</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(2,148)</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1,765</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(8,485)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29,859</w:t>
            </w:r>
          </w:p>
        </w:tc>
        <w:tc>
          <w:tcPr>
            <w:tcW w:w="28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26,160</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29,859</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2014 and December 31, 2013, the Company had receivables past due or deemed uncollectible of $35,086 and $39,341, respectively.</w:t>
      </w:r>
    </w:p>
    <w:p>
      <w:pPr>
        <w:spacing w:after="0" w:line="19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Of the Company’s fee receivables at September 30, 2014 and December 31, 2013, $81,531 and $69,464, respectively, represented interest-bearing financing receivables. In addition, at September 30, 2014 and December 31, 2013, the Company had interest-bearing related party receivables of $92,706 and $108,204,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$431,856 and $444,949 at September 30, 2014 and December 31, 2013, respectively, approximates fair value.</w:t>
      </w:r>
    </w:p>
    <w:p>
      <w:pPr>
        <w:spacing w:after="0" w:line="2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 of the following at September 30, 2014 and December 31,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Funds: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211,772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117,104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433,799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537,562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466,542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504,259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456,538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8,630</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$8,566, $43,779 and $166,541, respectively, at September 30, 2014 and $7,099, $31,515 and $130,481, respectively, at December 31, 2013,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(see Notes 6 and 12 of Notes to Condensed Consolidated Financial Statements).</w:t>
      </w:r>
    </w:p>
    <w:p>
      <w:pPr>
        <w:spacing w:after="0" w:line="14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Interest-bearing deposits mature within one year and are carried at cost that approximates fair value due to their short-term maturities.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and amounts related to LFI discussed above.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$6,732 and $9,787 at September 30, 2014 and December 31, 2013, respectively (see Note 10 of Notes to Condensed Consolidated Financial Statements).</w:t>
      </w:r>
    </w:p>
    <w:p>
      <w:pPr>
        <w:spacing w:after="0" w:line="14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During the three month and nine month periods ended September 30, 2014 and 2013, the Company reported in “revenue-other” on its condensed consolidated statements of operations gross unrealized investment gains and losses pertaining to “trading” securities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Three Month Period</w:t>
            </w:r>
          </w:p>
        </w:tc>
        <w:tc>
          <w:tcPr>
            <w:tcW w:w="164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 Period</w:t>
            </w:r>
          </w:p>
        </w:tc>
      </w:tr>
      <w:tr>
        <w:trPr>
          <w:trHeight w:val="161"/>
        </w:trPr>
        <w:tc>
          <w:tcPr>
            <w:tcW w:w="5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7"/>
              </w:rPr>
              <w:t>Ended September 30,</w:t>
            </w: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Ended September 30,</w:t>
            </w:r>
          </w:p>
        </w:tc>
      </w:tr>
      <w:tr>
        <w:trPr>
          <w:trHeight w:val="142"/>
        </w:trPr>
        <w:tc>
          <w:tcPr>
            <w:tcW w:w="512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10,800</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$ 4,700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12,044</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13,759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$ 5,601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classification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December 31, 2013 within the fair value hierarchy: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September 30,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63,275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36,184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36,184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68,739</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Equity</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211,729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211,772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117,104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117,104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343,546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118,438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512,884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209,941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209,941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209,941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218,571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47,206</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Equity</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297,597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457,220</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12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90"/>
              </w:rPr>
              <w:t>Three Months Ended September 30, 2014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Realized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Included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Other (a)</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1,370</w:t>
            </w:r>
          </w:p>
        </w:tc>
        <w:tc>
          <w:tcPr>
            <w:tcW w:w="60" w:type="dxa"/>
            <w:vAlign w:val="bottom"/>
          </w:tcPr>
          <w:p>
            <w:pPr>
              <w:spacing w:after="0"/>
              <w:rPr>
                <w:sz w:val="18"/>
                <w:szCs w:val="18"/>
                <w:color w:val="auto"/>
              </w:rPr>
            </w:pP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116,895</w:t>
            </w:r>
          </w:p>
        </w:tc>
        <w:tc>
          <w:tcPr>
            <w:tcW w:w="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40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(5,769)</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118,265</w:t>
            </w:r>
          </w:p>
        </w:tc>
        <w:tc>
          <w:tcPr>
            <w:tcW w:w="60" w:type="dxa"/>
            <w:vAlign w:val="bottom"/>
          </w:tcPr>
          <w:p>
            <w:pPr>
              <w:spacing w:after="0"/>
              <w:rPr>
                <w:sz w:val="19"/>
                <w:szCs w:val="19"/>
                <w:color w:val="auto"/>
              </w:rPr>
            </w:pP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7,498</w:t>
            </w:r>
          </w:p>
        </w:tc>
        <w:tc>
          <w:tcPr>
            <w:tcW w:w="4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(5,769)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(4,056)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4"/>
                <w:szCs w:val="14"/>
                <w:b w:val="1"/>
                <w:bCs w:val="1"/>
                <w:color w:val="auto"/>
                <w:w w:val="91"/>
              </w:rPr>
              <w:t>Nine Months Ended September 30, 2014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Net Unrealized/</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Realized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Included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 Revenue-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1"/>
              </w:rPr>
              <w:t>Balance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Other (a)</w:t>
            </w:r>
          </w:p>
        </w:tc>
        <w:tc>
          <w:tcPr>
            <w:tcW w:w="420" w:type="dxa"/>
            <w:vAlign w:val="bottom"/>
          </w:tcPr>
          <w:p>
            <w:pPr>
              <w:spacing w:after="0"/>
              <w:rPr>
                <w:sz w:val="14"/>
                <w:szCs w:val="14"/>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3"/>
              </w:rPr>
              <w:t>Acquisitions</w:t>
            </w: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0"/>
              </w:rPr>
              <w:t>Dispositions</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114,193</w:t>
            </w:r>
          </w:p>
        </w:tc>
        <w:tc>
          <w:tcPr>
            <w:tcW w:w="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40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(10,854)</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115,533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9,350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8,709</w:t>
            </w:r>
          </w:p>
        </w:tc>
        <w:tc>
          <w:tcPr>
            <w:tcW w:w="400" w:type="dxa"/>
            <w:vAlign w:val="bottom"/>
          </w:tcPr>
          <w:p>
            <w:pPr>
              <w:spacing w:after="0"/>
              <w:rPr>
                <w:sz w:val="19"/>
                <w:szCs w:val="19"/>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w w:val="90"/>
              </w:rPr>
              <w:t>$ (10,854)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(4,300)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0"/>
              </w:rPr>
              <w:t>Three Months Ended September 30, 2013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Included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Balance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 (a)</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4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650</w:t>
            </w:r>
          </w:p>
        </w:tc>
        <w:tc>
          <w:tcPr>
            <w:tcW w:w="4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112,833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5,174</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113,481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5,165</w:t>
            </w:r>
          </w:p>
        </w:tc>
        <w:tc>
          <w:tcPr>
            <w:tcW w:w="6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40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89"/>
              </w:rPr>
              <w:t>16</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1"/>
              </w:rPr>
              <w:t>Nine Months Ended September 30, 2013</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Included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Sales/</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 (a)</w:t>
            </w:r>
          </w:p>
        </w:tc>
        <w:tc>
          <w:tcPr>
            <w:tcW w:w="4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(12,716)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115,568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116,101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9,037</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7,261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(16,300)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nine month periods ended September 30, 2014 and the three month and nine month periods ended September 30, 2013 include net unrealized gains of $810, $6,346, $2,680 and $6,007, respectively.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2014 and 2013.</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Fair Value of Certain Investments Based on NAV</w:t>
      </w:r>
      <w:r>
        <w:rPr>
          <w:rFonts w:ascii="Arial" w:cs="Arial" w:eastAsia="Arial" w:hAnsi="Arial"/>
          <w:sz w:val="18"/>
          <w:szCs w:val="18"/>
          <w:color w:val="auto"/>
        </w:rPr>
        <w:t>—The Company’s Level 2 and Level 3 investments at September 30, 2014 and December 31,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investments that are valued using NAV or its equivalent as a practical expedient in determining fair value. Information with respect thereto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2014</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32,344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19,137(f)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right"/>
              <w:ind w:right="4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61%</w:t>
            </w:r>
          </w:p>
        </w:tc>
        <w:tc>
          <w:tcPr>
            <w:tcW w:w="200" w:type="dxa"/>
            <w:vAlign w:val="bottom"/>
          </w:tcPr>
          <w:p>
            <w:pPr>
              <w:spacing w:after="0"/>
              <w:rPr>
                <w:sz w:val="18"/>
                <w:szCs w:val="18"/>
                <w:color w:val="auto"/>
              </w:rPr>
            </w:pP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153,335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19,137</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(17%), monthly (64%)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(11%), weekly (5%) and monthly (84%)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$7,518 are excluded. Such commitments are required to be funded by capital contributions from noncontrolling interest 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27,135(f)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$10,613 are excluded. Such commitments are required to be funded by capital contributions from noncontrolling interest holders.</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September 30, 2014,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arose from (i) commitments to CP II, which amounted to $1,644 for potential “follow-on investments” and/or for fund expenses through the earlier of February 25, 2017 or the liquidation of the fund, (ii) commitments to EGCP III, which amounted to $12,688,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$4,805,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September 30, 2014 and December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4,464</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8,625</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209,921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162,422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209,941</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164,001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$4,220 and $59 as of September 30, 2014, respectively, and $2,019 and $1,587 as of December 31, 2013, respectively, for contracts with the same counterparty under legally enforceable master netting agreements. Such amounts are recorded “net” in “other assets”, with receivables for net cash collateral under such contracts of $10,434 and $11,384 as of September 30, 2014 and December 31, 2013,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2014 and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754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580" w:type="dxa"/>
            <w:vAlign w:val="bottom"/>
          </w:tcPr>
          <w:p>
            <w:pPr>
              <w:jc w:val="right"/>
              <w:spacing w:after="0"/>
              <w:rPr>
                <w:sz w:val="20"/>
                <w:szCs w:val="20"/>
                <w:color w:val="auto"/>
              </w:rPr>
            </w:pPr>
            <w:r>
              <w:rPr>
                <w:rFonts w:ascii="Arial" w:cs="Arial" w:eastAsia="Arial" w:hAnsi="Arial"/>
                <w:sz w:val="18"/>
                <w:szCs w:val="18"/>
                <w:color w:val="auto"/>
              </w:rPr>
              <w:t>5,528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(6,004)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8"/>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(4,709)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23,446</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(19,298)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3,667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(17,329)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2014 and December 31, 2013,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Estimated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0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Life in Years</w:t>
            </w: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158,551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169,814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175,600</w:t>
            </w:r>
          </w:p>
        </w:tc>
        <w:tc>
          <w:tcPr>
            <w:tcW w:w="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151,269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149,597</w:t>
            </w:r>
          </w:p>
        </w:tc>
        <w:tc>
          <w:tcPr>
            <w:tcW w:w="80" w:type="dxa"/>
            <w:vAlign w:val="bottom"/>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484,870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502,725</w:t>
            </w:r>
          </w:p>
        </w:tc>
        <w:tc>
          <w:tcPr>
            <w:tcW w:w="80" w:type="dxa"/>
            <w:vAlign w:val="bottom"/>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257,512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253,930</w:t>
            </w:r>
          </w:p>
        </w:tc>
        <w:tc>
          <w:tcPr>
            <w:tcW w:w="8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227,358</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248,795</w:t>
            </w:r>
          </w:p>
        </w:tc>
        <w:tc>
          <w:tcPr>
            <w:tcW w:w="8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2014 and December 31, 2013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20" w:type="dxa"/>
            <w:vAlign w:val="bottom"/>
            <w:gridSpan w:val="3"/>
          </w:tcPr>
          <w:p>
            <w:pPr>
              <w:ind w:left="1380"/>
              <w:spacing w:after="0"/>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4"/>
          </w:tcPr>
          <w:p>
            <w:pPr>
              <w:ind w:left="6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343,776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345,453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356,254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September 30, 2014 and December 31, 2013, goodwill of $279,235 and $280,912, respectively, was attributable to the Company’s Financial Advisory segment and, at each such respective date, $64,541 of goodwill was attributable to the Company’s Asset Management segment.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2014 and 2013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Business acquisitions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(4,909)</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(15,310)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Balance, September 30</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343,776</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2014 and December 31, 2013,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September 30, 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30,209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51,325</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12,478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63,803</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2014 was $4,020 and $5,946, respectively, and for the three month and nine month periods ended September 30, 2013 was $877 and $2,758, respectively. Estimated future amortization expense is as follows: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2014 (October 1 through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2014 and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Initial</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Annual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2"/>
              </w:rPr>
              <w:t>Outstanding 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2"/>
              </w:rPr>
              <w:t>September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Maturity</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30,</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55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600,000</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Lazard Group 4.25% Senior Notes</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500,000</w:t>
            </w:r>
          </w:p>
        </w:tc>
        <w:tc>
          <w:tcPr>
            <w:tcW w:w="5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11/14/20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150,000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9/25/15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1,048,350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November 2013, and in connection with Lazard Group’s redemption of $528,500 aggregate principal amount of its then outstanding 7.125% senior notes maturing on May 15, 2015 (the “2015 Notes”), Lazard Group issued $500,000 aggregate principal amount of 4.25% senior notes maturing on November 14, 2020 (the “2020 Notes”). Interest on the 2020 Notes is payable semi-annually on May 14 and November 14 of each year.</w:t>
      </w:r>
    </w:p>
    <w:p>
      <w:pPr>
        <w:spacing w:after="0" w:line="107" w:lineRule="exact"/>
        <w:rPr>
          <w:sz w:val="20"/>
          <w:szCs w:val="20"/>
          <w:color w:val="auto"/>
        </w:rPr>
      </w:pPr>
    </w:p>
    <w:p>
      <w:pPr>
        <w:ind w:right="240" w:firstLine="456"/>
        <w:spacing w:after="0" w:line="28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applicable margin. As of September 30, 2014, the annual interest rate for a loan accruing interest (based on the Federal Funds overnight rate), including the applicable margin, was 0.78%. At September 30, 2014 and December 31, 2013, no amounts were outstanding under the Credit Facility.</w:t>
      </w:r>
    </w:p>
    <w:p>
      <w:pPr>
        <w:spacing w:after="0" w:line="9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September 30, 2014, the Company was in compliance with such provisions. All of the Company’s senior debt obligations are unsecured.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September 30, 2014, the Company had approximately $262,000 in unused lines of credit available to it, including the Credit Facility, and unused lines of credit available to LFB of approximately $44,000 (at September 30, 2014 exchange rates) and Edgewater of $64,000. In the second quarter of 2014, $20,000 of Edgewater’s available lines of credit was drawn down by the general partner of EGCP III to provide a loan to EGCP III to finance a certain fund investment. The loan to EGCP III was repaid in the third quarter of 2014 from a capital call made by EGCP III to its investors. In addition, LFB has access to the Eurosystem Covered Bond Purchase Program of the Banque de France.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senior debt at September 30, 2014 and December 31, 2013 is carried at historical amounts. At those dates, the fair value of such senior debt was approximately $1,141,000 and $1,117,000, respectively, and exceeded the aggregate carrying value by approximately $93,000 and $69,000, respectively. The fair value of the Company’s senior debt is based on market quotations. The Company’s senior debt would be categorized within Level 2 of the hierarchy of fair value measurements if carried at fair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At September 30, 2014, minimum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rental commitments under non-cancelable operating leases, net of sublease income, are approximately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2014 (October 1 through December 31)</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77,287</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70,321</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64,894</w:t>
            </w:r>
          </w:p>
        </w:tc>
      </w:tr>
      <w:tr>
        <w:trPr>
          <w:trHeight w:val="223"/>
        </w:trPr>
        <w:tc>
          <w:tcPr>
            <w:tcW w:w="58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646,775</w:t>
            </w:r>
          </w:p>
        </w:tc>
        <w:tc>
          <w:tcPr>
            <w:tcW w:w="100" w:type="dxa"/>
            <w:vAlign w:val="bottom"/>
          </w:tcPr>
          <w:p>
            <w:pPr>
              <w:spacing w:after="0"/>
              <w:rPr>
                <w:sz w:val="19"/>
                <w:szCs w:val="19"/>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956,108</w:t>
            </w:r>
          </w:p>
        </w:tc>
      </w:tr>
      <w:tr>
        <w:trPr>
          <w:trHeight w:val="331"/>
        </w:trPr>
        <w:tc>
          <w:tcPr>
            <w:tcW w:w="5800" w:type="dxa"/>
            <w:vAlign w:val="bottom"/>
            <w:gridSpan w:val="3"/>
          </w:tcPr>
          <w:p>
            <w:pPr>
              <w:spacing w:after="0"/>
              <w:rPr>
                <w:sz w:val="20"/>
                <w:szCs w:val="20"/>
                <w:color w:val="auto"/>
              </w:rPr>
            </w:pPr>
            <w:r>
              <w:rPr>
                <w:rFonts w:ascii="Arial" w:cs="Arial" w:eastAsia="Arial" w:hAnsi="Arial"/>
                <w:sz w:val="18"/>
                <w:szCs w:val="18"/>
                <w:color w:val="auto"/>
              </w:rPr>
              <w:t>Sublease proceeds (a)</w:t>
            </w:r>
          </w:p>
        </w:tc>
        <w:tc>
          <w:tcPr>
            <w:tcW w:w="3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82,162</w:t>
            </w:r>
          </w:p>
        </w:tc>
        <w:tc>
          <w:tcPr>
            <w:tcW w:w="100" w:type="dxa"/>
            <w:vAlign w:val="bottom"/>
          </w:tcPr>
          <w:p>
            <w:pPr>
              <w:spacing w:after="0"/>
              <w:rPr>
                <w:sz w:val="24"/>
                <w:szCs w:val="24"/>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873,946</w:t>
            </w:r>
          </w:p>
        </w:tc>
      </w:tr>
      <w:tr>
        <w:trPr>
          <w:trHeight w:val="20"/>
        </w:trPr>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1480" w:right="220" w:hanging="567"/>
        <w:spacing w:after="0" w:line="332" w:lineRule="auto"/>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Committed sublease income was reduced by approximately $79,600 in the third quarter of 2014 pursuant to arrangements we entered into with LFCM Holdings LLC (“LFCM Holdings”). See Note 16 of Notes to Condensed Consolidated Financial Statements.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2014, LFB had $4,851 of such indemnifications and held $4,357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September 30, 2014 and December 31, 2013, 913,722 shares are issuable on a contingent basis, and 1,371,992 shares have been earned because applicable performance thresholds have been satisfied. As of September 30, 2014 and December 31, 2013, 1,041,436 and 1,029,006, respectively, of the earned shares have been settled.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non-contingent basis. Such shares were delivered in the first quarter of 2013. The Company is obligated to issue a maximum of 202,650 additional shares of Class A common stock if certain performance thresholds are achieved by December 31, 2014.</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September 30, 2014, these commitments were not material.</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each of LFB and LFNY (See Note 16 of Notes to Condensed Consolidated Financial Statements) may enter into underwriting commitments in which it will participate as an underwriter. At September 30, 2014, LFB and LFNY had no such underwriting commitments.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2014, also were held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nine month periods ended September 30, 2014 and 2013,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59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96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60,931</w:t>
            </w:r>
          </w:p>
        </w:tc>
        <w:tc>
          <w:tcPr>
            <w:tcW w:w="100" w:type="dxa"/>
            <w:vAlign w:val="bottom"/>
          </w:tcPr>
          <w:p>
            <w:pPr>
              <w:spacing w:after="0"/>
              <w:rPr>
                <w:sz w:val="18"/>
                <w:szCs w:val="18"/>
                <w:color w:val="auto"/>
              </w:rPr>
            </w:pPr>
          </w:p>
        </w:tc>
      </w:tr>
      <w:tr>
        <w:trPr>
          <w:trHeight w:val="27"/>
        </w:trPr>
        <w:tc>
          <w:tcPr>
            <w:tcW w:w="59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109,805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61,496</w:t>
            </w:r>
          </w:p>
        </w:tc>
        <w:tc>
          <w:tcPr>
            <w:tcW w:w="100" w:type="dxa"/>
            <w:vAlign w:val="bottom"/>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—During the nine month periods ended September 30, 2014 and 2013, Lazard Ltd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710,009 and 839,658 shares of Class A common stock, respectively, in connection with the exchanges of a like number of Lazard Group common membership interests (received from members of LAZ-MD Holdings in exchange for a like number of LAZ-MD Holdings exchangeable interests) (see Note 1 of Notes to Condensed Consolidated Financial Statements for a discussion of the Final Exchange of LAZ-MD Interests).</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2014 and for the years ended December 31, 2013, 2012 and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Lazard Ltd authorized the repurchase of Class A common stock and Lazard Group common membership interests as set forth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Interests Purchased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2040" w:type="dxa"/>
            <w:vAlign w:val="bottom"/>
            <w:tcBorders>
              <w:top w:val="single" w:sz="8" w:color="CCEEFF"/>
              <w:bottom w:val="single" w:sz="8" w:color="auto"/>
            </w:tcBorders>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Nine Months Ended September 30:</w:t>
            </w:r>
          </w:p>
        </w:tc>
        <w:tc>
          <w:tcPr>
            <w:tcW w:w="6180" w:type="dxa"/>
            <w:vAlign w:val="bottom"/>
            <w:tcBorders>
              <w:top w:val="single" w:sz="8" w:color="CCEEFF"/>
              <w:bottom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316"/>
        </w:trPr>
        <w:tc>
          <w:tcPr>
            <w:tcW w:w="2040" w:type="dxa"/>
            <w:vAlign w:val="bottom"/>
          </w:tcPr>
          <w:p>
            <w:pPr>
              <w:spacing w:after="0"/>
              <w:rPr>
                <w:sz w:val="20"/>
                <w:szCs w:val="20"/>
                <w:color w:val="auto"/>
              </w:rPr>
            </w:pPr>
            <w:r>
              <w:rPr>
                <w:rFonts w:ascii="Arial" w:cs="Arial" w:eastAsia="Arial" w:hAnsi="Arial"/>
                <w:sz w:val="18"/>
                <w:szCs w:val="18"/>
                <w:color w:val="auto"/>
              </w:rPr>
              <w:t>2013</w:t>
            </w:r>
          </w:p>
        </w:tc>
        <w:tc>
          <w:tcPr>
            <w:tcW w:w="7840" w:type="dxa"/>
            <w:vAlign w:val="bottom"/>
            <w:gridSpan w:val="3"/>
          </w:tcPr>
          <w:p>
            <w:pPr>
              <w:jc w:val="right"/>
              <w:ind w:right="520"/>
              <w:spacing w:after="0"/>
              <w:rPr>
                <w:sz w:val="20"/>
                <w:szCs w:val="20"/>
                <w:color w:val="auto"/>
              </w:rPr>
            </w:pPr>
            <w:r>
              <w:rPr>
                <w:rFonts w:ascii="Arial" w:cs="Arial" w:eastAsia="Arial" w:hAnsi="Arial"/>
                <w:sz w:val="18"/>
                <w:szCs w:val="18"/>
                <w:color w:val="auto"/>
              </w:rPr>
              <w:t>2,201,657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4"/>
                <w:szCs w:val="24"/>
                <w:color w:val="auto"/>
              </w:rPr>
            </w:pPr>
          </w:p>
        </w:tc>
      </w:tr>
      <w:tr>
        <w:trPr>
          <w:trHeight w:val="218"/>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4,114,206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r>
        <w:trPr>
          <w:trHeight w:val="363"/>
        </w:trPr>
        <w:tc>
          <w:tcPr>
            <w:tcW w:w="2040" w:type="dxa"/>
            <w:vAlign w:val="bottom"/>
          </w:tcPr>
          <w:p>
            <w:pPr>
              <w:spacing w:after="0"/>
              <w:rPr>
                <w:sz w:val="24"/>
                <w:szCs w:val="24"/>
                <w:color w:val="auto"/>
              </w:rPr>
            </w:pPr>
          </w:p>
        </w:tc>
        <w:tc>
          <w:tcPr>
            <w:tcW w:w="6180" w:type="dxa"/>
            <w:vAlign w:val="bottom"/>
          </w:tcPr>
          <w:p>
            <w:pPr>
              <w:jc w:val="right"/>
              <w:ind w:right="2332"/>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shares purchased in the nine months ended September 30, 2014 included 1,000,000 shares purchased from Natixis S.A. on June 26, 2014 for $50,340 in connection with the sale by Natixis S.A. of its entire investment in Lazard Ltd’s Class A common stock. The purchase transaction closed on July 1, 2014. As of September 30, 2014, a total of $128,932 of share repurchase authorization remained available under the Company’s share repurchase program, which will expire on December 31, 2015.</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nine month period ended September 30,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 periods ended September 30,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Currency</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498"/>
              <w:spacing w:after="0" w:line="149" w:lineRule="exact"/>
              <w:rPr>
                <w:sz w:val="20"/>
                <w:szCs w:val="20"/>
                <w:color w:val="auto"/>
              </w:rPr>
            </w:pPr>
            <w:r>
              <w:rPr>
                <w:rFonts w:ascii="Arial" w:cs="Arial" w:eastAsia="Arial" w:hAnsi="Arial"/>
                <w:sz w:val="14"/>
                <w:szCs w:val="14"/>
                <w:b w:val="1"/>
                <w:bCs w:val="1"/>
                <w:color w:val="auto"/>
                <w:w w:val="84"/>
              </w:rPr>
              <w:t>Employee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5"/>
          </w:tcPr>
          <w:p>
            <w:pPr>
              <w:jc w:val="right"/>
              <w:ind w:right="462"/>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00" w:type="dxa"/>
            <w:vAlign w:val="bottom"/>
          </w:tcPr>
          <w:p>
            <w:pPr>
              <w:spacing w:after="0"/>
              <w:rPr>
                <w:sz w:val="12"/>
                <w:szCs w:val="12"/>
                <w:color w:val="auto"/>
              </w:rPr>
            </w:pPr>
          </w:p>
        </w:tc>
        <w:tc>
          <w:tcPr>
            <w:tcW w:w="1220" w:type="dxa"/>
            <w:vAlign w:val="bottom"/>
            <w:gridSpan w:val="4"/>
          </w:tcPr>
          <w:p>
            <w:pPr>
              <w:jc w:val="center"/>
              <w:ind w:right="498"/>
              <w:spacing w:after="0" w:line="149" w:lineRule="exact"/>
              <w:rPr>
                <w:sz w:val="20"/>
                <w:szCs w:val="20"/>
                <w:color w:val="auto"/>
              </w:rPr>
            </w:pPr>
            <w:r>
              <w:rPr>
                <w:rFonts w:ascii="Arial" w:cs="Arial" w:eastAsia="Arial" w:hAnsi="Arial"/>
                <w:sz w:val="14"/>
                <w:szCs w:val="14"/>
                <w:b w:val="1"/>
                <w:bCs w:val="1"/>
                <w:color w:val="auto"/>
                <w:w w:val="84"/>
              </w:rPr>
              <w:t>Benefit</w:t>
            </w:r>
          </w:p>
        </w:tc>
        <w:tc>
          <w:tcPr>
            <w:tcW w:w="20" w:type="dxa"/>
            <w:vAlign w:val="bottom"/>
          </w:tcPr>
          <w:p>
            <w:pPr>
              <w:spacing w:after="0"/>
              <w:rPr>
                <w:sz w:val="12"/>
                <w:szCs w:val="12"/>
                <w:color w:val="auto"/>
              </w:rPr>
            </w:pPr>
          </w:p>
        </w:tc>
        <w:tc>
          <w:tcPr>
            <w:tcW w:w="1180" w:type="dxa"/>
            <w:vAlign w:val="bottom"/>
            <w:gridSpan w:val="4"/>
          </w:tcPr>
          <w:p>
            <w:pPr>
              <w:jc w:val="center"/>
              <w:ind w:right="358"/>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4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1220" w:type="dxa"/>
            <w:vAlign w:val="bottom"/>
            <w:gridSpan w:val="4"/>
          </w:tcPr>
          <w:p>
            <w:pPr>
              <w:jc w:val="center"/>
              <w:ind w:right="498"/>
              <w:spacing w:after="0"/>
              <w:rPr>
                <w:sz w:val="20"/>
                <w:szCs w:val="20"/>
                <w:color w:val="auto"/>
              </w:rPr>
            </w:pPr>
            <w:r>
              <w:rPr>
                <w:rFonts w:ascii="Arial" w:cs="Arial" w:eastAsia="Arial" w:hAnsi="Arial"/>
                <w:sz w:val="14"/>
                <w:szCs w:val="14"/>
                <w:b w:val="1"/>
                <w:bCs w:val="1"/>
                <w:color w:val="auto"/>
                <w:w w:val="85"/>
              </w:rPr>
              <w:t>Plans</w:t>
            </w:r>
          </w:p>
        </w:tc>
        <w:tc>
          <w:tcPr>
            <w:tcW w:w="20" w:type="dxa"/>
            <w:vAlign w:val="bottom"/>
          </w:tcPr>
          <w:p>
            <w:pPr>
              <w:spacing w:after="0"/>
              <w:rPr>
                <w:sz w:val="14"/>
                <w:szCs w:val="14"/>
                <w:color w:val="auto"/>
              </w:rPr>
            </w:pPr>
          </w:p>
        </w:tc>
        <w:tc>
          <w:tcPr>
            <w:tcW w:w="1180" w:type="dxa"/>
            <w:vAlign w:val="bottom"/>
            <w:gridSpan w:val="4"/>
          </w:tcPr>
          <w:p>
            <w:pPr>
              <w:jc w:val="center"/>
              <w:ind w:right="378"/>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(137,431</w:t>
            </w:r>
          </w:p>
        </w:tc>
        <w:tc>
          <w:tcPr>
            <w:tcW w:w="460" w:type="dxa"/>
            <w:vAlign w:val="bottom"/>
            <w:tcBorders>
              <w:top w:val="single" w:sz="8" w:color="CCEEFF"/>
            </w:tcBorders>
            <w:shd w:val="clear" w:color="auto" w:fill="CCEEFF"/>
          </w:tcPr>
          <w:p>
            <w:pPr>
              <w:jc w:val="right"/>
              <w:ind w:right="31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(102,195</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w w:val="71"/>
              </w:rPr>
              <w:t>1</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Activity January 1 to September 30, 2014: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62"/>
              <w:spacing w:after="0"/>
              <w:rPr>
                <w:sz w:val="20"/>
                <w:szCs w:val="20"/>
                <w:color w:val="auto"/>
              </w:rPr>
            </w:pPr>
            <w:r>
              <w:rPr>
                <w:rFonts w:ascii="Arial" w:cs="Arial" w:eastAsia="Arial" w:hAnsi="Arial"/>
                <w:sz w:val="18"/>
                <w:szCs w:val="18"/>
                <w:color w:val="auto"/>
              </w:rPr>
              <w:t>(16,787)</w:t>
            </w:r>
          </w:p>
        </w:tc>
        <w:tc>
          <w:tcPr>
            <w:tcW w:w="1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18"/>
              <w:spacing w:after="0"/>
              <w:rPr>
                <w:sz w:val="20"/>
                <w:szCs w:val="20"/>
                <w:color w:val="auto"/>
              </w:rPr>
            </w:pPr>
            <w:r>
              <w:rPr>
                <w:rFonts w:ascii="Arial" w:cs="Arial" w:eastAsia="Arial" w:hAnsi="Arial"/>
                <w:sz w:val="18"/>
                <w:szCs w:val="18"/>
                <w:color w:val="auto"/>
              </w:rPr>
              <w:t>(3,695)</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58"/>
              <w:spacing w:after="0"/>
              <w:rPr>
                <w:sz w:val="20"/>
                <w:szCs w:val="20"/>
                <w:color w:val="auto"/>
              </w:rPr>
            </w:pPr>
            <w:r>
              <w:rPr>
                <w:rFonts w:ascii="Arial" w:cs="Arial" w:eastAsia="Arial" w:hAnsi="Arial"/>
                <w:sz w:val="18"/>
                <w:szCs w:val="18"/>
                <w:color w:val="auto"/>
              </w:rPr>
              <w:t>(20,482)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(20,481)</w:t>
            </w: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w w:val="94"/>
              </w:rPr>
              <w:t>Adjustments for items reclassified to earnings, net of tax</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22"/>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140" w:type="dxa"/>
            <w:vAlign w:val="bottom"/>
            <w:gridSpan w:val="3"/>
          </w:tcPr>
          <w:p>
            <w:pPr>
              <w:jc w:val="right"/>
              <w:ind w:right="378"/>
              <w:spacing w:after="0"/>
              <w:rPr>
                <w:sz w:val="20"/>
                <w:szCs w:val="20"/>
                <w:color w:val="auto"/>
              </w:rPr>
            </w:pPr>
            <w:r>
              <w:rPr>
                <w:rFonts w:ascii="Arial" w:cs="Arial" w:eastAsia="Arial" w:hAnsi="Arial"/>
                <w:sz w:val="18"/>
                <w:szCs w:val="18"/>
                <w:color w:val="auto"/>
              </w:rPr>
              <w:t>3,714</w:t>
            </w:r>
          </w:p>
        </w:tc>
        <w:tc>
          <w:tcPr>
            <w:tcW w:w="80" w:type="dxa"/>
            <w:vAlign w:val="bottom"/>
          </w:tcPr>
          <w:p>
            <w:pPr>
              <w:spacing w:after="0"/>
              <w:rPr>
                <w:sz w:val="18"/>
                <w:szCs w:val="18"/>
                <w:color w:val="auto"/>
              </w:rPr>
            </w:pPr>
          </w:p>
        </w:tc>
        <w:tc>
          <w:tcPr>
            <w:tcW w:w="1040" w:type="dxa"/>
            <w:vAlign w:val="bottom"/>
            <w:gridSpan w:val="4"/>
          </w:tcPr>
          <w:p>
            <w:pPr>
              <w:jc w:val="right"/>
              <w:ind w:right="218"/>
              <w:spacing w:after="0"/>
              <w:rPr>
                <w:sz w:val="20"/>
                <w:szCs w:val="20"/>
                <w:color w:val="auto"/>
              </w:rPr>
            </w:pPr>
            <w:r>
              <w:rPr>
                <w:rFonts w:ascii="Arial" w:cs="Arial" w:eastAsia="Arial" w:hAnsi="Arial"/>
                <w:sz w:val="18"/>
                <w:szCs w:val="18"/>
                <w:color w:val="auto"/>
              </w:rPr>
              <w:t>3,714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62"/>
              <w:spacing w:after="0"/>
              <w:rPr>
                <w:sz w:val="20"/>
                <w:szCs w:val="20"/>
                <w:color w:val="auto"/>
              </w:rPr>
            </w:pPr>
            <w:r>
              <w:rPr>
                <w:rFonts w:ascii="Arial" w:cs="Arial" w:eastAsia="Arial" w:hAnsi="Arial"/>
                <w:sz w:val="18"/>
                <w:szCs w:val="18"/>
                <w:color w:val="auto"/>
              </w:rPr>
              <w:t>(16,787)</w:t>
            </w:r>
          </w:p>
        </w:tc>
        <w:tc>
          <w:tcPr>
            <w:tcW w:w="1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78"/>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58"/>
              <w:spacing w:after="0"/>
              <w:rPr>
                <w:sz w:val="20"/>
                <w:szCs w:val="20"/>
                <w:color w:val="auto"/>
              </w:rPr>
            </w:pPr>
            <w:r>
              <w:rPr>
                <w:rFonts w:ascii="Arial" w:cs="Arial" w:eastAsia="Arial" w:hAnsi="Arial"/>
                <w:sz w:val="18"/>
                <w:szCs w:val="18"/>
                <w:color w:val="auto"/>
              </w:rPr>
              <w:t>(16,768)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Balance, September 30, 2014</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ind w:right="422"/>
              <w:spacing w:after="0"/>
              <w:rPr>
                <w:sz w:val="20"/>
                <w:szCs w:val="20"/>
                <w:color w:val="auto"/>
              </w:rPr>
            </w:pPr>
            <w:r>
              <w:rPr>
                <w:rFonts w:ascii="Arial" w:cs="Arial" w:eastAsia="Arial" w:hAnsi="Arial"/>
                <w:sz w:val="18"/>
                <w:szCs w:val="18"/>
                <w:color w:val="auto"/>
              </w:rPr>
              <w:t>18,449</w:t>
            </w:r>
          </w:p>
        </w:tc>
        <w:tc>
          <w:tcPr>
            <w:tcW w:w="1240" w:type="dxa"/>
            <w:vAlign w:val="bottom"/>
            <w:gridSpan w:val="4"/>
          </w:tcPr>
          <w:p>
            <w:pPr>
              <w:jc w:val="right"/>
              <w:ind w:right="318"/>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(137,412)</w:t>
            </w:r>
          </w:p>
        </w:tc>
        <w:tc>
          <w:tcPr>
            <w:tcW w:w="80" w:type="dxa"/>
            <w:vAlign w:val="bottom"/>
          </w:tcPr>
          <w:p>
            <w:pPr>
              <w:spacing w:after="0"/>
              <w:rPr>
                <w:sz w:val="19"/>
                <w:szCs w:val="19"/>
                <w:color w:val="auto"/>
              </w:rPr>
            </w:pPr>
          </w:p>
        </w:tc>
        <w:tc>
          <w:tcPr>
            <w:tcW w:w="1040" w:type="dxa"/>
            <w:vAlign w:val="bottom"/>
            <w:gridSpan w:val="4"/>
          </w:tcPr>
          <w:p>
            <w:pPr>
              <w:jc w:val="right"/>
              <w:ind w:right="158"/>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(118,963)</w:t>
            </w:r>
          </w:p>
        </w:tc>
        <w:tc>
          <w:tcPr>
            <w:tcW w:w="16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(118,963)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Employee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Rate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Benefit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tcPr>
          <w:p>
            <w:pPr>
              <w:jc w:val="right"/>
              <w:ind w:right="298"/>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Hedge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5"/>
              </w:rPr>
              <w:t>Plans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jc w:val="right"/>
              <w:ind w:right="258"/>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(2,502</w:t>
            </w:r>
          </w:p>
        </w:tc>
        <w:tc>
          <w:tcPr>
            <w:tcW w:w="10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(128,536</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(92,381</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Activity January 1 to September 30, 2013: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(9,557)</w:t>
            </w: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0" w:type="dxa"/>
            <w:vAlign w:val="bottom"/>
            <w:gridSpan w:val="5"/>
            <w:shd w:val="clear" w:color="auto" w:fill="CCEEFF"/>
          </w:tcPr>
          <w:p>
            <w:pPr>
              <w:jc w:val="right"/>
              <w:ind w:right="18"/>
              <w:spacing w:after="0"/>
              <w:rPr>
                <w:sz w:val="20"/>
                <w:szCs w:val="20"/>
                <w:color w:val="auto"/>
              </w:rPr>
            </w:pPr>
            <w:r>
              <w:rPr>
                <w:rFonts w:ascii="Arial" w:cs="Arial" w:eastAsia="Arial" w:hAnsi="Arial"/>
                <w:sz w:val="18"/>
                <w:szCs w:val="18"/>
                <w:color w:val="auto"/>
              </w:rPr>
              <w:t>(12,226)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w w:val="94"/>
              </w:rPr>
              <w:t>Adjustments for items reclassified to earnings, net of tax</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3,653</w:t>
            </w:r>
          </w:p>
        </w:tc>
        <w:tc>
          <w:tcPr>
            <w:tcW w:w="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(9,557)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0" w:type="dxa"/>
            <w:vAlign w:val="bottom"/>
            <w:gridSpan w:val="5"/>
            <w:shd w:val="clear" w:color="auto" w:fill="CCEEFF"/>
          </w:tcPr>
          <w:p>
            <w:pPr>
              <w:jc w:val="right"/>
              <w:ind w:right="18"/>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Balance, September 30, 2013</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29,100</w:t>
            </w:r>
          </w:p>
        </w:tc>
        <w:tc>
          <w:tcPr>
            <w:tcW w:w="1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(1,711)</w:t>
            </w:r>
          </w:p>
        </w:tc>
        <w:tc>
          <w:tcPr>
            <w:tcW w:w="12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(127,552)</w:t>
            </w:r>
          </w:p>
        </w:tc>
        <w:tc>
          <w:tcPr>
            <w:tcW w:w="1200" w:type="dxa"/>
            <w:vAlign w:val="bottom"/>
            <w:gridSpan w:val="5"/>
          </w:tcPr>
          <w:p>
            <w:pPr>
              <w:jc w:val="right"/>
              <w:ind w:right="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(100,163)</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5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(100,095)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table below reflects adjustments for items reclassified out of AOCI, by component, for the three month and nine month periods ended September 30,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8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1,627</w:t>
            </w: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1,223</w:t>
            </w: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1,487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2014 and 2013 and noncontrolling interests as of September 30, 2014 and December 31, 2013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gridSpan w:val="10"/>
          </w:tcPr>
          <w:p>
            <w:pPr>
              <w:jc w:val="right"/>
              <w:ind w:right="920"/>
              <w:spacing w:after="0"/>
              <w:rPr>
                <w:sz w:val="20"/>
                <w:szCs w:val="20"/>
                <w:color w:val="auto"/>
              </w:rPr>
            </w:pPr>
            <w:r>
              <w:rPr>
                <w:rFonts w:ascii="Arial" w:cs="Arial" w:eastAsia="Arial" w:hAnsi="Arial"/>
                <w:sz w:val="14"/>
                <w:szCs w:val="14"/>
                <w:b w:val="1"/>
                <w:bCs w:val="1"/>
                <w:color w:val="auto"/>
                <w:w w:val="88"/>
              </w:rPr>
              <w:t>Net Income (Loss) Attributable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Noncontrolling Interests</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940" w:type="dxa"/>
            <w:vAlign w:val="bottom"/>
            <w:gridSpan w:val="6"/>
          </w:tcPr>
          <w:p>
            <w:pPr>
              <w:jc w:val="right"/>
              <w:ind w:right="580"/>
              <w:spacing w:after="0" w:line="129" w:lineRule="exact"/>
              <w:rPr>
                <w:sz w:val="20"/>
                <w:szCs w:val="20"/>
                <w:color w:val="auto"/>
              </w:rPr>
            </w:pPr>
            <w:r>
              <w:rPr>
                <w:rFonts w:ascii="Arial" w:cs="Arial" w:eastAsia="Arial" w:hAnsi="Arial"/>
                <w:sz w:val="14"/>
                <w:szCs w:val="14"/>
                <w:b w:val="1"/>
                <w:bCs w:val="1"/>
                <w:color w:val="auto"/>
                <w:w w:val="96"/>
              </w:rPr>
              <w:t>Three Months Ended</w:t>
            </w:r>
          </w:p>
        </w:tc>
        <w:tc>
          <w:tcPr>
            <w:tcW w:w="1420" w:type="dxa"/>
            <w:vAlign w:val="bottom"/>
            <w:gridSpan w:val="5"/>
          </w:tcPr>
          <w:p>
            <w:pPr>
              <w:jc w:val="right"/>
              <w:ind w:right="140"/>
              <w:spacing w:after="0" w:line="129" w:lineRule="exact"/>
              <w:rPr>
                <w:sz w:val="20"/>
                <w:szCs w:val="20"/>
                <w:color w:val="auto"/>
              </w:rPr>
            </w:pPr>
            <w:r>
              <w:rPr>
                <w:rFonts w:ascii="Arial" w:cs="Arial" w:eastAsia="Arial" w:hAnsi="Arial"/>
                <w:sz w:val="14"/>
                <w:szCs w:val="14"/>
                <w:b w:val="1"/>
                <w:bCs w:val="1"/>
                <w:color w:val="auto"/>
                <w:w w:val="96"/>
              </w:rPr>
              <w:t>Nine Months Ended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9"/>
              <w:spacing w:after="0" w:line="142" w:lineRule="exact"/>
              <w:rPr>
                <w:sz w:val="20"/>
                <w:szCs w:val="20"/>
                <w:color w:val="auto"/>
              </w:rPr>
            </w:pPr>
            <w:r>
              <w:rPr>
                <w:rFonts w:ascii="Arial" w:cs="Arial" w:eastAsia="Arial" w:hAnsi="Arial"/>
                <w:sz w:val="14"/>
                <w:szCs w:val="14"/>
                <w:b w:val="1"/>
                <w:bCs w:val="1"/>
                <w:color w:val="auto"/>
              </w:rPr>
              <w:t>2014</w:t>
            </w:r>
          </w:p>
        </w:tc>
        <w:tc>
          <w:tcPr>
            <w:tcW w:w="920" w:type="dxa"/>
            <w:vAlign w:val="bottom"/>
            <w:tcBorders>
              <w:top w:val="single" w:sz="8" w:color="auto"/>
            </w:tcBorders>
            <w:gridSpan w:val="3"/>
          </w:tcPr>
          <w:p>
            <w:pPr>
              <w:ind w:left="54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6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$ 1,060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$ 2,018</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$5,732</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$4,671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4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82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$ 1,060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$ 2,100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w w:val="86"/>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64,360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3"/>
              </w:rPr>
              <w:t>66,641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4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ind w:left="5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64,369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66,654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40" w:type="dxa"/>
            <w:vAlign w:val="bottom"/>
            <w:vMerge w:val="restart"/>
          </w:tcPr>
          <w:p>
            <w:pPr>
              <w:jc w:val="right"/>
              <w:ind w:right="1952"/>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and nine month periods ended September 30,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nine month periods ended September 30, 2014 and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RSUs (a)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$39,091</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$46,095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$132,307</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$163,184</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6,467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580" w:type="dxa"/>
            <w:vAlign w:val="bottom"/>
          </w:tcPr>
          <w:p>
            <w:pPr>
              <w:jc w:val="right"/>
              <w:spacing w:after="0"/>
              <w:rPr>
                <w:sz w:val="20"/>
                <w:szCs w:val="20"/>
                <w:color w:val="auto"/>
              </w:rPr>
            </w:pPr>
            <w:r>
              <w:rPr>
                <w:rFonts w:ascii="Arial" w:cs="Arial" w:eastAsia="Arial" w:hAnsi="Arial"/>
                <w:sz w:val="18"/>
                <w:szCs w:val="18"/>
                <w:color w:val="auto"/>
              </w:rPr>
              <w:t>2,637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2,627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13,493</w:t>
            </w:r>
          </w:p>
        </w:tc>
        <w:tc>
          <w:tcPr>
            <w:tcW w:w="660" w:type="dxa"/>
            <w:vAlign w:val="bottom"/>
          </w:tcPr>
          <w:p>
            <w:pPr>
              <w:jc w:val="right"/>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46,736</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55,224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158,276</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182,568</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of $9,099 for the nine month period ended September 30, 2013 (see Note 14 of Notes to Condensed Consolidated Financial Statements).</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of $247 for the nine month period ended September 30, 2013.</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2014 and 2013, dividend participation rights required the issuance of 288,272 and 257,418 RSUs, respectively.</w:t>
      </w:r>
    </w:p>
    <w:p>
      <w:pPr>
        <w:spacing w:after="0" w:line="140"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26,360 and 39,315 DSUs granted during the nine month periods ended September 30, 2014 and 2013,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 and resulted in nominal cash payments for the nine month periods ended September 30, 2014 and 2013.</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2014 and 2013, 6,381 and 5,880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140" w:type="dxa"/>
            <w:vAlign w:val="bottom"/>
            <w:gridSpan w:val="4"/>
          </w:tcPr>
          <w:p>
            <w:pPr>
              <w:jc w:val="center"/>
              <w:ind w:left="17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16,630,009</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288,272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3,733,113</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42.75</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(210,458)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(6,529,801)</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37.86</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13,622,863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284,175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204,496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257,418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4,868,963</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(239,117)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34.63</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(9,363,792)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Balance, September 30, 2013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16,747,185</w:t>
            </w:r>
          </w:p>
        </w:tc>
        <w:tc>
          <w:tcPr>
            <w:tcW w:w="32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34.30</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249,691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RSUs that vested during the nine month periods ended September 30, 2014 and 2013, the Company satisfied its minimum statutory tax withholding requirements in lieu of issuing 1,876,398 and 3,471,813 shares of Class A common stock in the respective nine month periods. Accordingly, 4,653,403 and 5,891,979 shares of Class A common stock held by the Company were delivered during the nine month periods ended September 30, 2014 and 2013, respectively.</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fourth quarter of 2012, 958,213 RSUs were modified through forward purchase agreements into liability awards. Such liability awards were settled on March 1, 2013 for $28,612. During the nine month period ended September 30, 2013, compensation expense of $1,690 was recorded for such liability awards.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2014, estimated unrecognized RSU compensation expense was approximately $168,382, with such expense expected to be recognized over a weighted average period of approximately 1.1 years subsequent to September 30, 2014.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2014 and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(205,075)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807,793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(35,794)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(1,728,509)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September 30, 2013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577,042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2014 and 2013, the Company satisfied its minimum statutory tax withholding requirements in lieu of delivering 29,999 and 18,631 shares of Class A common stock during the respective nine month periods. Accordingly, 175,076 and 1,709,878 shares of Class A common stock held by the Company were delivered during the nine month periods ended September 30, 2014 and 2013, respectively.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restricted stock awards include a cash dividend participation right equivalent to any ordinary quarterly dividends paid on Class A common stock during the period, which will vest concurrently with the underlying restricted stock award. At September 30, 2014, estimated unrecognized restricted stock expense was approximately $13,460, with such expense to be recognized over a weighted average period of approximately 1.4 years subsequent to September 30,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PRSUs granted in 2013, three times the target number in the event of a substantial increase in fiscal year 2014 revenue (adjusted for certain items)). The PRSUs granted in 2014 will vest on a single date three years following the date of the grant and the PRSUs granted in 2013 will vest 33% in March 2015 and 67% in March 2016, in each case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of shares of Class A common stock subject to each PRSU will no longer be at risk of forfeiture based on the achievement of performance criteria. PRSUs include dividend participation rights that provide that during vesting periods the target number of PRSUs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PRSUs during the nine month periods ended September 30, 2014 and 2013 at the target level:</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76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360,783</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9"/>
                <w:szCs w:val="1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808,911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7620" w:type="dxa"/>
            <w:vAlign w:val="bottom"/>
          </w:tcPr>
          <w:p>
            <w:pPr>
              <w:spacing w:after="0"/>
              <w:rPr>
                <w:sz w:val="20"/>
                <w:szCs w:val="20"/>
                <w:color w:val="auto"/>
              </w:rPr>
            </w:pPr>
            <w:r>
              <w:rPr>
                <w:rFonts w:ascii="Arial" w:cs="Arial" w:eastAsia="Arial" w:hAnsi="Arial"/>
                <w:sz w:val="18"/>
                <w:szCs w:val="18"/>
                <w:color w:val="auto"/>
              </w:rPr>
              <w:t>Balance, January 1, 2013</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 September 30, 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2014, the total estimated unrecognized compensation expense was approximately $23,850, and the Company expects to amortize such expense over a weighted-average period of approximately 1.6 years subsequent to September 30,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the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92,728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92,728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(54,293)</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(57,287)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September 30, 2014</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94,003</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209,921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72,217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(22,903)</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(44,195)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September 30, 2013</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74,485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156,306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1.7 years subsequent to September 30, 2014.</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2014 and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$21,310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$15,049</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$63,226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Change in the fair value of underlying investments</w:t>
            </w:r>
          </w:p>
        </w:tc>
        <w:tc>
          <w:tcPr>
            <w:tcW w:w="15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(5,528)</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7,519</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6,004</w:t>
            </w:r>
          </w:p>
        </w:tc>
        <w:tc>
          <w:tcPr>
            <w:tcW w:w="580" w:type="dxa"/>
            <w:vAlign w:val="bottom"/>
          </w:tcPr>
          <w:p>
            <w:pPr>
              <w:jc w:val="right"/>
              <w:spacing w:after="0"/>
              <w:rPr>
                <w:sz w:val="20"/>
                <w:szCs w:val="20"/>
                <w:color w:val="auto"/>
              </w:rPr>
            </w:pPr>
            <w:r>
              <w:rPr>
                <w:rFonts w:ascii="Arial" w:cs="Arial" w:eastAsia="Arial" w:hAnsi="Arial"/>
                <w:sz w:val="18"/>
                <w:szCs w:val="18"/>
                <w:color w:val="auto"/>
              </w:rPr>
              <w:t>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15,782</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22,568</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69,230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of $2,665 for the nine month period ended September 30, 2013 (see Note 14 of Notes to Condensed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pursuant to which the Company agreed to make plan contributions of 1 million British pounds during each year from 2012 through 2020 inclusive and to make annual contributions of 1 million British pounds into an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first of which is currently underway. The aggregate amount in the account security arrangement was approximately $18,200 and $16,900 at September 30, 2014 and December 31, 2013, respectively,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nine month periods ended September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Medical Plan</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w w:val="90"/>
              </w:rPr>
              <w:t>Three Months Ended September 30,</w:t>
            </w: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6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315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7,636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6,744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(8,253)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(6,701)</w:t>
            </w:r>
          </w:p>
        </w:tc>
        <w:tc>
          <w:tcPr>
            <w:tcW w:w="1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708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(131)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20"/>
              <w:spacing w:after="0"/>
              <w:rPr>
                <w:sz w:val="20"/>
                <w:szCs w:val="20"/>
                <w:color w:val="auto"/>
              </w:rPr>
            </w:pPr>
            <w:r>
              <w:rPr>
                <w:rFonts w:ascii="Arial" w:cs="Arial" w:eastAsia="Arial" w:hAnsi="Arial"/>
                <w:sz w:val="18"/>
                <w:szCs w:val="18"/>
                <w:color w:val="auto"/>
              </w:rPr>
              <w:t>Net benefit cost (credit)</w:t>
            </w:r>
          </w:p>
        </w:tc>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1,454</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1,985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(75)</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40" w:type="dxa"/>
            <w:vAlign w:val="bottom"/>
            <w:vMerge w:val="restart"/>
          </w:tcPr>
          <w:p>
            <w:pPr>
              <w:jc w:val="right"/>
              <w:ind w:right="1732"/>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Medical Plan</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Nine Months Ended September 30,</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20,193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(24,560)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(20,090)</w:t>
            </w: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(396)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20"/>
              <w:spacing w:after="0"/>
              <w:rPr>
                <w:sz w:val="20"/>
                <w:szCs w:val="20"/>
                <w:color w:val="auto"/>
              </w:rPr>
            </w:pPr>
            <w:r>
              <w:rPr>
                <w:rFonts w:ascii="Arial" w:cs="Arial" w:eastAsia="Arial" w:hAnsi="Arial"/>
                <w:sz w:val="18"/>
                <w:szCs w:val="18"/>
                <w:color w:val="auto"/>
              </w:rPr>
              <w:t>Net benefit cost (credit)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(226)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3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 Period Ended September 30, 2013:</w:t>
            </w:r>
          </w:p>
        </w:tc>
        <w:tc>
          <w:tcPr>
            <w:tcW w:w="1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45,746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5,417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47,779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$ 16,689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September 30, 2013:</w:t>
            </w: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$121,879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$ 125,311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13,024</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20" w:type="dxa"/>
            <w:vAlign w:val="bottom"/>
            <w:vMerge w:val="restart"/>
          </w:tcPr>
          <w:p>
            <w:pPr>
              <w:jc w:val="right"/>
              <w:ind w:right="452"/>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nine month period ended September 30, 2014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3"/>
              </w:rPr>
              <w:t>and Benefits</w:t>
            </w:r>
          </w:p>
        </w:tc>
        <w:tc>
          <w:tcPr>
            <w:tcW w:w="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(9,965)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Balance, September 30, 2014</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2,045</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5,206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recorded income tax provisions of $22,370 and $56,105 for the three month and nine month periods ended September 30, 2014, respectively, and $12,252 and $22,053 for the three month and nine month periods ended September 30, 2013, respectively, representing effective tax rates of 19.6%, 16.9%, 15.1% and 15.3%, respectively. The difference between the U.S. federal statutory rate of 35.0% and the effective tax rates reflected above principally relates to (i) Lazard Group primarily operating as a limited liability company in the U.S., (ii) taxes payable to foreign jurisdictions and (iii) U.S. state and local taxes (primarily UBT), which are incremental to the U.S. federal statutory tax rate.</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September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8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110,995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112,620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LFCM Holdings owned and operated the capital markets business and fund management activities, as well as other specified non-operating assets and liabilities, that were transferred to it by Lazard Group (referred to as the “separated businesses”) in May 2005 and is owned by former and current managing directors of the Company (including the Company’s executive officers).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In addition, LFCM Holdings and Lazard Group entered into a business alliance agreement (the “business alliance agreement”) and a license agreement (the “license agreement”). Certain of these agreements are described in more detail in the Company’s Form 10-K.</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third quarter of 2014, the Company entered into arrangements with LFCM Holdings and certain of its subsidiaries (“LFCM”) pursuant to which, among other things, the Company has acquired certain assets from LFCM relating to its convertible securities business, the business alliance provided for in the business alliance agreement has been terminated, and LFCM has relinquished certain license rights previously granted under the license agreement. In addition, LFCM surrendered certain leasehold interests, including leasehold improvements, to the Company, and was relieved of obligations to pay related sublease rent. See Note 10 of Notes to Condensed Consolidated Financial Statements. The Company does not believe that any of these arrangements will have a material effect on its consolidated financial position or results of operations.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the Company’s convertible securities practice group. In addition, the Company may act as an underwriter in public offerings and other distributions of securities from time to time, primarily relating to its Financial Advisory business.</w:t>
      </w:r>
    </w:p>
    <w:p>
      <w:pPr>
        <w:spacing w:after="0" w:line="14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For the three month and nine month periods ended September 30, 2014, amounts recorded by Lazard Group relating to the administrative services agreement amounted to $220 and $812, respectively, and net referral fees for underwriting, private placement, M&amp;A and restructuring transactions under the business alliance agreement amounted to $54 and $795, respectively. For the three month and nine month periods ended September 30,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recorded by Lazard Group relating to the administrative services agreement amounted to $534 and $1,466, respectively, and net referral fees for underwriting, private placement, M&amp;A and restructuring transactions under the business alliance agreement amounted to $1,633 and $1,163,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Receivables from LFCM Holdings and its subsidiaries as of September 30, 2014 and December 31, 2013 include $139 and $3,112, respectively, related to administrative and support services and other receivables which include sublease income and reimbursement of expenses incurred on behalf of LFCM Holdings, and, at December 31, 2013, $4,682 related to referral fees for underwriting and private placement transactions. Payables to LFCM Holdings and its subsidiaries at September 30, 2014 and December 31, 2013 include $1,427 and $3,051, respectively, relating to referral fees for Financial Advisory and other transactions.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Lazard Group’s receivables from subsidiaries of Lazard Ltd at September 30, 2014 and December 31, 2013 included interest-bearing loans of $92,706 and $108,204, respectively, including accrued interest thereon. Interest income relating to interest-bearing loans with subsidiaries of Lazard Ltd amounted to $1,434 and $4,454 for the three month and nine month periods ended September 30, 2014, respectively, and $1,616 and $4,737 for the three month and nine month periods ended September 30, 2013, respectively.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both September 30, 2014 and December 31, 2013, Lazard Group’s payables to subsidiaries of Lazard Ltd included $3,125 in connection with Lazard Group’s prior year business acquisitions. In addition, as of September 30, 2014 and December 31, 2013, Lazard Group’s payables to subsidiaries of Lazard Ltd included interest-bearing loans, plus accrued interest thereon, of approximately $107,000 and $194,000, respectively. Interest expense relating to interest-bearing loans with subsidiaries of Lazard Ltd amounted to $1,280 and $4,496 for the three month and nine month periods ended September 30, 2014, respectively, and $1,862 and $5,849 for the three month and nine month periods ended September 30, 2013, respectively.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Other payables at December 31, 2013 primarily relate to referral fees for M&amp;A and restructuring transactions with MBA Lazard Holdings S.A. and its affiliates, an Argentina-based group in which the Company has a 50% ownership interest.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Lazard Group charges LAZ-MD Holdings for these services based on Lazard Group’s cost allocation methodology and, for the three month and nine month periods ended September 30, 2014, such charges amounted to $250 and $750, respectively. For the three month and nine month periods ending September 30, 2013, such charges amounted to $250 and $750, respectively.</w:t>
      </w:r>
    </w:p>
    <w:p>
      <w:pPr>
        <w:spacing w:after="0" w:line="26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Exchange Act. Under the basic method permitted by this rule, the minimum required net capital, as defined,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 xml:space="preserve">is a specified fixed percentage (6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At September 30, 2014, LFNY’s regulatory net capital was $180,909, which exceeded the minimum requirement by $178,043.</w:t>
      </w:r>
    </w:p>
    <w:p>
      <w:pPr>
        <w:spacing w:after="0" w:line="140"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September 30, 2014, the aggregate regulatory net capital of the U.K. Subsidiaries was $91,003, which exceeded the minimum requirement by $72,842.</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September 30, 2014, the consolidated regulatory net capital of CFLF was $139,613, which exceeded the minimum requirement set for regulatory capital levels by $102,948.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2014, for those subsidiaries with regulatory capital requirements, their aggregate net capital was $100,054, which exceeded the minimum required capital by $72,757.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2014, each of these subsidiaries individually was in compliance with its regulatory capital requirements.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2014 and 2013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2013(a)</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291,089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233,842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255,230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218,015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754,449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674,689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291,967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252,094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848,695</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741,618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191,501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168,895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vMerge w:val="restart"/>
          </w:tcPr>
          <w:p>
            <w:pPr>
              <w:ind w:left="1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100,466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83,199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296,196</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230,092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(16,760)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(29,653)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(22,280)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(17,956)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(57,780)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(76,784)</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400" w:type="dxa"/>
            <w:vAlign w:val="bottom"/>
          </w:tcPr>
          <w:p>
            <w:pPr>
              <w:ind w:left="118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566,296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479,969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1,666,396</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1,371,480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452,251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398,899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1,335,075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1,227,250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vMerge w:val="restart"/>
          </w:tcPr>
          <w:p>
            <w:pPr>
              <w:ind w:left="1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114,045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81,070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331,321</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nine month period ended September 30,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0"/>
              </w:rPr>
              <w:t>As Of</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40" w:type="dxa"/>
            <w:vAlign w:val="bottom"/>
            <w:gridSpan w:val="2"/>
          </w:tcPr>
          <w:p>
            <w:pPr>
              <w:ind w:left="4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706,251</w:t>
            </w:r>
          </w:p>
        </w:tc>
        <w:tc>
          <w:tcPr>
            <w:tcW w:w="34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585,693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1,800,994</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1,767,262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4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3,092,938</w:t>
            </w:r>
          </w:p>
        </w:tc>
        <w:tc>
          <w:tcPr>
            <w:tcW w:w="3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3,093,988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20" w:type="dxa"/>
            <w:vAlign w:val="bottom"/>
            <w:vMerge w:val="restart"/>
          </w:tcPr>
          <w:p>
            <w:pPr>
              <w:jc w:val="right"/>
              <w:ind w:right="2552"/>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59" w:right="10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2013 (the “Form 10-K”). All references to “2014”, “2013”, “third quarter”, “first nine months” or “the period” refer to, as the context requires, the three month and nine month periods ended September 30, 2014 and September 30,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business’ ability to deploy surplus cash through distributions to members, purchases of Lazard Ltd Class A common stock and debt repurchases,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Three Months Ended</w:t>
            </w:r>
          </w:p>
        </w:tc>
        <w:tc>
          <w:tcPr>
            <w:tcW w:w="1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2013</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Asset Management</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w:t>
      </w:r>
    </w:p>
    <w:p>
      <w:pPr>
        <w:spacing w:after="0" w:line="12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 July 2014, the Company and Natixis S.A. entered an arrangement that would allow them, on a non-exclusive and optional basis, to place and underwrite securities on the French equity capital markets under the common brand “Lazard-Natixis.” The arrangement may be terminated by either party at any time.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third quarter of 2014, we entered into arrangements with LFCM Holdings LLC and certain of its subsidiaries (“LFCM Holdings”) pursuant to which, among other things, (i) we have acquired certain assets from LFCM Holdings relating to its convertible securities business, (ii) the business alliance provided for in the Business Alliance Agreement, dated as of May 10, 2005, between the Company and LFCM Holdings, has been terminated, and (iii) LFCM Holdings has relinquished certain license rights previously granted under the License Agreement, dated as of May 10, 2005, between the Company and LFCM Holdings. In addition, LFCM Holdings surrendered certain leasehold interests, including leasehold improvements, to the Company, and was relieved of obligations to pay related sublease rent. See Note 10 of Notes to Condensed Consolidated Financial Statements. We do not believe that any of these arrangements will have a material effect on our consolidated financial position or results of operations.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our convertible securities practice group. In addition, we may act as an underwriter in public offerings and other distributions of securities from time to time, primarily relating to our Financial Advisory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Overall, equity market indices for developed and emerging markets at September 30, 2014 increased as compared to such indices at September 30, 2013, despite some market volatility in the third quarter ended September 30, 2014. In the global M&amp;A markets during the first nine months of 2014, the number and value of all completed M&amp;A transactions decreased as compared to the same period in the prior year. However, with respect to the subset of such transactions involving values greater than $500 million, both the number and value increased as compared to the prior period. During the same time, the number and value of all announced M&amp;A transactions, including the subset of such transactions involving values greater than $500 million, increased, reflecting an active global M&amp;A environment. During the first nine months of 2014, global restructuring activity remained low, consistent with the last several years.</w:t>
      </w:r>
    </w:p>
    <w:p>
      <w:pPr>
        <w:spacing w:after="0" w:line="12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Entering the fourth quarter of 2014, interest rates remain low and corporate cash balances remain high. The U.S. economy continues to be resilient. Europe’s recovery continues to be uneven. Some volatility has returned to the capital markets but the underpinnings of a gradual U.S. led global economic recovery appear to remain in place. Although market volatility may continue, we are cautiously optimistic about the environment for both of our businesses.</w:t>
      </w:r>
    </w:p>
    <w:p>
      <w:pPr>
        <w:spacing w:after="0" w:line="10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intend to leverage our existing infrastructure to capitalize on global macroeconomic recovery, positive momentum in the M&amp;A cycle, and strength in the global equity markets. We expect to generate revenue growth by remaining adequately staffed to capitalize on macroeconomic recovery and deploying our intellectual capital to generate new revenue streams.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340" w:hanging="345"/>
        <w:spacing w:after="0" w:line="25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Advisory </w:t>
      </w:r>
      <w:r>
        <w:rPr>
          <w:rFonts w:ascii="Arial" w:cs="Arial" w:eastAsia="Arial" w:hAnsi="Arial"/>
          <w:sz w:val="18"/>
          <w:szCs w:val="18"/>
          <w:color w:val="auto"/>
        </w:rPr>
        <w:t>– In the short to intermediate term, we expect that the U.S. macroeconomic environment will likely be the strongest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economies. Certain legal decisions in the U.S. reinforce the importance of independent advice, and the global scale and breadth of our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Advisory business allows us to advise on large, complex cross-border transactions across a variety of industries. Conditions for our Financial Advisory business in Europe also appear to be improving.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62" w:lineRule="exact"/>
        <w:rPr>
          <w:sz w:val="20"/>
          <w:szCs w:val="20"/>
          <w:color w:val="auto"/>
        </w:rPr>
      </w:pPr>
    </w:p>
    <w:p>
      <w:pPr>
        <w:ind w:left="920" w:hanging="345"/>
        <w:spacing w:after="0" w:line="308" w:lineRule="auto"/>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Singapore, Dubai and Dublin.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Middle East North African Equities and Asian Equities.</w:t>
      </w:r>
    </w:p>
    <w:p>
      <w:pPr>
        <w:spacing w:after="0" w:line="10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decreased, while the value and number of completed transactions with values greater than $500 million increased, in the first nine months of 2014 as compared to the 2013 period. With respect to announced M&amp;A transactions, the value and number of all transactions, including transactions with values greater than $500 million, increased in the first nine months of 2014 as compared to the 2013 period.</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4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right"/>
              <w:ind w:right="238"/>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720" w:type="dxa"/>
            <w:vAlign w:val="bottom"/>
          </w:tcPr>
          <w:p>
            <w:pPr>
              <w:jc w:val="right"/>
              <w:ind w:right="354"/>
              <w:spacing w:after="0"/>
              <w:rPr>
                <w:sz w:val="20"/>
                <w:szCs w:val="20"/>
                <w:color w:val="auto"/>
              </w:rPr>
            </w:pPr>
            <w:r>
              <w:rPr>
                <w:rFonts w:ascii="Arial" w:cs="Arial" w:eastAsia="Arial" w:hAnsi="Arial"/>
                <w:sz w:val="14"/>
                <w:szCs w:val="14"/>
                <w:b w:val="1"/>
                <w:bCs w:val="1"/>
                <w:color w:val="auto"/>
                <w:w w:val="83"/>
              </w:rPr>
              <w:t>2013</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Incr / (Decr)</w:t>
            </w: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4"/>
                <w:szCs w:val="14"/>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3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4"/>
          </w:tcPr>
          <w:p>
            <w:pPr>
              <w:jc w:val="right"/>
              <w:ind w:right="454"/>
              <w:spacing w:after="0" w:line="155" w:lineRule="exact"/>
              <w:rPr>
                <w:sz w:val="20"/>
                <w:szCs w:val="20"/>
                <w:color w:val="auto"/>
              </w:rPr>
            </w:pPr>
            <w:r>
              <w:rPr>
                <w:rFonts w:ascii="Arial" w:cs="Arial" w:eastAsia="Arial" w:hAnsi="Arial"/>
                <w:sz w:val="14"/>
                <w:szCs w:val="14"/>
                <w:b w:val="1"/>
                <w:bCs w:val="1"/>
                <w:color w:val="auto"/>
              </w:rPr>
              <w:t>($ in billions)</w:t>
            </w: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609</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1,954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100" w:type="dxa"/>
            <w:vAlign w:val="bottom"/>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9,060</w:t>
            </w:r>
          </w:p>
        </w:tc>
        <w:tc>
          <w:tcPr>
            <w:tcW w:w="44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9,483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27,738</w:t>
            </w:r>
          </w:p>
        </w:tc>
        <w:tc>
          <w:tcPr>
            <w:tcW w:w="380" w:type="dxa"/>
            <w:vAlign w:val="bottom"/>
          </w:tcPr>
          <w:p>
            <w:pPr>
              <w:spacing w:after="0"/>
              <w:rPr>
                <w:sz w:val="18"/>
                <w:szCs w:val="18"/>
                <w:color w:val="auto"/>
              </w:rPr>
            </w:pPr>
          </w:p>
        </w:tc>
        <w:tc>
          <w:tcPr>
            <w:tcW w:w="880" w:type="dxa"/>
            <w:vAlign w:val="bottom"/>
          </w:tcPr>
          <w:p>
            <w:pPr>
              <w:jc w:val="right"/>
              <w:ind w:right="294"/>
              <w:spacing w:after="0"/>
              <w:rPr>
                <w:sz w:val="20"/>
                <w:szCs w:val="20"/>
                <w:color w:val="auto"/>
              </w:rPr>
            </w:pPr>
            <w:r>
              <w:rPr>
                <w:rFonts w:ascii="Arial" w:cs="Arial" w:eastAsia="Arial" w:hAnsi="Arial"/>
                <w:sz w:val="18"/>
                <w:szCs w:val="18"/>
                <w:color w:val="auto"/>
                <w:w w:val="87"/>
              </w:rPr>
              <w:t>28,454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407</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1,390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4"/>
              <w:spacing w:after="0"/>
              <w:rPr>
                <w:sz w:val="20"/>
                <w:szCs w:val="20"/>
                <w:color w:val="auto"/>
              </w:rPr>
            </w:pPr>
            <w:r>
              <w:rPr>
                <w:rFonts w:ascii="Arial" w:cs="Arial" w:eastAsia="Arial" w:hAnsi="Arial"/>
                <w:sz w:val="18"/>
                <w:szCs w:val="18"/>
                <w:color w:val="auto"/>
              </w:rPr>
              <w:t>1,371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236</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803</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2,807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4"/>
              <w:spacing w:after="0"/>
              <w:rPr>
                <w:sz w:val="20"/>
                <w:szCs w:val="20"/>
                <w:color w:val="auto"/>
              </w:rPr>
            </w:pPr>
            <w:r>
              <w:rPr>
                <w:rFonts w:ascii="Arial" w:cs="Arial" w:eastAsia="Arial" w:hAnsi="Arial"/>
                <w:sz w:val="18"/>
                <w:szCs w:val="18"/>
                <w:color w:val="auto"/>
              </w:rPr>
              <w:t>2,092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9,666</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3"/>
              </w:rPr>
              <w:t>29,874</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7"/>
              </w:rPr>
              <w:t>28,509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588</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1,492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2"/>
        </w:trPr>
        <w:tc>
          <w:tcPr>
            <w:tcW w:w="3100" w:type="dxa"/>
            <w:vAlign w:val="bottom"/>
          </w:tcPr>
          <w:p>
            <w:pPr>
              <w:ind w:left="88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288</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863</w:t>
            </w:r>
          </w:p>
        </w:tc>
        <w:tc>
          <w:tcPr>
            <w:tcW w:w="38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Arial" w:cs="Arial" w:eastAsia="Arial" w:hAnsi="Arial"/>
                <w:sz w:val="18"/>
                <w:szCs w:val="18"/>
                <w:color w:val="auto"/>
              </w:rPr>
              <w:t>745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October 6, 2014.</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Global restructuring activity during the first nine months of 2014, as measured by the number of corporate defaults, decreased as compared to the 2013 period, and the aggregate value of debt defaults remained low, consistent with the last several years. The number of defaulting issuers decreased to 43 in the first nine months of 2014, according to Moody’s Investors Service, Inc., as compared to 51 in the 2013 period. In the U.S., the number of corporate defaults decreased 11% in the first nine months of 2014 as compared to the 2013 period, while the value of such defaults increased 157% due to one large default during the 2014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percentage change in major equity market indices at September 30, 2014, as compared to such indices at June 30, 2014, December 31, 2013, and at September 30,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Percentage Changes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 2014 vs.</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160" w:type="dxa"/>
            <w:vAlign w:val="bottom"/>
          </w:tcPr>
          <w:p>
            <w:pPr>
              <w:spacing w:after="0"/>
              <w:rPr>
                <w:sz w:val="11"/>
                <w:szCs w:val="11"/>
                <w:color w:val="auto"/>
              </w:rPr>
            </w:pPr>
          </w:p>
        </w:tc>
        <w:tc>
          <w:tcPr>
            <w:tcW w:w="10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1"/>
                <w:szCs w:val="11"/>
                <w:color w:val="auto"/>
              </w:rPr>
            </w:pPr>
          </w:p>
        </w:tc>
        <w:tc>
          <w:tcPr>
            <w:tcW w:w="182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1"/>
                <w:szCs w:val="11"/>
                <w:color w:val="auto"/>
              </w:rPr>
            </w:pPr>
          </w:p>
        </w:tc>
      </w:tr>
      <w:tr>
        <w:trPr>
          <w:trHeight w:val="161"/>
        </w:trPr>
        <w:tc>
          <w:tcPr>
            <w:tcW w:w="5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4"/>
              </w:rPr>
              <w:t>(3)%</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Euro Stoxx</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2320" w:type="dxa"/>
            <w:vAlign w:val="bottom"/>
            <w:gridSpan w:val="3"/>
          </w:tcPr>
          <w:p>
            <w:pPr>
              <w:jc w:val="right"/>
              <w:ind w:right="8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4"/>
              </w:rPr>
              <w:t>(4)%</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w:t>
            </w:r>
          </w:p>
        </w:tc>
        <w:tc>
          <w:tcPr>
            <w:tcW w:w="2320" w:type="dxa"/>
            <w:vAlign w:val="bottom"/>
            <w:gridSpan w:val="3"/>
          </w:tcPr>
          <w:p>
            <w:pPr>
              <w:jc w:val="right"/>
              <w:ind w:right="88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business when comparing periodic results. A substantial portion of our AUM is invested in equities. Movements in AUM during the period generally reflect the changes in equity market indices. Our AUM at September 30, 2014 increased 6% versus AUM at December 31, 2013, due to market appreciation and net inflows, partially offset by adverse foreign exchange movements. Average AUM in the first nine months of 2014 increased 15% as compared to average AUM in the first nine months of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We expect the full impact of all the savings to be reflected in our 2014 results.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Although Corporate segment net revenue during the first nine months of 2014 represented (2)% of Lazard’s net revenue, total assets in the Corporate segment represented 58% of Lazard’s consolidated total assets as of September 30, 2014, which are attributable to investments in government bonds and money market funds, debt and equity securities, interests in alternative investment, debt, equity and private equity funds,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generally accepted accounting principles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58.2% for the year ended December 31, 2013. While we have implemented initiatives, including the cost saving initiatives announced in October 2012 (see “Cost Saving Initiatives” above and Note 14 of Notes to Condensed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and, in the 2013 period, the relevant portion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expense relating to the implementation of the cost saving initiatives. For all periods, the amortization of intangible assets related to acquisitions pertains primarily to the acquisition of Edgewater.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Income taxes shown on Lazard’s consolidated statements of operations are principally related to foreign taxes from non-U.S. entities and to New York City Unincorporated Business Tax (“UBT”) attributable to Lazard Group’s operations apportioned to New York City (see Note 15 of Notes to Condensed Consolidated Financial Statements for additional information).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Noncontrolling interests primarily relate to the amount attributable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3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right"/>
              <w:ind w:right="110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566,296</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479,969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1,666,396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1,371,480</w:t>
            </w:r>
          </w:p>
        </w:tc>
        <w:tc>
          <w:tcPr>
            <w:tcW w:w="0" w:type="dxa"/>
            <w:vAlign w:val="bottom"/>
          </w:tcPr>
          <w:p>
            <w:pPr>
              <w:spacing w:after="0"/>
              <w:rPr>
                <w:sz w:val="1"/>
                <w:szCs w:val="1"/>
                <w:color w:val="auto"/>
              </w:rPr>
            </w:pPr>
          </w:p>
        </w:tc>
      </w:tr>
      <w:tr>
        <w:trPr>
          <w:trHeight w:val="330"/>
        </w:trPr>
        <w:tc>
          <w:tcPr>
            <w:tcW w:w="6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338,598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301,795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1,006,059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109,633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96,227</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323,070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452,251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398,899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1,335,075</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1,227,250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114,045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331,321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22,370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12,252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56,105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275,216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269,483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117,716</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5"/>
          </w:tcPr>
          <w:p>
            <w:pPr>
              <w:jc w:val="right"/>
              <w:ind w:right="880"/>
              <w:spacing w:after="0" w:line="142" w:lineRule="exact"/>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$566,296</w:t>
            </w:r>
          </w:p>
        </w:tc>
        <w:tc>
          <w:tcPr>
            <w:tcW w:w="2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$479,969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$1,666,396</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660" w:type="dxa"/>
            <w:vAlign w:val="bottom"/>
          </w:tcPr>
          <w:p>
            <w:pPr>
              <w:jc w:val="right"/>
              <w:spacing w:after="0"/>
              <w:rPr>
                <w:sz w:val="20"/>
                <w:szCs w:val="20"/>
                <w:color w:val="auto"/>
              </w:rPr>
            </w:pPr>
            <w:r>
              <w:rPr>
                <w:rFonts w:ascii="Arial" w:cs="Arial" w:eastAsia="Arial" w:hAnsi="Arial"/>
                <w:sz w:val="18"/>
                <w:szCs w:val="18"/>
                <w:color w:val="auto"/>
              </w:rPr>
              <w:t>16,716</w:t>
            </w:r>
          </w:p>
        </w:tc>
        <w:tc>
          <w:tcPr>
            <w:tcW w:w="2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21,758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51,202</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(4,032)</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(3,994)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(12,810)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pertaining to LFI (c)</w:t>
            </w:r>
          </w:p>
        </w:tc>
        <w:tc>
          <w:tcPr>
            <w:tcW w:w="660" w:type="dxa"/>
            <w:vAlign w:val="bottom"/>
          </w:tcPr>
          <w:p>
            <w:pPr>
              <w:jc w:val="right"/>
              <w:spacing w:after="0"/>
              <w:rPr>
                <w:sz w:val="20"/>
                <w:szCs w:val="20"/>
                <w:color w:val="auto"/>
              </w:rPr>
            </w:pPr>
            <w:r>
              <w:rPr>
                <w:rFonts w:ascii="Arial" w:cs="Arial" w:eastAsia="Arial" w:hAnsi="Arial"/>
                <w:sz w:val="18"/>
                <w:szCs w:val="18"/>
                <w:color w:val="auto"/>
              </w:rPr>
              <w:t>5,528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(7,519)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(6,004)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584,508</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490,214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1,698,784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gridSpan w:val="5"/>
          </w:tcPr>
          <w:p>
            <w:pPr>
              <w:jc w:val="right"/>
              <w:ind w:right="10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$338,598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$301,795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84"/>
              </w:rPr>
              <w:t>1,006,059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$910,638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(1,094)</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(3,340)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credits pertaining to LFI (b)</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(7,519)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(6,004)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(c)</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343,032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293,164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996,715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848,176</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3"/>
            <w:vMerge w:val="continue"/>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58.7%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58.7%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the fair value of the compensation liability recorded in connection with LFI and other similar deferred compensation arrangements for which a corresponding equal amount is excluded from operating revenue.</w:t>
      </w:r>
    </w:p>
    <w:p>
      <w:pPr>
        <w:ind w:left="460" w:right="280" w:hanging="452"/>
        <w:spacing w:after="0" w:line="361"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expenses related to the cost saving initiatives for (i) severance costs and benefit payments; (ii) the acceleration of unrecognized amortization expense of deferred incentive compensation previously granted to individuals terminated and (iii) the settlement of certain contractual obligations.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80" w:type="dxa"/>
            <w:vAlign w:val="bottom"/>
            <w:gridSpan w:val="5"/>
          </w:tcPr>
          <w:p>
            <w:pPr>
              <w:jc w:val="right"/>
              <w:ind w:right="10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$109,633</w:t>
            </w:r>
          </w:p>
        </w:tc>
        <w:tc>
          <w:tcPr>
            <w:tcW w:w="5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$96,227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$323,070</w:t>
            </w:r>
          </w:p>
        </w:tc>
        <w:tc>
          <w:tcPr>
            <w:tcW w:w="5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$313,854</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2380" w:type="dxa"/>
            <w:vAlign w:val="bottom"/>
            <w:gridSpan w:val="3"/>
          </w:tcPr>
          <w:p>
            <w:pPr>
              <w:jc w:val="right"/>
              <w:ind w:right="480"/>
              <w:spacing w:after="0"/>
              <w:rPr>
                <w:sz w:val="20"/>
                <w:szCs w:val="20"/>
                <w:color w:val="auto"/>
              </w:rPr>
            </w:pPr>
            <w:r>
              <w:rPr>
                <w:rFonts w:ascii="Arial" w:cs="Arial" w:eastAsia="Arial" w:hAnsi="Arial"/>
                <w:sz w:val="18"/>
                <w:szCs w:val="18"/>
                <w:color w:val="auto"/>
              </w:rPr>
              <w:t>(570)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(487)</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(1,571)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(b)</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109,063</w:t>
            </w:r>
          </w:p>
        </w:tc>
        <w:tc>
          <w:tcPr>
            <w:tcW w:w="54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95,740</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321,499</w:t>
            </w:r>
          </w:p>
        </w:tc>
        <w:tc>
          <w:tcPr>
            <w:tcW w:w="5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298,924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4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00" w:type="dxa"/>
            <w:vAlign w:val="bottom"/>
            <w:gridSpan w:val="5"/>
          </w:tcPr>
          <w:p>
            <w:pPr>
              <w:jc w:val="right"/>
              <w:ind w:right="130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2780" w:type="dxa"/>
            <w:vAlign w:val="bottom"/>
            <w:gridSpan w:val="3"/>
          </w:tcPr>
          <w:p>
            <w:pPr>
              <w:jc w:val="right"/>
              <w:ind w:right="700"/>
              <w:spacing w:after="0"/>
              <w:rPr>
                <w:sz w:val="20"/>
                <w:szCs w:val="20"/>
                <w:color w:val="auto"/>
              </w:rPr>
            </w:pPr>
            <w:r>
              <w:rPr>
                <w:rFonts w:ascii="Arial" w:cs="Arial" w:eastAsia="Arial" w:hAnsi="Arial"/>
                <w:sz w:val="18"/>
                <w:szCs w:val="18"/>
                <w:color w:val="auto"/>
              </w:rPr>
              <w:t>$ 584,508</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$ 490,214</w:t>
            </w: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1,698,784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1,418,468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780" w:type="dxa"/>
            <w:vAlign w:val="bottom"/>
            <w:gridSpan w:val="3"/>
          </w:tcPr>
          <w:p>
            <w:pPr>
              <w:jc w:val="right"/>
              <w:ind w:right="640"/>
              <w:spacing w:after="0"/>
              <w:rPr>
                <w:sz w:val="20"/>
                <w:szCs w:val="20"/>
                <w:color w:val="auto"/>
              </w:rPr>
            </w:pPr>
            <w:r>
              <w:rPr>
                <w:rFonts w:ascii="Arial" w:cs="Arial" w:eastAsia="Arial" w:hAnsi="Arial"/>
                <w:sz w:val="18"/>
                <w:szCs w:val="18"/>
                <w:color w:val="auto"/>
              </w:rPr>
              <w:t>(343,032)</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(293,164)</w:t>
            </w:r>
          </w:p>
        </w:tc>
        <w:tc>
          <w:tcPr>
            <w:tcW w:w="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(996,715)</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(848,176)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(109,063)</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(95,740)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(321,499)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(298,924)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1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2780" w:type="dxa"/>
            <w:vAlign w:val="bottom"/>
            <w:gridSpan w:val="3"/>
          </w:tcPr>
          <w:p>
            <w:pPr>
              <w:jc w:val="right"/>
              <w:ind w:right="700"/>
              <w:spacing w:after="0"/>
              <w:rPr>
                <w:sz w:val="20"/>
                <w:szCs w:val="20"/>
                <w:color w:val="auto"/>
              </w:rPr>
            </w:pPr>
            <w:r>
              <w:rPr>
                <w:rFonts w:ascii="Arial" w:cs="Arial" w:eastAsia="Arial" w:hAnsi="Arial"/>
                <w:sz w:val="18"/>
                <w:szCs w:val="18"/>
                <w:color w:val="auto"/>
              </w:rPr>
              <w:t>$ 132,413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$ 101,310</w:t>
            </w: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380,570</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271,368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22.7%</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vMerge w:val="restart"/>
          </w:tcPr>
          <w:p>
            <w:pPr>
              <w:jc w:val="right"/>
              <w:ind w:right="212"/>
              <w:spacing w:after="0"/>
              <w:rPr>
                <w:sz w:val="20"/>
                <w:szCs w:val="20"/>
                <w:color w:val="auto"/>
              </w:rPr>
            </w:pPr>
            <w:r>
              <w:rPr>
                <w:rFonts w:ascii="Arial" w:cs="Arial" w:eastAsia="Arial" w:hAnsi="Arial"/>
                <w:sz w:val="18"/>
                <w:szCs w:val="18"/>
                <w:color w:val="auto"/>
              </w:rPr>
              <w:t>53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Headcount information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4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3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2013(a)</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Headcount:</w:t>
            </w: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7"/>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Employees: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Business segment professionals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1,154</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1,095</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2,522</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2,405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headcount reductions relating to the cost saving initiatives were substantially complete as of December 31, 2013. Such reductions have been partially offset by additional investments and managing director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Group of $91 million, as compared to net income of $67 million in the 2013 period.</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Net revenue increased $86 million, or 18%, with operating revenue increasing $94 million, or 19%, as compared to the 2013 period. Fee revenue from investment banking and other advisory activities increased $59 million, or 25%,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2013 period. Asset management fees, including incentive fees, increased $35 million, or 15%, principally reflecting a $31 billion, or 18%, increase in average AUM as compared to the 2013 period. In the aggregate, interest income, other revenue and interest expense reflected a decrease in net revenue of $8 million as compared to the 2013 period. Such decrease was primarily due to investment losses recorded in connection with LFI, partially offset by a decrease in interest expense as a result of the refinancing of the Company’s 7.125% senior notes due 2015 (the “2015 Notes”) (see Note 9 of Notes to Condensed Consolidated Financial Statements for additional information).</w:t>
      </w:r>
    </w:p>
    <w:p>
      <w:pPr>
        <w:spacing w:after="0" w:line="118"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Compensation and benefits expense increased $37 million, or 12%, as compared to the 2013 period, primarily driven by an increase in accrued discretionary compensation associated with higher operating revenue.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$343 million, an increase of $50 million, or 17%, as compared to $293 million in the 2013 period, primarily driven by higher operating revenue. The ratio of adjusted compensation and benefits expense to operating revenue was 58.7% for the 2014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period, which is consistent with the 2013 full year adjusted compensation ratio, as compared to 59.8% for the 2013 period. The full year 2014 adjusted compensation ratio could be lower, depending on, among other factors, actual full year performance and the compensation environment at the end of the year.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11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Non-compensation expense increased $13 million, or 14%, as compared to the 2013 period, reflecting increased activity levels and investment in our businesses. The ratio of adjusted non-compensation expense to operating revenue was 18.7%, as compared to 19.5% in the 2013 period.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as compared to the 2013 period.</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Operating income increased $33 million, as compared to the 2013 period. Operating income, as a percentage of net revenue, was 20.1%, as compared to 16.9% in the 2013 period.</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Earnings from operations increased $31 million, or 31%, as compared to the 2013 period, and, as a percentage of operating revenue, was 22.7%, as compared to 20.7% in the 2013 period.</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19.6%, as compared to 15.1% for the 2013 period. The increase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$1 million as compared to the 2013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Group of $269 million, as compared to net income of $118 million in the 2013 period.</w:t>
      </w:r>
    </w:p>
    <w:p>
      <w:pPr>
        <w:spacing w:after="0" w:line="19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Net revenue increased $295 million, or 22%, with operating revenue increasing $280 million, or 20%, as compared to the 2013 period. Fee revenue from investment banking and other advisory activities increased $183 million, or 28%,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2013 period. Asset management fees, including incentive fees, increased $98 million, or 14%, principally reflecting a $26 billion, or 15%, increase in average AUM as compared to the 2013 period. In the aggregate, interest income, other revenue and interest expense reflected an increase in net revenue of $14 million as compared to the 2013 period. Such increase was primarily due to a decrease in interest expense as a result of the refinancing of the 2015 Notes (see Note 9 of Notes to Condensed Consolidated Financial Statements for additional information).</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Compensation and benefits expense increased $95 million, or 10%, as compared to the 2013 period (which included a $51 million charge related to the cost saving initiatives), primarily driven by an increase in accrued discretionary compensation associated with higher operating revenue.</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$997 million, an increase of $149 million, or 18%, as compared to $848 million in the 2013 period, primarily driven by higher operating revenue. The ratio of adjusted compensation and benefits expense to operating revenue was 58.7% for the 2014 period, which is consistent with the 2013 full year adjusted compensation ratio, as compared to 59.8% for the 2013 period. The full year 2014 adjusted compensation ratio could be lower, depending on, among other factors, actual full year performance and the compensation environment at the end of the year. As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Non-compensation expense increased $9 million, or 3%, as compared to the 2013 period (which included a charge of $13 million related to the cost saving initiatives). When excluding such charge, as well as non-compensation costs relating to noncontrolling interests, adjusted non-compensation expense increased $23 million, or 8%, as compared to the 2013 period, primarily reflecting increased business activity and investment in our businesses. The ratio of adjusted non-compensation expense to operating revenue was 18.9%, as compared to 21.1% in the 2013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as compared to the 2013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$187 million as compared to the 2013 period (including the charges relating to the cost saving initiatives of $64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19.9%, as compared to 10.5% in the 2013 period.</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Earnings from operations increased $109 million, or 40%, as compared to the 2013 period, and, as a percentage of operating revenue, was 22.4%, as compared to 19.1% in the 2013 period.</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16.9% as compared to 15.3% for the 2013 period. The increase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$1 million as compared to the 2013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tcPr>
          <w:p>
            <w:pPr>
              <w:jc w:val="right"/>
              <w:ind w:right="980"/>
              <w:spacing w:after="0" w:line="155"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241,213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176,449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713,670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515,693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17,842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15,220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50,632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51,489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259,055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191,669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764,302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567,182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32,034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42,173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83,052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98,429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291,089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233,842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847,354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665,611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255,230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218,015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754,449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674,689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35,859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92,905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2013, includes $47,779 for the nine month period associated with the implementation of the cost saving initiatives.</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in the first nine months of 2014, the industry statistics for global M&amp;A transactions described above reflect a 1% decrease in the value, and a 3% decrease in the number, of all completed transactions as compared to the 2013 period. For M&amp;A deals with values greater than $500 million, the value and number of completed transactions increased 1% and 4%, respectively, as compared to the 2013 period. Our M&amp;A and Other Advisory revenue, however, which includes Sovereign and Capital Structure Advisory revenue, increased 38% as compared to the 2013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62</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50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44</w:t>
            </w: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October 6, 2014.</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Europe (primarily in the U.K., France, Italy, Spain and Germany) and the rest of the world (primarily in Australia) and therefore may not be reflective of the geography in which the clients are located.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$67 million, or 35%, and Restructuring revenue decreased $10 million, or 24%, as compared to the 2013 period.</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M&amp;A and Other Advisory revenue increased $65 million, or 37%, along with an increase in Capital Raising revenue of $3 million, or 17%, as compared to the 2013 period. The increase in M&amp;A and Other Advisory revenue was primarily due to an increase in the number of, and average transaction fee with respect to, completed transactions involving fees greater than $1 million as compared to the 2013 period. Our major clients, which in the aggregate represented a significant portion of our M&amp;A and Other Advisory revenue for the 2014 period, included Ardian, Emerald Performance Materials, Google, Holiday Retirement, L’Oreal, Reynolds American, UNS Energy, Vidara Therapeutics and The Voting Trust of IMTT Holdings.</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Vivarte, USEC, M*Modal and Overseas Shipholding Group.</w:t>
      </w:r>
    </w:p>
    <w:p>
      <w:pPr>
        <w:spacing w:after="0" w:line="143"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Operating expenses increased $37 million, or 17%, as compared to the 2013 period, primarily due to an increase in compensation and benefits expense. 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Financial Advisory operating income was $36 million, an increase of $20 million as compared to operating income of $16 million in the 2013 period and, as a percentage of net revenue, was 12.3%, as compared to 6.8% in the 2013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$197 million, or 35%, and Restructuring revenue decreased $15 million, or 16%, as compared to the 2013 period.</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M&amp;A and Other Advisory revenue increased $198 million, or 38%, while Capital Raising revenue decreased by $1 million, or 2%, as compared to the 2013 period. The increase in M&amp;A and Other Advisory revenue was primarily due to an increase in the number of, and average transaction fee with respect to, completed transactions involving fees greater than $1 million as compared to the 2013 period. The decrease in Restructuring revenue in the 2014 period was generally in line with the continued industry-wide low level of corporate restructuring activity.</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Operating expenses increased $80 million, or 12%, as compared to the 2013 period (which included a $48 million charge related to the cost saving initiatives). Excluding such charge, operating expenses increased $128 million, or 20%, primarily due to an increase in compensation and benefits expense related to an increase in accrued discretionary compensation associated with increased operating revenue.</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Financial Advisory operating income was $93 million, an increase of $102 million as compared to operating loss of $9 million (including the impact of the $48 million charge related to the cost saving initiatives) in the 2013 period and, as a percentage of net revenue, was 11.0%, as compared to (1.4)% in the 2013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left="375"/>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280" w:type="dxa"/>
            <w:vAlign w:val="bottom"/>
            <w:gridSpan w:val="2"/>
            <w:shd w:val="clear" w:color="auto" w:fill="CCEEFF"/>
          </w:tcPr>
          <w:p>
            <w:pPr>
              <w:ind w:left="5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51,257</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34,932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5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161,301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5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30,679</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5280" w:type="dxa"/>
            <w:vAlign w:val="bottom"/>
            <w:gridSpan w:val="2"/>
            <w:shd w:val="clear" w:color="auto" w:fill="CCEEFF"/>
          </w:tcPr>
          <w:p>
            <w:pPr>
              <w:ind w:left="5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197,589</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100" w:type="dxa"/>
            <w:vAlign w:val="bottom"/>
            <w:vMerge w:val="restart"/>
          </w:tcPr>
          <w:p>
            <w:pPr>
              <w:jc w:val="right"/>
              <w:ind w:right="3152"/>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AUM at September 30, 2014 was $198 billion, which reflected (i) a decrease of $7 billion, or 3%, as compared to total AUM of $205 billion at June 30, 2014, due to market depreciation and adverse foreign exchange movements, partially offset by net inflows, and (ii) an increase of $11 billion, or 6%, as compared to total AUM of $187 billion at December 31, 2013, due to market appreciation and net inflows, partially offset by adverse foreign exchange movements. Average AUM for the three month and nine month periods ended September 30, 2014 was 18% and 15%, respectively, higher than the corresponding periods in 2013.</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As of September 30, 2014,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2014, AUM with foreign currency exposure represented approximately 75% of our total AUM, as compared to 76% at December 31,</w:t>
      </w:r>
    </w:p>
    <w:p>
      <w:pPr>
        <w:spacing w:after="0" w:line="3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2013. AUM with foreign currency exposure generally declines in value with the strengthening of the U.S. Dollar and increases in value as the U.S. Dollar weakens, with all other factors held constant.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changes in AUM by asset class for the three month and nine month periods ended September 30,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w w:val="98"/>
              </w:rPr>
              <w:t>Three Months Ended September 30, 2014</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Beginning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Net</w:t>
            </w: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Inflows</w:t>
            </w:r>
          </w:p>
        </w:tc>
        <w:tc>
          <w:tcPr>
            <w:tcW w:w="8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Outflows</w:t>
            </w:r>
          </w:p>
        </w:tc>
        <w:tc>
          <w:tcPr>
            <w:tcW w:w="140" w:type="dxa"/>
            <w:vAlign w:val="bottom"/>
          </w:tcPr>
          <w:p>
            <w:pPr>
              <w:spacing w:after="0"/>
              <w:rPr>
                <w:sz w:val="14"/>
                <w:szCs w:val="14"/>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Flows</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 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167,374</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$ 8,028</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$(6,424)</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$1,604</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31,264</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2,252</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(1,106)</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(1,822)</w:t>
            </w:r>
          </w:p>
        </w:tc>
        <w:tc>
          <w:tcPr>
            <w:tcW w:w="660" w:type="dxa"/>
            <w:vAlign w:val="bottom"/>
          </w:tcPr>
          <w:p>
            <w:pPr>
              <w:jc w:val="right"/>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32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96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204,525</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10,525</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(7,924)</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2,601</w:t>
            </w: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(1,216)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(8,321)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Nine Months Ended September 30, 2014</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Beginning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Net</w:t>
            </w: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Balance</w:t>
            </w:r>
          </w:p>
        </w:tc>
        <w:tc>
          <w:tcPr>
            <w:tcW w:w="24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Inflows</w:t>
            </w:r>
          </w:p>
        </w:tc>
        <w:tc>
          <w:tcPr>
            <w:tcW w:w="8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14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Flows</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4"/>
              </w:rPr>
              <w:t>($ in millions)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154,062</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$22,398</w:t>
            </w: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5"/>
              </w:rPr>
              <w:t>$ (18,604)</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7,321</w:t>
            </w:r>
          </w:p>
        </w:tc>
        <w:tc>
          <w:tcPr>
            <w:tcW w:w="22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(2,698)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4,623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(1,827)</w:t>
            </w:r>
          </w:p>
        </w:tc>
        <w:tc>
          <w:tcPr>
            <w:tcW w:w="660" w:type="dxa"/>
            <w:vAlign w:val="bottom"/>
          </w:tcPr>
          <w:p>
            <w:pPr>
              <w:jc w:val="right"/>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(1,283)</w:t>
            </w:r>
          </w:p>
        </w:tc>
        <w:tc>
          <w:tcPr>
            <w:tcW w:w="9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186,924</w:t>
            </w:r>
          </w:p>
        </w:tc>
        <w:tc>
          <w:tcPr>
            <w:tcW w:w="8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30,743</w:t>
            </w:r>
          </w:p>
        </w:tc>
        <w:tc>
          <w:tcPr>
            <w:tcW w:w="220" w:type="dxa"/>
            <w:vAlign w:val="bottom"/>
          </w:tcPr>
          <w:p>
            <w:pPr>
              <w:spacing w:after="0"/>
              <w:rPr>
                <w:sz w:val="19"/>
                <w:szCs w:val="19"/>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(22,585)</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8,158</w:t>
            </w: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9,309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(6,802)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362"/>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Global and Emerging Markets platforms, and outflows in the Fixed Income asset class were primarily attributable to the Multi-Regional platform.</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0"/>
          </w:tcPr>
          <w:p>
            <w:pPr>
              <w:jc w:val="center"/>
              <w:ind w:left="107"/>
              <w:spacing w:after="0"/>
              <w:rPr>
                <w:sz w:val="20"/>
                <w:szCs w:val="20"/>
                <w:color w:val="auto"/>
              </w:rPr>
            </w:pPr>
            <w:r>
              <w:rPr>
                <w:rFonts w:ascii="Arial" w:cs="Arial" w:eastAsia="Arial" w:hAnsi="Arial"/>
                <w:sz w:val="14"/>
                <w:szCs w:val="14"/>
                <w:b w:val="1"/>
                <w:bCs w:val="1"/>
                <w:color w:val="auto"/>
                <w:w w:val="87"/>
              </w:rPr>
              <w:t>Three Months Ended September 30, 2013</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Foreign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Exchange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Beginning</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Inflows</w:t>
            </w:r>
          </w:p>
        </w:tc>
        <w:tc>
          <w:tcPr>
            <w:tcW w:w="2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Outflows</w:t>
            </w: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Flows</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ind w:left="3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$6,319</w:t>
            </w: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$(5,458)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861</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9,060</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3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22,956</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2,027</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(980)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32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163,289</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8,562</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(6,843)</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1,719</w:t>
            </w:r>
          </w:p>
        </w:tc>
        <w:tc>
          <w:tcPr>
            <w:tcW w:w="34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9,101</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2,346</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center"/>
              <w:ind w:right="120"/>
              <w:spacing w:after="0"/>
              <w:rPr>
                <w:sz w:val="20"/>
                <w:szCs w:val="20"/>
                <w:color w:val="auto"/>
              </w:rPr>
            </w:pPr>
            <w:r>
              <w:rPr>
                <w:rFonts w:ascii="Arial" w:cs="Arial" w:eastAsia="Arial" w:hAnsi="Arial"/>
                <w:sz w:val="14"/>
                <w:szCs w:val="14"/>
                <w:b w:val="1"/>
                <w:bCs w:val="1"/>
                <w:color w:val="auto"/>
                <w:w w:val="87"/>
              </w:rPr>
              <w:t>Nine Months Ended September 30, 2013</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7"/>
              </w:rPr>
              <w:t>Foreign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Beginning</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Net</w:t>
            </w: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11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4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Balance</w:t>
            </w:r>
          </w:p>
        </w:tc>
        <w:tc>
          <w:tcPr>
            <w:tcW w:w="20" w:type="dxa"/>
            <w:vAlign w:val="bottom"/>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Inflows</w:t>
            </w: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Outflows</w:t>
            </w: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0"/>
              </w:rPr>
              <w:t>Flows</w:t>
            </w: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ind w:right="13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138,171</w:t>
            </w: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2"/>
              </w:rPr>
              <w:t>$20,383</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2"/>
              </w:rPr>
              <w:t>$ (25,557)</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$(5,174)</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16,706</w:t>
            </w:r>
          </w:p>
        </w:tc>
        <w:tc>
          <w:tcPr>
            <w:tcW w:w="2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22,718</w:t>
            </w:r>
          </w:p>
        </w:tc>
        <w:tc>
          <w:tcPr>
            <w:tcW w:w="28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(2,798)</w:t>
            </w:r>
          </w:p>
        </w:tc>
        <w:tc>
          <w:tcPr>
            <w:tcW w:w="220" w:type="dxa"/>
            <w:vAlign w:val="bottom"/>
          </w:tcPr>
          <w:p>
            <w:pPr>
              <w:spacing w:after="0"/>
              <w:rPr>
                <w:sz w:val="18"/>
                <w:szCs w:val="18"/>
                <w:color w:val="auto"/>
              </w:rPr>
            </w:pPr>
          </w:p>
        </w:tc>
        <w:tc>
          <w:tcPr>
            <w:tcW w:w="5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2,080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167,060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25,918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(29,321)</w:t>
            </w:r>
          </w:p>
        </w:tc>
        <w:tc>
          <w:tcPr>
            <w:tcW w:w="22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(3,403)</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16,441</w:t>
            </w:r>
          </w:p>
        </w:tc>
        <w:tc>
          <w:tcPr>
            <w:tcW w:w="2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(3,643)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As of October 24, 2014, AUM was $196.2 billion, a $1.4 billion decrease since September 30, 2014, with such decrease primarily due to market depreciation of $2.2 billion, partially offset by foreign exchange appreciation of $0.4 billion and net inflows of $0.4 billion.</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Average AUM for the three month and nine month periods ended September 30, 2014 and 2013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Equity</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$ 165,760</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$ 142,174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$ 160,341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141,549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23,548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29,662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22,706</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4,468</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4,494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4,542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3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$ 202,842</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$ 171,497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$ 195,815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170,162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60" w:type="dxa"/>
            <w:vAlign w:val="bottom"/>
            <w:vMerge w:val="restart"/>
          </w:tcPr>
          <w:p>
            <w:pPr>
              <w:jc w:val="right"/>
              <w:ind w:right="1632"/>
              <w:spacing w:after="0"/>
              <w:rPr>
                <w:sz w:val="20"/>
                <w:szCs w:val="20"/>
                <w:color w:val="auto"/>
              </w:rPr>
            </w:pPr>
            <w:r>
              <w:rPr>
                <w:rFonts w:ascii="Arial" w:cs="Arial" w:eastAsia="Arial" w:hAnsi="Arial"/>
                <w:sz w:val="18"/>
                <w:szCs w:val="18"/>
                <w:color w:val="auto"/>
              </w:rPr>
              <w:t>61</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right"/>
              <w:ind w:right="12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$262,992</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228,272</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$760,022</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$665,964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17,174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13,761</w:t>
            </w:r>
          </w:p>
        </w:tc>
        <w:tc>
          <w:tcPr>
            <w:tcW w:w="680" w:type="dxa"/>
            <w:vAlign w:val="bottom"/>
          </w:tcPr>
          <w:p>
            <w:pPr>
              <w:jc w:val="right"/>
              <w:spacing w:after="0"/>
              <w:rPr>
                <w:sz w:val="20"/>
                <w:szCs w:val="20"/>
                <w:color w:val="auto"/>
              </w:rPr>
            </w:pPr>
            <w:r>
              <w:rPr>
                <w:rFonts w:ascii="Arial" w:cs="Arial" w:eastAsia="Arial" w:hAnsi="Arial"/>
                <w:sz w:val="18"/>
                <w:szCs w:val="18"/>
                <w:color w:val="auto"/>
              </w:rPr>
              <w:t>50,720</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291,967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252,094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848,695</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680" w:type="dxa"/>
            <w:vAlign w:val="bottom"/>
          </w:tcPr>
          <w:p>
            <w:pPr>
              <w:jc w:val="right"/>
              <w:spacing w:after="0"/>
              <w:rPr>
                <w:sz w:val="20"/>
                <w:szCs w:val="20"/>
                <w:color w:val="auto"/>
              </w:rPr>
            </w:pPr>
            <w:r>
              <w:rPr>
                <w:rFonts w:ascii="Arial" w:cs="Arial" w:eastAsia="Arial" w:hAnsi="Arial"/>
                <w:sz w:val="18"/>
                <w:szCs w:val="18"/>
                <w:color w:val="auto"/>
              </w:rPr>
              <w:t>191,501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168,895</w:t>
            </w:r>
          </w:p>
        </w:tc>
        <w:tc>
          <w:tcPr>
            <w:tcW w:w="680" w:type="dxa"/>
            <w:vAlign w:val="bottom"/>
          </w:tcPr>
          <w:p>
            <w:pPr>
              <w:jc w:val="right"/>
              <w:spacing w:after="0"/>
              <w:rPr>
                <w:sz w:val="20"/>
                <w:szCs w:val="20"/>
                <w:color w:val="auto"/>
              </w:rPr>
            </w:pPr>
            <w:r>
              <w:rPr>
                <w:rFonts w:ascii="Arial" w:cs="Arial" w:eastAsia="Arial" w:hAnsi="Arial"/>
                <w:sz w:val="18"/>
                <w:szCs w:val="18"/>
                <w:color w:val="auto"/>
              </w:rPr>
              <w:t>552,499</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511,526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100,466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83,199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296,196</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230,092</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3"/>
            <w:vMerge w:val="continue"/>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34.9%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2013, includes $235 for the nine month period associated with the implementation of the cost saving initiatives.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Asset Management net revenue increased $40 million, or 16%, as compared to the 2013 period. Management fees increased $35 million, or 15%, as compared to the 2013 period, reflecting a $31 billion, or 18%, increase in average AUM. Incentive fees increased $2 million, or 17%, as compared to the 2013 period. Other revenue increased $3 million, or 25%, as compared to the 2013 period, primarily due to increases in transaction fees related to our private equity business.</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Operating expenses increased $23 million, or 13%, as compared to the 2013 period, primarily due to an increase in compensation and benefits expense related to salary and benefits generally associated with new hires, and other expenses related to increased business activity and AUM.</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Asset Management operating income was $100 million, an increase of $17 million, or 21%, as compared to operating income of $83 million in the 2013 period and, as a percentage of net revenue, was 34.4%, as compared to 33.0% in the 2013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Asset Management net revenue increased $107 million, or 14%, as compared to the 2013 period. Management fees increased $94 million, or 14%, as compared to the 2013 period, reflecting a $26 billion, or 15%, increase in average AUM. Incentive fees increased $3 million, or 9%, as compared to the 2013 period, primarily due to fees related to traditional investment products. Other revenue increased $10 million, or 24%, as compared to the 2013 period, primarily due to higher transaction-based commission revenue as a result of increased market activity and custody fees and transaction fees related to our private equity business.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Operating expenses increased $41 million, or 8%, as compared to the 2013 period, primarily due to increases in compensation and benefits expense related to salary and benefits generally associated with new hires, and other expenses related to increased business activity and AUM.</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Asset Management operating income was $296 million, an increase of $66 million, or 29%, as compared to operating income of $230 million (including the impact of the $0.2 million charge related to the cost saving initiatives) in the 2013 period and, as a percentage of net revenue, was 34.9%, as compared to 31.0% in the 2013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2,417</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2,348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(16,780)</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(22,031)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(51,651)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(66,479)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(14,363)</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(19,683)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(44,232)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(59,367)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(2,397)</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13,716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23,618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(16,760)</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(35,749)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5,520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11,989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(22,280)</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(17,956)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(57,780)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(76,784)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2013, includes $16,689 for the nine month period associated with the implementation of the cost saving initiatives.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$5 million, or 27%,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$16 million as compared to the 2013 period, primarily due to investment losses recorded in connection with LFI.</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Operating expenses decreased $6 million, or 54%, as compared to the 2013 period. The decrease was primarily due to decreased compensation and benefits expense recorded in connection with LFI.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September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$15 million, or 25%, as compared to the 2013 period, primarily due to the refinancing of the 2015 Notes.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revenue decreased $9 million, or 38%, as compared to the 2013 period, primarily due to lower investment gains recorded in connection with LFI and other investments.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Operating expenses decreased $13 million, or 31%, as compared to the 2013 period (which included charges of $16 million associated with the cost saving initiatives). Excluding the impact of such charges, operating expenses increased $4 million compared to the 2013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14 of Notes to Condensed Consolidated Financial Statements).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left="335"/>
              <w:spacing w:after="0"/>
              <w:rPr>
                <w:sz w:val="20"/>
                <w:szCs w:val="20"/>
                <w:color w:val="auto"/>
              </w:rPr>
            </w:pPr>
            <w:r>
              <w:rPr>
                <w:rFonts w:ascii="Arial" w:cs="Arial" w:eastAsia="Arial" w:hAnsi="Arial"/>
                <w:sz w:val="14"/>
                <w:szCs w:val="14"/>
                <w:b w:val="1"/>
                <w:bCs w:val="1"/>
                <w:color w:val="auto"/>
                <w:w w:val="91"/>
              </w:rPr>
              <w:t>Nine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259.3</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(347.3)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8"/>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4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259.3</w:t>
            </w:r>
          </w:p>
        </w:tc>
        <w:tc>
          <w:tcPr>
            <w:tcW w:w="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and distributions to members and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was also impacted by cash payments, including severance payments, associated with the cost saving initiatives (see “Cost Saving Initiatives” above and Note 14 of Notes to Condensed Consolidated Financial Statements).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Lazard’s consolidated financial statements are presented in U.S. Dollars. Many of Lazard’s non-U.S. subsidiaries have a functional currency (</w:t>
      </w:r>
      <w:r>
        <w:rPr>
          <w:rFonts w:ascii="Arial" w:cs="Arial" w:eastAsia="Arial" w:hAnsi="Arial"/>
          <w:sz w:val="18"/>
          <w:szCs w:val="18"/>
          <w:i w:val="1"/>
          <w:iCs w:val="1"/>
          <w:color w:val="auto"/>
        </w:rPr>
        <w:t>i.e.</w:t>
      </w:r>
      <w:r>
        <w:rPr>
          <w:rFonts w:ascii="Arial" w:cs="Arial" w:eastAsia="Arial" w:hAnsi="Arial"/>
          <w:sz w:val="18"/>
          <w:szCs w:val="18"/>
          <w:color w:val="auto"/>
        </w:rPr>
        <w:t>, the currency in which operational activities are primarily conducted)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September 30, 2014, Lazard had approximately $790 million of cash, with such amount including approximately $359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September 30, 2014, Lazard had approximately $262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$44 million (at September 30, 2014 exchange rates) and Edgewater of $64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2014 and December 31, 2013.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1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Maturity</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32"/>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4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Date</w:t>
            </w:r>
          </w:p>
        </w:tc>
        <w:tc>
          <w:tcPr>
            <w:tcW w:w="20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center"/>
              <w:ind w:left="3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jc w:val="right"/>
              <w:ind w:right="5472"/>
              <w:spacing w:after="0"/>
              <w:rPr>
                <w:sz w:val="20"/>
                <w:szCs w:val="20"/>
                <w:color w:val="auto"/>
              </w:rPr>
            </w:pPr>
            <w:r>
              <w:rPr>
                <w:rFonts w:ascii="Arial" w:cs="Arial" w:eastAsia="Arial" w:hAnsi="Arial"/>
                <w:sz w:val="18"/>
                <w:szCs w:val="18"/>
                <w:color w:val="auto"/>
                <w:w w:val="87"/>
              </w:rPr>
              <w:t>Senior Debt:</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jc w:val="right"/>
              <w:ind w:right="5472"/>
              <w:spacing w:after="0"/>
              <w:rPr>
                <w:sz w:val="20"/>
                <w:szCs w:val="20"/>
                <w:color w:val="auto"/>
              </w:rPr>
            </w:pPr>
            <w:r>
              <w:rPr>
                <w:rFonts w:ascii="Arial" w:cs="Arial" w:eastAsia="Arial" w:hAnsi="Arial"/>
                <w:sz w:val="18"/>
                <w:szCs w:val="18"/>
                <w:color w:val="auto"/>
              </w:rPr>
              <w:t>6.85%</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6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548.4</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jc w:val="right"/>
              <w:ind w:right="5472"/>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tcPr>
          <w:p>
            <w:pPr>
              <w:jc w:val="right"/>
              <w:ind w:right="5112"/>
              <w:spacing w:after="0"/>
              <w:rPr>
                <w:sz w:val="20"/>
                <w:szCs w:val="20"/>
                <w:color w:val="auto"/>
              </w:rPr>
            </w:pPr>
            <w:r>
              <w:rPr>
                <w:rFonts w:ascii="Arial" w:cs="Arial" w:eastAsia="Arial" w:hAnsi="Arial"/>
                <w:sz w:val="18"/>
                <w:szCs w:val="18"/>
                <w:color w:val="auto"/>
                <w:w w:val="88"/>
              </w:rPr>
              <w:t>Total Senior Debt</w:t>
            </w: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1,048.4</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issuing $500 million of 4.25% senior notes maturing in 2020 (the “2020 Notes”).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September 30, 2014, Lazard Group was in compliance with such ratios, with its Consolidated Leverage Ratio being 1.32 to 1.00 and its Consolidated Interest Coverage Ratio being 13.23 to 1.00. In any event, no amounts were outstanding under the Credit Facility as of September 30, 2014.</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At September 30, 2014, total members’ equity was $608 million, as compared to $536 million at December 31, 2013, including $544 million and $469 million attributable to Lazard Group on the respective dates. The net activity in members’ equity during the nine month period ended September 30, 2014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$ 536</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$1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Distributions to members’ noncontrolling interests, net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Members’ Equity—September 30, 2014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$ 608</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of Directors of Lazard Ltd has issued a series of authorizations to repurchase Class A common stock and Lazard Group common membership interests,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Lazard Ltd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0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Interests Purchased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29"/>
        </w:trPr>
        <w:tc>
          <w:tcPr>
            <w:tcW w:w="20" w:type="dxa"/>
            <w:vAlign w:val="bottom"/>
          </w:tcPr>
          <w:p>
            <w:pPr>
              <w:spacing w:after="0"/>
              <w:rPr>
                <w:sz w:val="11"/>
                <w:szCs w:val="11"/>
                <w:color w:val="auto"/>
              </w:rPr>
            </w:pPr>
          </w:p>
        </w:tc>
        <w:tc>
          <w:tcPr>
            <w:tcW w:w="214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Nine Months Ended September 30:</w:t>
            </w:r>
          </w:p>
        </w:tc>
        <w:tc>
          <w:tcPr>
            <w:tcW w:w="60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2013</w:t>
            </w:r>
          </w:p>
        </w:tc>
        <w:tc>
          <w:tcPr>
            <w:tcW w:w="7740" w:type="dxa"/>
            <w:vAlign w:val="bottom"/>
            <w:gridSpan w:val="3"/>
          </w:tcPr>
          <w:p>
            <w:pPr>
              <w:jc w:val="right"/>
              <w:ind w:right="500"/>
              <w:spacing w:after="0"/>
              <w:rPr>
                <w:sz w:val="20"/>
                <w:szCs w:val="20"/>
                <w:color w:val="auto"/>
              </w:rPr>
            </w:pPr>
            <w:r>
              <w:rPr>
                <w:rFonts w:ascii="Arial" w:cs="Arial" w:eastAsia="Arial" w:hAnsi="Arial"/>
                <w:sz w:val="18"/>
                <w:szCs w:val="18"/>
                <w:color w:val="auto"/>
              </w:rPr>
              <w:t>2,201,657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4,114,206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80" w:type="dxa"/>
            <w:vAlign w:val="bottom"/>
          </w:tcPr>
          <w:p>
            <w:pPr>
              <w:jc w:val="right"/>
              <w:ind w:right="2352"/>
              <w:spacing w:after="0"/>
              <w:rPr>
                <w:sz w:val="20"/>
                <w:szCs w:val="20"/>
                <w:color w:val="auto"/>
              </w:rPr>
            </w:pPr>
            <w:r>
              <w:rPr>
                <w:rFonts w:ascii="Arial" w:cs="Arial" w:eastAsia="Arial" w:hAnsi="Arial"/>
                <w:sz w:val="18"/>
                <w:szCs w:val="18"/>
                <w:color w:val="auto"/>
              </w:rPr>
              <w:t>67</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shares purchased by Lazard Ltd in the nine months ended September 30, 2014 included 1,000,000 shares purchased from Natixis S.A. on June 26, 2014 for approximately $50 million in connection with the sale by Natixis S.A. of its entire investment in the Lazard Ltd’s Class A common stock. The purchase transaction closed on July 1, 2014. As of September 30, 2014, a total of $129 million of share repurchase authorization remained available under the share repurchase program, which will expire on December 31, 2015.</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During the nine months ended September 30, 2014,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$ 1,299,161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$ 665,974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531,875</w:t>
            </w: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w w:val="99"/>
              </w:rPr>
              <w:t>Operating Leases (exclusive of $82,162 of committed sublease income) (b)</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956,108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79,108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148,716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127,432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600,852</w:t>
            </w: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7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$ 2,288,833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$ 159,873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$ 826,301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169,932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1,132,727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Committed sublease income was reduced by approximately $79,600 in the third quarter of 2014 pursuant to arrangements we entered into with LFCM Holdings. See Notes 10 and 16 of Notes to Condensed Consolidated Financial Statements.</w:t>
      </w:r>
    </w:p>
    <w:p>
      <w:pPr>
        <w:jc w:val="both"/>
        <w:ind w:left="460" w:right="60" w:hanging="452"/>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$7,518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0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2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At December 31, 2013, the Company recorded gross deferred tax assets of approximately $242 million with such amount partially offset by a valuation allowance of approximately $117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increased or reduced or is no longer necessary. A change in the valuation allowance would affect the provision for income taxes and could materially impact Lazard’s consolidated financial position and results of operations.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in our Form 10-K for additional information related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1740" w:type="dxa"/>
            <w:vAlign w:val="bottom"/>
            <w:gridSpan w:val="4"/>
          </w:tcPr>
          <w:p>
            <w:pPr>
              <w:ind w:left="8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ind w:left="600"/>
              <w:spacing w:after="0" w:line="155" w:lineRule="exact"/>
              <w:rPr>
                <w:sz w:val="20"/>
                <w:szCs w:val="20"/>
                <w:color w:val="auto"/>
              </w:rPr>
            </w:pPr>
            <w:r>
              <w:rPr>
                <w:rFonts w:ascii="Arial" w:cs="Arial" w:eastAsia="Arial" w:hAnsi="Arial"/>
                <w:sz w:val="14"/>
                <w:szCs w:val="14"/>
                <w:b w:val="1"/>
                <w:bCs w:val="1"/>
                <w:color w:val="auto"/>
                <w:w w:val="96"/>
              </w:rPr>
              <w:t>($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107,397</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118,535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27,608</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147,050</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162,123</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110,372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24,785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w:t>
            </w:r>
          </w:p>
        </w:tc>
        <w:tc>
          <w:tcPr>
            <w:tcW w:w="8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shd w:val="clear" w:color="auto" w:fill="CCEEFF"/>
          </w:tcPr>
          <w:p>
            <w:pPr>
              <w:spacing w:after="0"/>
              <w:rPr>
                <w:sz w:val="19"/>
                <w:szCs w:val="19"/>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156,376</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116,049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303,426</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278,172</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(c)</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218,886</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169,095</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537,562</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466,542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September 30, 2014 and December 31, 2013,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3"/>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7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77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7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7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77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77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7700" w:type="dxa"/>
            <w:vAlign w:val="bottom"/>
          </w:tcPr>
          <w:p>
            <w:pPr>
              <w:ind w:left="1480"/>
              <w:spacing w:after="0"/>
              <w:rPr>
                <w:sz w:val="20"/>
                <w:szCs w:val="20"/>
                <w:color w:val="auto"/>
              </w:rPr>
            </w:pPr>
            <w:r>
              <w:rPr>
                <w:rFonts w:ascii="Arial" w:cs="Arial" w:eastAsia="Arial" w:hAnsi="Arial"/>
                <w:sz w:val="18"/>
                <w:szCs w:val="18"/>
                <w:color w:val="auto"/>
              </w:rPr>
              <w:t>Energy</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77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7700" w:type="dxa"/>
            <w:vAlign w:val="bottom"/>
          </w:tcPr>
          <w:p>
            <w:pPr>
              <w:ind w:left="1900"/>
              <w:spacing w:after="0"/>
              <w:rPr>
                <w:sz w:val="20"/>
                <w:szCs w:val="20"/>
                <w:color w:val="auto"/>
              </w:rPr>
            </w:pPr>
            <w:r>
              <w:rPr>
                <w:rFonts w:ascii="Arial" w:cs="Arial" w:eastAsia="Arial" w:hAnsi="Arial"/>
                <w:sz w:val="18"/>
                <w:szCs w:val="18"/>
                <w:color w:val="auto"/>
              </w:rPr>
              <w:t>Total</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57" w:lineRule="auto"/>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Private equity investments include investments related to certain legacy businesses and co-investments in private equity funds managed by our Asset Management business. Co-investments owned were $26 million and $18 million as of September 30, 2014 and December 31, 2013, respectively.</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2014 and December 31, 2013, $118 million and $116 million, respectively, of our total investments at a fair value of $504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$457 million, respectively, or 23% and 25%, respectively, were classified as Level 3 investments. Substantially all of our Level 3 investments at both dates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priced based on NAV. During each of the nine month periods ended September 30, 2014 and 2013, gains of approximately $9 million were recognized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“revenue-other” on the consolidated statement of operations pertaining to Level 3 investments. See Notes 4 and 5 of Notes to Condensed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for additional information regarding investments measured at fair value, including the levels of fair value within which such measurements of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fall.</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2014 and December 31, 2013, the Company held seed investments of approximately $147 million and $162 million, respectively. Seed investments held in entities in which the Company maintained a controlling interest were $23 million in five entities as of September 30, 2014, as compared to $46 million in eight entities as of December 31, 2013.</w:t>
      </w:r>
    </w:p>
    <w:p>
      <w:pPr>
        <w:spacing w:after="0" w:line="1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As of September 30, 2014 and December 31, 2013, the Company did not consolidate or deconsolidate any seed investment entities. As such, 100% of the recorded balance of seed investments as of September 30, 2014 and December 31, 2013 represented the Company’s economic interest in the seed investments. See “—Consolidation of Variable Interest Entities” below for more information on the Company’s policy regarding the consolidation of seed investment entities.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 in lieu of actually calculating the fair value of the reporting unit. During the fourth quarter of 2013, the Company changed the date of its annual impairment testing from December 31 to November 1. See Note 8 of Notes to Condensed Consolidated Financial Statements for additional information regarding goodwill.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5"/>
          <w:szCs w:val="15"/>
          <w:i w:val="1"/>
          <w:iCs w:val="1"/>
          <w:color w:val="auto"/>
        </w:rPr>
        <w:t>Investments</w:t>
      </w:r>
      <w:r>
        <w:rPr>
          <w:rFonts w:ascii="Arial" w:cs="Arial" w:eastAsia="Arial" w:hAnsi="Arial"/>
          <w:sz w:val="15"/>
          <w:szCs w:val="15"/>
          <w:color w:val="auto"/>
        </w:rPr>
        <w:t>” above for more information regarding our investments.</w:t>
      </w:r>
    </w:p>
    <w:p>
      <w:pPr>
        <w:spacing w:after="0" w:line="9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Equity Market Price Risk—As of September 30, 2014 and December 31, 2013, the Company’s exposure to equity market price risk in its investment portfolio, which primarily relates to investments in equity securities, equity funds and hedge funds, was approximately $124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$1.4 million and $1.7 million in the carrying value of such investments as of September 30, 2014 and December 31, 2013,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Risk—As of September 30, 2014 and December 31, 2013, the Company’s exposure to interest rate and credit spread risk in its investment portfolio related to investments in debt securities or funds which invest primarily in debt securities was $41 million and $37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$0.3 million and $0.2 million in the carrying value of such investments as of September 30, 2014 and December 31, 2013, respectively, including the effect of the hedging transactions.</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Foreign Exchange Rate Risk—As of September 30, 2014 and December 31, 2013, the Company’s exposure to foreign exchange rate risk in its investment portfolio, which primarily relates to investments in foreign currency denominated equity and debt securities, was $71 million and $85 million, respectively. A significant portion of the Company’s foreign currency exposure relating to our equity and debt investment portfolios is hedged through the aforementioned total return swaps. The Company estimates that a 10% adverse change in foreign exchange rates versus US dollars would result in a decrease of approximately $0.9 million and $1.4 million in the carrying value of such investments as of September 30, 2014 and December 31, 2013, respectively, including the effect of the hedging transactions.</w:t>
      </w:r>
    </w:p>
    <w:p>
      <w:pPr>
        <w:spacing w:after="0" w:line="144"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As of September 30, 2014 and December 31, 2013, the Company’s exposure to changes in the fair value of such investments was approximately $110 million and $104 million, respectively. The Company estimates that a hypothetical 10% adverse change in fair value would result in a decrease of approximately $11 million and $10.4 million in the carrying value of such investments as of September 30, 2014 and December 31,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September 30, 2014, total receivables amounted to $606 million, net of an allowance for doubtful accounts of $30 million. As of that date, Financial Advisory and Asset Management fees, and customer and related party receivables comprised 71%, 13% and 16% of total receivables, respectively. At December 31, 2013, total receivables amounted to $623 million, net of an allowance for doubtful accounts of $29 million. As of that date, Financial Advisory and Asset Management fees, and customer and related party receivables comprised 73%, 8% and 19% of total receivables, respectively. At September 30, 2014 and December 31, 2013, the Company had receivables past due or deemed uncollectible of approximately $35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million and $39 million, respectively. See also “Critical Accounting Policies and Estimates—Revenue Recognition” above and Note 3 of Notes to Condensed Consolidated Financial Statements for additional information regarding receivables.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September 30, 2014 and December 31, 2013, customer receivables included $32 million and $15 million of LFB loans, respectively. Such loans are closely monitored for counterparty creditworthiness to help minimize exposure. In addition, as of September 30, 2014,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September 30, 2014, the Company’s largest individual counterparty exposure was a Financial Advisory fee receivable of $12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$9 million and $1 million at September 30, 2014 and December 31, 2013, respectively, and derivative liabilities, excluding the derivative liability arising from the Company’s obligation pertaining to LFI and other similar deferred compensation arrangements, amounted to $20 thousand and $2 million at such respective dates.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Derivative liabilities relating to LFI amounted to $210 million and $162 million at September 30, 2014 and December 31, 2013, respectively.</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September 30, 2014,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cash equivalents generally have market interest rates. Based on account balances as of September 30, 2014, Lazard estimates that its annual operating income relating to cash and cash equivalents and corporate indebtedness would increase by approximately $8 million in the event interest rates were to increase by 1% and decrease by approximately $2 million if rates were to decrease by 1%.</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2014, the Company’s cash and cash equivalents totaled approximately $790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2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Notes (included in Exhibits 4.2, 4.3 and 4.4).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Ltd,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5"/>
              </w:rPr>
              <w:t>Holdings LLC (incorporated by reference to Exhibit 2.1 to Lazard Ltd’s Quarterly Report (File No. 001-32492) on Form 10-Q filed on</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w w:val="94"/>
              </w:rPr>
              <w:t>Amendment No. 1, dated as of November 6, 2006, to the Master Separation Agreement, dated as of May 10, 2005, by and among to</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Registrant, Lazard Ltd and LAZ-MD Holdings LLC (incorporated by reference to Exhibit 10.2 to the Registrant’s Quarterly Report (File No.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333-126751) on Form 10-Q filed on November 7, 2006).</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Registrant, Lazard Ltd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(File No. 333-126751) filed on May 9, 2008).</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Class B-l and Class C Members Transaction Agreement (incorporated by reference to Exhibit 2.2 to Lazard Ltd’s Registration Statement (File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No. 333-121407) on Form S-l filed on December 17,</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2004).</w:t>
            </w: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certain members of LAZ-MD Holdings LLC (incorporated by reference to Exhibit 10.4 to the Registrant’s Quarterly Report</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(File No. 333-126751) on Form 10-Q filed on November 7, 2006).</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480"/>
              <w:spacing w:after="0"/>
              <w:rPr>
                <w:sz w:val="20"/>
                <w:szCs w:val="20"/>
                <w:color w:val="auto"/>
              </w:rPr>
            </w:pPr>
            <w:r>
              <w:rPr>
                <w:rFonts w:ascii="Arial" w:cs="Arial" w:eastAsia="Arial" w:hAnsi="Arial"/>
                <w:sz w:val="18"/>
                <w:szCs w:val="18"/>
                <w:color w:val="auto"/>
              </w:rPr>
              <w:t>First Amendment, dated as of May 7, 2008, to the Amended and Restated Stockholders’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Agreement dated as of November 6, 2006, between LAZ-MD Holdings LLC and Lazard Ltd (incorporated by reference to Exhibit 10.6 to the</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Registrant’s Quarterly Report (File No. 333-126751) on Form 10-Q filed on May 9, 2008).</w:t>
            </w: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Ltd, LAZ-MD Holdings LLC and LFCM</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Holdings LLC (incorporated by reference to Exhibit 10.4 to Lazard Ltd’s Quarterly Report (File No. 001-32492) on Form 10-Q filed on</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Insurance Matters Agreement, dated as of May 10, 2005, by and between Lazard Group LLC and LFCM Holdings LLC (incorporated by</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Frères S.A.S., Lazard &amp; Co., Holdings Limited and LFCM Holdings LLC (incorporated by reference to Exhibit 10.6 to Lazard Ltd’s Quarterly</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Administrative Services Agreement, dated as of May 10, 2005, by and among LAZ-MD Holdings LLC, LFCM Holdings LLC and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Registrant (incorporated by reference to Exhibit 10.7 to Lazard Ltd’s Quarterly Report (File No. 001-32492) on Form 10-Q filed on June 16,</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Business Alliance Agreement, dated as of May 10, 2005, by and between the Registrant and LFCM Holdings LLC (incorporated by reference</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to Exhibit 10.8 to Lazard Ltd’s Quarterly 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Amendment and Consent, dated February 9, 2009, to the Business Alliance Agreement, dated as of May 10, 2005, by and between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Registrant and LFCM Holdings LLC (incorporated by reference to Exhibit 10.12 to Lazard Ltd’s Annual Report (File No. 001-32492) on</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S-l/A filed on February 11,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to Exhibit 10.19 to Lazard Ltd’s Registration Statement (File No. 333-121407) on Form S-l/A filed on February 11,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Amendment dated as of February 16, 2001, by and among RCPI Landmark Properties, L.L.C. (as the successor in interest to Rockefeller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Lazard Ltd’s Registration</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65"/>
        </w:trPr>
        <w:tc>
          <w:tcPr>
            <w:tcW w:w="90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10.17*</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Lazard Ltd’s 2005 Equity Incentive Plan (incorporated by reference to Exhibit 10.21 to Lazard Ltd’s Registration Statement (File No. 333-</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121407) on Form S-l/A filed on May 2,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10.18*</w:t>
            </w:r>
          </w:p>
        </w:tc>
        <w:tc>
          <w:tcPr>
            <w:tcW w:w="10420" w:type="dxa"/>
            <w:vAlign w:val="bottom"/>
          </w:tcPr>
          <w:p>
            <w:pPr>
              <w:ind w:left="44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10.19*</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Form S-l/A filed on March 21,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10.20*</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10.21*</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May 9, 2008).</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10.22*</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10.23*</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Ltd’s Registration Statement (File No. 333-121407) on Form S-l/A filed on April 11,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10.24*</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March 2, 2009).</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10.25*</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10.26*</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on March 1, 2010).</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10.27*</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10.28*</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on April 29, 2011).</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10.29*</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Acknowledgement Letter, dated as of November 6, 2006 from the Registrant to certain managing directors of the Registrant modifying the</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terms of the retention agreements of persons party to the Amended and Restated Stockholders’ Agreement, dated as of November 6, 2006</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(incorporated by reference to Exhibit 10.23 to the Registrant’s Quarterly Report (File No. 333-126751) on Form 10-Q filed on November 7,</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10.31</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Letter Agreement, dated as of March 15, 2005 from IXIS Corporate and investment Bank to Lazard LLC and Lazard Ltd (incorporated by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7"/>
              </w:rPr>
              <w:t>reference to Exhibit 10.27 to Lazard Ltd’s Registration Statement (File No. 333-121407) on Form S-1/A filed on March 21,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10.32</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Ltd and IXIS</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Corporate and Investment Bank (incorporated by reference to Exhibit 10.30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10.33*</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10.36*</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10.41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10.37*</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Deferred Cash Award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10.42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10.38*</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May 11,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10.39*</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10.43 to Lazard Ltd’s Annual Report (File No. 001-32492) on Form 10-K filed on March 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10.40</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Lazard Asset Management Limited (incorporated by reference to Exhibit 2.1 to Lazard Ltd’s Current Report on Form 8-K (File No. 001-</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32492) filed on August 15,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10.41</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Senior Revolving Credit Agreement, dated as of September 25, 2012, among the Registrant, the Banks from time to time parties thereto,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4"/>
              </w:rPr>
              <w:t>Citibank, N.A., as Administrative Agent (incorporated by reference to Exhibit 10.46 to the Registrant’s Quarterly Report (File No. 333-</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126751) on Form 10-Q filed on November 1,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10.42*</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Lazard Fund Interests under the 2008 Incentive Compensation Plan (incorporated by reference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10.44*</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May 2, 2012).</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10.45*</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10.46*</w:t>
            </w:r>
          </w:p>
        </w:tc>
        <w:tc>
          <w:tcPr>
            <w:tcW w:w="10460" w:type="dxa"/>
            <w:vAlign w:val="bottom"/>
          </w:tcPr>
          <w:p>
            <w:pPr>
              <w:ind w:left="44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10.47*</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of March 15, 2005 and amended on August 2, 2011, among the Registrant, Lazard Ltd and Ashish Bhutani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10.48*</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of October 4, 2004 and amended on April 1, 2011, among the Registrant, Lazard Ltd and Matthieu Bucaille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10.49*</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10.50*</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of October 4, 2004 and amended on March 23, 2010, among the Registrant, Lazard Ltd and Alexander F. Stern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10.51*</w:t>
            </w: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10.52*</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10.53*</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Restricted Stock Units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333-126751) on Form 10-Q filed on April 30,</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10.54*</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May 6, 2014).</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10.55*</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Agreement between Lazard Ltd and Kenneth M. Jacobs, dated as of February 20, 2014, evidencing a grant of Performance-Based Stock Units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under the 2008 Incentive Compensation Plan (incorporated by reference to Exhibit 10.55 to the Registrant’s Quarterly Report (File</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No. 333-126751) on Form 10-Q filed on May 6, 2014).</w:t>
            </w:r>
          </w:p>
        </w:tc>
      </w:tr>
      <w:tr>
        <w:trPr>
          <w:trHeight w:val="365"/>
        </w:trPr>
        <w:tc>
          <w:tcPr>
            <w:tcW w:w="94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ind w:left="100"/>
              <w:spacing w:after="0"/>
              <w:rPr>
                <w:sz w:val="20"/>
                <w:szCs w:val="20"/>
                <w:color w:val="auto"/>
              </w:rPr>
            </w:pPr>
            <w:r>
              <w:rPr>
                <w:rFonts w:ascii="Arial" w:cs="Arial" w:eastAsia="Arial" w:hAnsi="Arial"/>
                <w:sz w:val="18"/>
                <w:szCs w:val="18"/>
                <w:color w:val="auto"/>
              </w:rPr>
              <w:t>12.1</w:t>
            </w:r>
          </w:p>
        </w:tc>
        <w:tc>
          <w:tcPr>
            <w:tcW w:w="4040" w:type="dxa"/>
            <w:vAlign w:val="bottom"/>
          </w:tcPr>
          <w:p>
            <w:pPr>
              <w:ind w:left="360"/>
              <w:spacing w:after="0"/>
              <w:rPr>
                <w:sz w:val="20"/>
                <w:szCs w:val="20"/>
                <w:color w:val="auto"/>
              </w:rPr>
            </w:pPr>
            <w:r>
              <w:rPr>
                <w:rFonts w:ascii="Arial" w:cs="Arial" w:eastAsia="Arial" w:hAnsi="Arial"/>
                <w:sz w:val="18"/>
                <w:szCs w:val="18"/>
                <w:color w:val="auto"/>
                <w:w w:val="88"/>
              </w:rPr>
              <w:t>Computation of Ratio of Earnings to Fixed Charges.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4040" w:type="dxa"/>
            <w:vAlign w:val="bottom"/>
          </w:tcPr>
          <w:p>
            <w:pPr>
              <w:ind w:left="360"/>
              <w:spacing w:after="0"/>
              <w:rPr>
                <w:sz w:val="20"/>
                <w:szCs w:val="20"/>
                <w:color w:val="auto"/>
              </w:rPr>
            </w:pPr>
            <w:r>
              <w:rPr>
                <w:rFonts w:ascii="Arial" w:cs="Arial" w:eastAsia="Arial" w:hAnsi="Arial"/>
                <w:sz w:val="18"/>
                <w:szCs w:val="18"/>
                <w:color w:val="auto"/>
                <w:w w:val="90"/>
              </w:rPr>
              <w:t>Rule 13a-14(a) Certification of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4040" w:type="dxa"/>
            <w:vAlign w:val="bottom"/>
          </w:tcPr>
          <w:p>
            <w:pPr>
              <w:ind w:left="360"/>
              <w:spacing w:after="0"/>
              <w:rPr>
                <w:sz w:val="20"/>
                <w:szCs w:val="20"/>
                <w:color w:val="auto"/>
              </w:rPr>
            </w:pPr>
            <w:r>
              <w:rPr>
                <w:rFonts w:ascii="Arial" w:cs="Arial" w:eastAsia="Arial" w:hAnsi="Arial"/>
                <w:sz w:val="18"/>
                <w:szCs w:val="18"/>
                <w:color w:val="auto"/>
                <w:w w:val="94"/>
              </w:rPr>
              <w:t>Rule 13a-14(a) Certification of Matthieu Bucaille.</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4040" w:type="dxa"/>
            <w:vAlign w:val="bottom"/>
          </w:tcPr>
          <w:p>
            <w:pPr>
              <w:ind w:left="360"/>
              <w:spacing w:after="0"/>
              <w:rPr>
                <w:sz w:val="20"/>
                <w:szCs w:val="20"/>
                <w:color w:val="auto"/>
              </w:rPr>
            </w:pPr>
            <w:r>
              <w:rPr>
                <w:rFonts w:ascii="Arial" w:cs="Arial" w:eastAsia="Arial" w:hAnsi="Arial"/>
                <w:sz w:val="18"/>
                <w:szCs w:val="18"/>
                <w:color w:val="auto"/>
                <w:w w:val="92"/>
              </w:rPr>
              <w:t>Section 1350 Certification for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4040" w:type="dxa"/>
            <w:vAlign w:val="bottom"/>
          </w:tcPr>
          <w:p>
            <w:pPr>
              <w:ind w:left="360"/>
              <w:spacing w:after="0"/>
              <w:rPr>
                <w:sz w:val="20"/>
                <w:szCs w:val="20"/>
                <w:color w:val="auto"/>
              </w:rPr>
            </w:pPr>
            <w:r>
              <w:rPr>
                <w:rFonts w:ascii="Arial" w:cs="Arial" w:eastAsia="Arial" w:hAnsi="Arial"/>
                <w:sz w:val="18"/>
                <w:szCs w:val="18"/>
                <w:color w:val="auto"/>
                <w:w w:val="96"/>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04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04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040" w:type="dxa"/>
            <w:vAlign w:val="bottom"/>
          </w:tcPr>
          <w:p>
            <w:pPr>
              <w:ind w:left="36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0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04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Nine Months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80" w:type="dxa"/>
            <w:vAlign w:val="bottom"/>
            <w:gridSpan w:val="7"/>
            <w:vMerge w:val="restart"/>
          </w:tcPr>
          <w:p>
            <w:pPr>
              <w:jc w:val="right"/>
              <w:ind w:right="1020"/>
              <w:spacing w:after="0"/>
              <w:rPr>
                <w:sz w:val="20"/>
                <w:szCs w:val="20"/>
                <w:color w:val="auto"/>
              </w:rPr>
            </w:pPr>
            <w:r>
              <w:rPr>
                <w:rFonts w:ascii="Arial" w:cs="Arial" w:eastAsia="Arial" w:hAnsi="Arial"/>
                <w:sz w:val="14"/>
                <w:szCs w:val="14"/>
                <w:b w:val="1"/>
                <w:bCs w:val="1"/>
                <w:color w:val="auto"/>
                <w:w w:val="95"/>
              </w:rPr>
              <w:t>Year Ended 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7"/>
              <w:spacing w:after="0" w:line="148"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7"/>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0" w:type="dxa"/>
            <w:vAlign w:val="bottom"/>
            <w:gridSpan w:val="5"/>
          </w:tcPr>
          <w:p>
            <w:pPr>
              <w:ind w:left="180"/>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331,321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219,009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121,593</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241,791</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$ 246,809</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69,685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111,317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116,255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114,998</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121,656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132,785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330,326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237,848</w:t>
            </w:r>
          </w:p>
        </w:tc>
        <w:tc>
          <w:tcPr>
            <w:tcW w:w="3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356,789</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$ 368,465</w:t>
            </w: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(49,203)</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$ 102,249</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20,787</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19,407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19,505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111,317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116,255</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114,998</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$ 121,656</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132,785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32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2.97(d)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2.05(e)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4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3.03(f)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fixed charges to total fixed charges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80" w:hanging="452"/>
        <w:spacing w:after="0" w:line="305"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charges of (i) $64,703 associated with the cost saving initiatives announced by the Company in October 2012, (ii) $54,087 pertaining to the refinancing of the 2015 Notes and the issuance of the 2020 Notes and</w:t>
      </w:r>
    </w:p>
    <w:p>
      <w:pPr>
        <w:ind w:left="460" w:right="3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charges, the ratio of earnings to fixed charges would have been 4.14.</w:t>
      </w:r>
    </w:p>
    <w:p>
      <w:pPr>
        <w:spacing w:after="0" w:line="56" w:lineRule="exact"/>
        <w:rPr>
          <w:rFonts w:ascii="Arial" w:cs="Arial" w:eastAsia="Arial" w:hAnsi="Arial"/>
          <w:sz w:val="15"/>
          <w:szCs w:val="15"/>
          <w:color w:val="auto"/>
        </w:rPr>
      </w:pPr>
    </w:p>
    <w:p>
      <w:pPr>
        <w:ind w:left="460" w:right="80" w:hanging="452"/>
        <w:spacing w:after="0" w:line="323"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charges, the ratio of earnings to fixed charges would have been 3.14.</w:t>
      </w:r>
    </w:p>
    <w:p>
      <w:pPr>
        <w:spacing w:after="0" w:line="16" w:lineRule="exact"/>
        <w:rPr>
          <w:rFonts w:ascii="Arial" w:cs="Arial" w:eastAsia="Arial" w:hAnsi="Arial"/>
          <w:sz w:val="15"/>
          <w:szCs w:val="15"/>
          <w:color w:val="auto"/>
        </w:rPr>
      </w:pPr>
    </w:p>
    <w:p>
      <w:pPr>
        <w:ind w:left="460" w:right="4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charges, the ratio of earnings to fixed charges would have been 3.95.</w:t>
      </w:r>
    </w:p>
    <w:p>
      <w:pPr>
        <w:sectPr>
          <w:pgSz w:w="11900" w:h="16838" w:orient="portrait"/>
          <w:cols w:equalWidth="0" w:num="1">
            <w:col w:w="11420"/>
          </w:cols>
          <w:pgMar w:left="240" w:top="125" w:right="239" w:bottom="1440" w:gutter="0" w:footer="0" w:header="0"/>
        </w:sectPr>
      </w:pPr>
    </w:p>
    <w:bookmarkStart w:id="87" w:name="page88"/>
    <w:bookmarkEnd w:id="87"/>
    <w:p>
      <w:pPr>
        <w:ind w:left="452" w:hanging="452"/>
        <w:spacing w:after="0" w:line="298" w:lineRule="auto"/>
        <w:tabs>
          <w:tab w:leader="none" w:pos="452"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charges, the ratio of earnings to fixed charges would have been 1.21.</w:t>
      </w:r>
    </w:p>
    <w:p>
      <w:pPr>
        <w:sectPr>
          <w:pgSz w:w="11900" w:h="16838" w:orient="portrait"/>
          <w:cols w:equalWidth="0" w:num="1">
            <w:col w:w="11312"/>
          </w:cols>
          <w:pgMar w:left="248" w:top="28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2014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2014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2"/>
    </w:lvl>
  </w:abstractNum>
  <w:abstractNum w:abstractNumId="7">
    <w:nsid w:val="5577F8E1"/>
    <w:multiLevelType w:val="hybridMultilevel"/>
    <w:lvl w:ilvl="0">
      <w:lvlJc w:val="left"/>
      <w:lvlText w:val="%1."/>
      <w:numFmt w:val="decimal"/>
      <w:start w:val="3"/>
    </w:lvl>
  </w:abstractNum>
  <w:abstractNum w:abstractNumId="8">
    <w:nsid w:val="440BADFC"/>
    <w:multiLevelType w:val="hybridMultilevel"/>
    <w:lvl w:ilvl="0">
      <w:lvlJc w:val="left"/>
      <w:lvlText w:val="%1."/>
      <w:numFmt w:val="decimal"/>
      <w:start w:val="4"/>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decimal"/>
      <w:start w:val="5"/>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decimal"/>
      <w:start w:val="6"/>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decimal"/>
      <w:start w:val="7"/>
    </w:lvl>
  </w:abstractNum>
  <w:abstractNum w:abstractNumId="17">
    <w:nsid w:val="2D517796"/>
    <w:multiLevelType w:val="hybridMultilevel"/>
    <w:lvl w:ilvl="0">
      <w:lvlJc w:val="left"/>
      <w:lvlText w:val="%1."/>
      <w:numFmt w:val="decimal"/>
      <w:start w:val="8"/>
    </w:lvl>
  </w:abstractNum>
  <w:abstractNum w:abstractNumId="18">
    <w:nsid w:val="580BD78F"/>
    <w:multiLevelType w:val="hybridMultilevel"/>
    <w:lvl w:ilvl="0">
      <w:lvlJc w:val="left"/>
      <w:lvlText w:val="%1"/>
      <w:numFmt w:val="decimal"/>
      <w:start w:val="1"/>
    </w:lvl>
    <w:lvl w:ilvl="1">
      <w:lvlJc w:val="left"/>
      <w:lvlText w:val="(%2)"/>
      <w:numFmt w:val="lowerLetter"/>
      <w:start w:val="1"/>
    </w:lvl>
  </w:abstractNum>
  <w:abstractNum w:abstractNumId="19">
    <w:nsid w:val="153EA438"/>
    <w:multiLevelType w:val="hybridMultilevel"/>
    <w:lvl w:ilvl="0">
      <w:lvlJc w:val="left"/>
      <w:lvlText w:val="%1."/>
      <w:numFmt w:val="decimal"/>
      <w:start w:val="9"/>
    </w:lvl>
    <w:lvl w:ilvl="1">
      <w:lvlJc w:val="left"/>
      <w:lvlText w:val="%2"/>
      <w:numFmt w:val="lowerLetter"/>
      <w:start w:val="1"/>
    </w:lvl>
  </w:abstractNum>
  <w:abstractNum w:abstractNumId="20">
    <w:nsid w:val="3855585C"/>
    <w:multiLevelType w:val="hybridMultilevel"/>
    <w:lvl w:ilvl="0">
      <w:lvlJc w:val="left"/>
      <w:lvlText w:val="%1."/>
      <w:numFmt w:val="decimal"/>
      <w:start w:val="10"/>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1."/>
      <w:numFmt w:val="decimal"/>
      <w:start w:val="11"/>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decimal"/>
      <w:start w:val="12"/>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13"/>
    </w:lvl>
  </w:abstractNum>
  <w:abstractNum w:abstractNumId="28">
    <w:nsid w:val="7A6D8D3C"/>
    <w:multiLevelType w:val="hybridMultilevel"/>
    <w:lvl w:ilvl="0">
      <w:lvlJc w:val="left"/>
      <w:lvlText w:val="%1."/>
      <w:numFmt w:val="decimal"/>
      <w:start w:val="14"/>
    </w:lvl>
  </w:abstractNum>
  <w:abstractNum w:abstractNumId="29">
    <w:nsid w:val="4B588F54"/>
    <w:multiLevelType w:val="hybridMultilevel"/>
    <w:lvl w:ilvl="0">
      <w:lvlJc w:val="left"/>
      <w:lvlText w:val="%1."/>
      <w:numFmt w:val="decimal"/>
      <w:start w:val="15"/>
    </w:lvl>
  </w:abstractNum>
  <w:abstractNum w:abstractNumId="30">
    <w:nsid w:val="542289EC"/>
    <w:multiLevelType w:val="hybridMultilevel"/>
    <w:lvl w:ilvl="0">
      <w:lvlJc w:val="left"/>
      <w:lvlText w:val="%1."/>
      <w:numFmt w:val="decimal"/>
      <w:start w:val="16"/>
    </w:lvl>
  </w:abstractNum>
  <w:abstractNum w:abstractNumId="31">
    <w:nsid w:val="6DE91B18"/>
    <w:multiLevelType w:val="hybridMultilevel"/>
    <w:lvl w:ilvl="0">
      <w:lvlJc w:val="left"/>
      <w:lvlText w:val="%1."/>
      <w:numFmt w:val="decimal"/>
      <w:start w:val="17"/>
    </w:lvl>
  </w:abstractNum>
  <w:abstractNum w:abstractNumId="32">
    <w:nsid w:val="38437FDB"/>
    <w:multiLevelType w:val="hybridMultilevel"/>
    <w:lvl w:ilvl="0">
      <w:lvlJc w:val="left"/>
      <w:lvlText w:val="%1."/>
      <w:numFmt w:val="decimal"/>
      <w:start w:val="18"/>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lowerRoman"/>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4"/>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2"/>
    </w:lvl>
  </w:abstractNum>
  <w:abstractNum w:abstractNumId="56">
    <w:nsid w:val="15B5AF5C"/>
    <w:multiLevelType w:val="hybridMultilevel"/>
    <w:lvl w:ilvl="0">
      <w:lvlJc w:val="left"/>
      <w:lvlText w:val="(%1)"/>
      <w:numFmt w:val="lowerLetter"/>
      <w:start w:val="5"/>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lowerLetter"/>
      <w:start w:val="1"/>
    </w:lvl>
    <w:lvl w:ilvl="1">
      <w:lvlJc w:val="left"/>
      <w:lvlText w:val="•"/>
      <w:numFmt w:val="bullet"/>
      <w:start w:val="1"/>
    </w:lvl>
  </w:abstractNum>
  <w:abstractNum w:abstractNumId="59">
    <w:nsid w:val="10233C99"/>
    <w:multiLevelType w:val="hybridMultilevel"/>
    <w:lvl w:ilvl="0">
      <w:lvlJc w:val="left"/>
      <w:lvlText w:val="(%1)"/>
      <w:numFmt w:val="lowerLetter"/>
      <w:start w:val="7"/>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2019-12-07T09:10:04Z</dcterms:created>
  <dcterms:modified xsi:type="dcterms:W3CDTF">2019-12-07T09:10:04Z</dcterms:modified>
</cp:coreProperties>
</file>