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16"/>
              <w:spacing w:after="0"/>
              <w:rPr>
                <w:sz w:val="20"/>
                <w:szCs w:val="20"/>
                <w:color w:val="auto"/>
              </w:rPr>
            </w:pPr>
            <w:r>
              <w:rPr>
                <w:rFonts w:ascii="Arial" w:cs="Arial" w:eastAsia="Arial" w:hAnsi="Arial"/>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LAZARD GROUP LLC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51-0278097</w:t>
      </w:r>
    </w:p>
    <w:p>
      <w:pPr>
        <w:spacing w:after="0" w:line="50" w:lineRule="exact"/>
        <w:rPr>
          <w:sz w:val="24"/>
          <w:szCs w:val="24"/>
          <w:color w:val="auto"/>
        </w:rPr>
      </w:pPr>
    </w:p>
    <w:p>
      <w:pPr>
        <w:sectPr>
          <w:pgSz w:w="11900" w:h="16838" w:orient="portrait"/>
          <w:cols w:equalWidth="0" w:num="2">
            <w:col w:w="7480" w:space="720"/>
            <w:col w:w="3140"/>
          </w:cols>
          <w:pgMar w:left="240" w:top="571" w:right="3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357" w:lineRule="exact"/>
        <w:rPr>
          <w:sz w:val="24"/>
          <w:szCs w:val="24"/>
          <w:color w:val="auto"/>
        </w:rPr>
      </w:pPr>
    </w:p>
    <w:p>
      <w:pPr>
        <w:sectPr>
          <w:pgSz w:w="11900" w:h="16838" w:orient="portrait"/>
          <w:cols w:equalWidth="0" w:num="2">
            <w:col w:w="6820" w:space="720"/>
            <w:col w:w="3800"/>
          </w:cols>
          <w:pgMar w:left="240" w:top="571" w:right="319" w:bottom="1440" w:gutter="0" w:footer="0" w:header="0"/>
          <w:type w:val="continuous"/>
        </w:sectPr>
      </w:pPr>
    </w:p>
    <w:p>
      <w:pPr>
        <w:ind w:left="4920"/>
        <w:spacing w:after="0"/>
        <w:rPr>
          <w:sz w:val="20"/>
          <w:szCs w:val="20"/>
          <w:color w:val="auto"/>
        </w:rPr>
      </w:pPr>
      <w:r>
        <w:rPr>
          <w:rFonts w:ascii="Arial" w:cs="Arial" w:eastAsia="Arial" w:hAnsi="Arial"/>
          <w:sz w:val="18"/>
          <w:szCs w:val="18"/>
          <w:b w:val="1"/>
          <w:bCs w:val="1"/>
          <w:color w:val="auto"/>
        </w:rPr>
        <w:t>30 Rockefeller Plaza</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New York, NY 10112</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340"/>
          </w:cols>
          <w:pgMar w:left="240" w:top="571" w:right="319" w:bottom="1440" w:gutter="0" w:footer="0" w:header="0"/>
          <w:type w:val="continuous"/>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571" w:right="319" w:bottom="1440" w:gutter="0" w:footer="0" w:header="0"/>
          <w:type w:val="continuous"/>
        </w:sectPr>
      </w:pPr>
    </w:p>
    <w:p>
      <w:pPr>
        <w:spacing w:after="0" w:line="171" w:lineRule="exact"/>
        <w:rPr>
          <w:sz w:val="24"/>
          <w:szCs w:val="24"/>
          <w:color w:val="auto"/>
        </w:rPr>
      </w:pPr>
    </w:p>
    <w:p>
      <w:pPr>
        <w:ind w:left="580"/>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2040" w:space="80"/>
            <w:col w:w="2420" w:space="720"/>
            <w:col w:w="1760" w:space="80"/>
            <w:col w:w="4240"/>
          </w:cols>
          <w:pgMar w:left="240" w:top="571" w:right="319" w:bottom="1440" w:gutter="0" w:footer="0" w:header="0"/>
          <w:type w:val="continuous"/>
        </w:sect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4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21, 2017,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728980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140" w:firstLine="552"/>
        <w:spacing w:after="0" w:line="273" w:lineRule="auto"/>
        <w:rPr>
          <w:sz w:val="20"/>
          <w:szCs w:val="20"/>
          <w:color w:val="auto"/>
        </w:rPr>
      </w:pPr>
      <w:r>
        <w:rPr>
          <w:rFonts w:ascii="Arial" w:cs="Arial" w:eastAsia="Arial" w:hAnsi="Arial"/>
          <w:sz w:val="17"/>
          <w:szCs w:val="17"/>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March 31, 2017 of all of the common membership interests in Lazard Group and its controlling interest in Lazard Group. Lazard Ltd controls Lazard Group through two of its indirect wholly-owned subsidiaries that are co-managing members of Lazard Group.</w:t>
      </w:r>
    </w:p>
    <w:p>
      <w:pPr>
        <w:spacing w:after="0" w:line="178" w:lineRule="exact"/>
        <w:rPr>
          <w:sz w:val="20"/>
          <w:szCs w:val="20"/>
          <w:color w:val="auto"/>
        </w:rPr>
      </w:pPr>
    </w:p>
    <w:p>
      <w:pPr>
        <w:ind w:right="20" w:firstLine="811"/>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860" w:type="dxa"/>
            <w:vAlign w:val="bottom"/>
            <w:gridSpan w:val="6"/>
          </w:tcPr>
          <w:p>
            <w:pPr>
              <w:ind w:left="18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80" w:type="dxa"/>
            <w:vAlign w:val="bottom"/>
            <w:gridSpan w:val="7"/>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76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Financial Condition as of March 31, 2017 and December 31, 2016</w:t>
              </w:r>
            </w:hyperlink>
          </w:p>
        </w:tc>
        <w:tc>
          <w:tcPr>
            <w:tcW w:w="320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1086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 March 31,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0"/>
        </w:trPr>
        <w:tc>
          <w:tcPr>
            <w:tcW w:w="400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89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periods ended March 31, 2017 and 2016</w:t>
              </w:r>
            </w:hyperlink>
          </w:p>
        </w:tc>
        <w:tc>
          <w:tcPr>
            <w:tcW w:w="188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1086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0"/>
        </w:trPr>
        <w:tc>
          <w:tcPr>
            <w:tcW w:w="400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3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Members’ Equity for the three month periods ended March 31, 2017 and 2016</w:t>
              </w:r>
            </w:hyperlink>
          </w:p>
        </w:tc>
        <w:tc>
          <w:tcPr>
            <w:tcW w:w="148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1086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88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883,737</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1,131,440</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19"/>
                <w:szCs w:val="19"/>
                <w:color w:val="auto"/>
              </w:rPr>
            </w:pPr>
          </w:p>
        </w:tc>
      </w:tr>
      <w:tr>
        <w:trPr>
          <w:trHeight w:val="215"/>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$29,662 and $16,386 at March 31,</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2017 and December 31, 2016, respectively):</w:t>
            </w: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Fees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439,836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564,291</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666,984</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382,074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r>
      <w:tr>
        <w:trPr>
          <w:trHeight w:val="215"/>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$296,274 and $285,997</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March 31, 2017 and December 31, 2016, respectively)</w:t>
            </w: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206,120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120" w:type="dxa"/>
            <w:vAlign w:val="bottom"/>
            <w:shd w:val="clear" w:color="auto" w:fill="CFF0FC"/>
          </w:tcPr>
          <w:p>
            <w:pPr>
              <w:spacing w:after="0"/>
              <w:rPr>
                <w:sz w:val="20"/>
                <w:szCs w:val="20"/>
                <w:color w:val="auto"/>
              </w:rPr>
            </w:pPr>
          </w:p>
        </w:tc>
      </w:tr>
      <w:tr>
        <w:trPr>
          <w:trHeight w:val="215"/>
        </w:trPr>
        <w:tc>
          <w:tcPr>
            <w:tcW w:w="718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$60,051 and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$59,618 at March 31, 2017 and December 31, 2016, respectively)</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365,056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358,982</w:t>
            </w:r>
          </w:p>
        </w:tc>
        <w:tc>
          <w:tcPr>
            <w:tcW w:w="120" w:type="dxa"/>
            <w:vAlign w:val="bottom"/>
          </w:tcPr>
          <w:p>
            <w:pPr>
              <w:spacing w:after="0"/>
              <w:rPr>
                <w:sz w:val="20"/>
                <w:szCs w:val="20"/>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181,694</w:t>
            </w:r>
          </w:p>
        </w:tc>
        <w:tc>
          <w:tcPr>
            <w:tcW w:w="120" w:type="dxa"/>
            <w:vAlign w:val="bottom"/>
            <w:tcBorders>
              <w:bottom w:val="single" w:sz="8" w:color="CFF0FC"/>
            </w:tcBorders>
          </w:tcPr>
          <w:p>
            <w:pPr>
              <w:spacing w:after="0"/>
              <w:rPr>
                <w:sz w:val="19"/>
                <w:szCs w:val="19"/>
                <w:color w:val="auto"/>
              </w:rPr>
            </w:pPr>
          </w:p>
        </w:tc>
      </w:tr>
      <w:tr>
        <w:trPr>
          <w:trHeight w:val="223"/>
        </w:trPr>
        <w:tc>
          <w:tcPr>
            <w:tcW w:w="71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3,295,155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625,798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472,283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288,575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539,944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1,189,043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65,370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60,898</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Capital lease obligations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7,205</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502,289</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2,696,176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2,779,844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Members' equity (net of 5,948,475 and 6,697,790 shares of Lazard Ltd Class A</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at a cost of $231,595 and $244,518 at March 31, 2017 and</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2016, respectively)</w:t>
            </w: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796,324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949,669</w:t>
            </w:r>
          </w:p>
        </w:tc>
        <w:tc>
          <w:tcPr>
            <w:tcW w:w="120" w:type="dxa"/>
            <w:vAlign w:val="bottom"/>
            <w:shd w:val="clear" w:color="auto" w:fill="CFF0FC"/>
          </w:tcPr>
          <w:p>
            <w:pPr>
              <w:spacing w:after="0"/>
              <w:rPr>
                <w:sz w:val="20"/>
                <w:szCs w:val="20"/>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(256,885)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(270,775)</w:t>
            </w:r>
          </w:p>
        </w:tc>
      </w:tr>
      <w:tr>
        <w:trPr>
          <w:trHeight w:val="223"/>
        </w:trPr>
        <w:tc>
          <w:tcPr>
            <w:tcW w:w="6920" w:type="dxa"/>
            <w:vAlign w:val="bottom"/>
            <w:tcBorders>
              <w:top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 Lazard Group LLC Members' Equity</w:t>
            </w:r>
          </w:p>
        </w:tc>
        <w:tc>
          <w:tcPr>
            <w:tcW w:w="9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678,894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57,246</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Members’ Equity</w:t>
            </w:r>
          </w:p>
        </w:tc>
        <w:tc>
          <w:tcPr>
            <w:tcW w:w="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736,140</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ind w:left="500"/>
              <w:spacing w:after="0"/>
              <w:rPr>
                <w:sz w:val="20"/>
                <w:szCs w:val="20"/>
                <w:color w:val="auto"/>
              </w:rPr>
            </w:pPr>
            <w:r>
              <w:rPr>
                <w:rFonts w:ascii="Arial" w:cs="Arial" w:eastAsia="Arial" w:hAnsi="Arial"/>
                <w:sz w:val="18"/>
                <w:szCs w:val="18"/>
                <w:color w:val="auto"/>
              </w:rPr>
              <w:t>Total Liabilities and Members’ Equity</w:t>
            </w:r>
          </w:p>
        </w:tc>
        <w:tc>
          <w:tcPr>
            <w:tcW w:w="9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3,295,155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334,916</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265,143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272,924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233,731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9,882</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637,301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510,304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622,477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497,604</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361,316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297,198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19,487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11,086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9,079</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9,127</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469,465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399,557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153,012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98,047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131,017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86,312</w:t>
            </w:r>
          </w:p>
        </w:tc>
        <w:tc>
          <w:tcPr>
            <w:tcW w:w="100" w:type="dxa"/>
            <w:vAlign w:val="bottom"/>
            <w:shd w:val="clear" w:color="auto" w:fill="CFF0FC"/>
          </w:tcPr>
          <w:p>
            <w:pPr>
              <w:spacing w:after="0"/>
              <w:rPr>
                <w:sz w:val="19"/>
                <w:szCs w:val="19"/>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FF0FC"/>
            </w:tcBorders>
          </w:tcPr>
          <w:p>
            <w:pPr>
              <w:spacing w:after="0"/>
              <w:rPr>
                <w:sz w:val="20"/>
                <w:szCs w:val="20"/>
                <w:color w:val="auto"/>
              </w:rPr>
            </w:pPr>
          </w:p>
        </w:tc>
      </w:tr>
      <w:tr>
        <w:trPr>
          <w:trHeight w:val="205"/>
        </w:trPr>
        <w:tc>
          <w:tcPr>
            <w:tcW w:w="78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INCOME ATTRIBUTABLE TO LAZARD GROUP</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LLC</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128,140</w:t>
            </w: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46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131,017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86,312</w:t>
            </w:r>
          </w:p>
        </w:tc>
        <w:tc>
          <w:tcPr>
            <w:tcW w:w="100" w:type="dxa"/>
            <w:vAlign w:val="bottom"/>
            <w:shd w:val="clear" w:color="auto" w:fill="CFF0FC"/>
          </w:tcPr>
          <w:p>
            <w:pPr>
              <w:spacing w:after="0"/>
              <w:rPr>
                <w:sz w:val="19"/>
                <w:szCs w:val="19"/>
                <w:color w:val="auto"/>
              </w:rPr>
            </w:pPr>
          </w:p>
        </w:tc>
      </w:tr>
      <w:tr>
        <w:trPr>
          <w:trHeight w:val="205"/>
        </w:trPr>
        <w:tc>
          <w:tcPr>
            <w:tcW w:w="64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 (net of tax expense of $9 for</w:t>
            </w:r>
          </w:p>
        </w:tc>
        <w:tc>
          <w:tcPr>
            <w:tcW w:w="1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three months ended March 31, 2016)</w:t>
            </w:r>
          </w:p>
        </w:tc>
        <w:tc>
          <w:tcPr>
            <w:tcW w:w="15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13,299</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FF0FC"/>
          </w:tcPr>
          <w:p>
            <w:pPr>
              <w:spacing w:after="0"/>
              <w:rPr>
                <w:sz w:val="20"/>
                <w:szCs w:val="20"/>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 (net of tax benefit of $261 and $70 for the</w:t>
            </w:r>
          </w:p>
        </w:tc>
        <w:tc>
          <w:tcPr>
            <w:tcW w:w="1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three months ended March 31, 2017 and 2016, respectively)</w:t>
            </w:r>
          </w:p>
        </w:tc>
        <w:tc>
          <w:tcPr>
            <w:tcW w:w="15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(495)</w:t>
            </w: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w:t>
            </w:r>
          </w:p>
        </w:tc>
      </w:tr>
      <w:tr>
        <w:trPr>
          <w:trHeight w:val="215"/>
        </w:trPr>
        <w:tc>
          <w:tcPr>
            <w:tcW w:w="646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 tax</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tcPr>
          <w:p>
            <w:pPr>
              <w:ind w:left="640"/>
              <w:spacing w:after="0"/>
              <w:rPr>
                <w:sz w:val="20"/>
                <w:szCs w:val="20"/>
                <w:color w:val="auto"/>
              </w:rPr>
            </w:pPr>
            <w:r>
              <w:rPr>
                <w:rFonts w:ascii="Arial" w:cs="Arial" w:eastAsia="Arial" w:hAnsi="Arial"/>
                <w:sz w:val="18"/>
                <w:szCs w:val="18"/>
                <w:color w:val="auto"/>
              </w:rPr>
              <w:t>expense of $276 and $393 for the three months ended</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March 31, 2017 and 2016, respectively)</w:t>
            </w:r>
          </w:p>
        </w:tc>
        <w:tc>
          <w:tcPr>
            <w:tcW w:w="15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3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FF0FC"/>
            </w:tcBorders>
          </w:tcPr>
          <w:p>
            <w:pPr>
              <w:spacing w:after="0"/>
              <w:rPr>
                <w:sz w:val="20"/>
                <w:szCs w:val="20"/>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5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13,890</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8,546</w:t>
            </w:r>
          </w:p>
        </w:tc>
        <w:tc>
          <w:tcPr>
            <w:tcW w:w="100" w:type="dxa"/>
            <w:vAlign w:val="bottom"/>
            <w:shd w:val="clear" w:color="auto" w:fill="CFF0FC"/>
          </w:tcPr>
          <w:p>
            <w:pPr>
              <w:spacing w:after="0"/>
              <w:rPr>
                <w:sz w:val="19"/>
                <w:szCs w:val="19"/>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144,907</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94,858</w:t>
            </w:r>
          </w:p>
        </w:tc>
        <w:tc>
          <w:tcPr>
            <w:tcW w:w="100" w:type="dxa"/>
            <w:vAlign w:val="bottom"/>
          </w:tcPr>
          <w:p>
            <w:pPr>
              <w:spacing w:after="0"/>
              <w:rPr>
                <w:sz w:val="19"/>
                <w:szCs w:val="19"/>
                <w:color w:val="auto"/>
              </w:rPr>
            </w:pPr>
          </w:p>
        </w:tc>
      </w:tr>
      <w:tr>
        <w:trPr>
          <w:trHeight w:val="211"/>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1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50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3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20"/>
                <w:szCs w:val="20"/>
                <w:color w:val="auto"/>
              </w:rPr>
            </w:pPr>
          </w:p>
        </w:tc>
      </w:tr>
      <w:tr>
        <w:trPr>
          <w:trHeight w:val="205"/>
        </w:trPr>
        <w:tc>
          <w:tcPr>
            <w:tcW w:w="64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242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142,030</w:t>
            </w:r>
          </w:p>
        </w:tc>
        <w:tc>
          <w:tcPr>
            <w:tcW w:w="300" w:type="dxa"/>
            <w:vAlign w:val="bottom"/>
          </w:tcPr>
          <w:p>
            <w:pPr>
              <w:spacing w:after="0"/>
              <w:rPr>
                <w:sz w:val="20"/>
                <w:szCs w:val="20"/>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131,017</w:t>
            </w:r>
          </w:p>
        </w:tc>
        <w:tc>
          <w:tcPr>
            <w:tcW w:w="160" w:type="dxa"/>
            <w:vAlign w:val="bottom"/>
          </w:tcPr>
          <w:p>
            <w:pPr>
              <w:spacing w:after="0"/>
              <w:rPr>
                <w:sz w:val="18"/>
                <w:szCs w:val="18"/>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 (benefit)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(3,819)</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with banks and short-term investments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(146,251)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(4,533)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(72,607)</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(46,174)</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and other payables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146,272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(42,137)</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(237,147)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(356,297)</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provided by operating activities</w:t>
            </w: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(3,847)</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(3,712)</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Lazard Ltd Class A 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(106,048)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(83,140)</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Distributions to members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(193,460)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(153,090)</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(61,478)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(50,455)</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(7,957)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(370,330)</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(286,327)</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2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11,869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(247,703)</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(334,307)</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EQUIVALENTS—January 1</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1,131,440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1,025,844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EQUIVALENTS—March 31</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883,737</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691,537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2016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839,517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(189,758)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649,759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53,141</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702,900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86,312</w:t>
            </w:r>
          </w:p>
        </w:tc>
        <w:tc>
          <w:tcPr>
            <w:tcW w:w="100" w:type="dxa"/>
            <w:vAlign w:val="bottom"/>
            <w:shd w:val="clear" w:color="auto" w:fill="CFF0FC"/>
          </w:tcPr>
          <w:p>
            <w:pPr>
              <w:spacing w:after="0"/>
              <w:rPr>
                <w:sz w:val="19"/>
                <w:szCs w:val="19"/>
                <w:color w:val="auto"/>
              </w:rPr>
            </w:pPr>
          </w:p>
        </w:tc>
      </w:tr>
      <w:tr>
        <w:trPr>
          <w:trHeight w:val="206"/>
        </w:trPr>
        <w:tc>
          <w:tcPr>
            <w:tcW w:w="4660" w:type="dxa"/>
            <w:vAlign w:val="bottom"/>
          </w:tcPr>
          <w:p>
            <w:pPr>
              <w:spacing w:after="0"/>
              <w:rPr>
                <w:sz w:val="20"/>
                <w:szCs w:val="20"/>
                <w:color w:val="auto"/>
              </w:rPr>
            </w:pPr>
            <w:r>
              <w:rPr>
                <w:rFonts w:ascii="Arial" w:cs="Arial" w:eastAsia="Arial" w:hAnsi="Arial"/>
                <w:sz w:val="16"/>
                <w:szCs w:val="16"/>
                <w:color w:val="auto"/>
              </w:rPr>
              <w:t>Other comprehensive income - net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tcPr>
          <w:p>
            <w:pPr>
              <w:ind w:left="120"/>
              <w:spacing w:after="0"/>
              <w:rPr>
                <w:sz w:val="20"/>
                <w:szCs w:val="20"/>
                <w:color w:val="auto"/>
              </w:rPr>
            </w:pPr>
            <w:r>
              <w:rPr>
                <w:rFonts w:ascii="Arial" w:cs="Arial" w:eastAsia="Arial" w:hAnsi="Arial"/>
                <w:sz w:val="16"/>
                <w:szCs w:val="16"/>
                <w:color w:val="auto"/>
              </w:rPr>
              <w:t>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8,546</w:t>
            </w:r>
          </w:p>
        </w:tc>
        <w:tc>
          <w:tcPr>
            <w:tcW w:w="100" w:type="dxa"/>
            <w:vAlign w:val="bottom"/>
          </w:tcPr>
          <w:p>
            <w:pPr>
              <w:spacing w:after="0"/>
              <w:rPr>
                <w:sz w:val="18"/>
                <w:szCs w:val="18"/>
                <w:color w:val="auto"/>
              </w:rPr>
            </w:pPr>
          </w:p>
        </w:tc>
      </w:tr>
      <w:tr>
        <w:trPr>
          <w:trHeight w:val="20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94,638</w:t>
            </w:r>
          </w:p>
        </w:tc>
        <w:tc>
          <w:tcPr>
            <w:tcW w:w="10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(153,090)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(153,090)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(153,421)</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(83,140)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(83,140)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(83,140)</w:t>
            </w:r>
          </w:p>
        </w:tc>
      </w:tr>
      <w:tr>
        <w:trPr>
          <w:trHeight w:val="206"/>
        </w:trPr>
        <w:tc>
          <w:tcPr>
            <w:tcW w:w="4660" w:type="dxa"/>
            <w:vAlign w:val="bottom"/>
          </w:tcPr>
          <w:p>
            <w:pPr>
              <w:spacing w:after="0"/>
              <w:rPr>
                <w:sz w:val="20"/>
                <w:szCs w:val="20"/>
                <w:color w:val="auto"/>
              </w:rPr>
            </w:pPr>
            <w:r>
              <w:rPr>
                <w:rFonts w:ascii="Arial" w:cs="Arial" w:eastAsia="Arial" w:hAnsi="Arial"/>
                <w:sz w:val="16"/>
                <w:szCs w:val="16"/>
                <w:color w:val="auto"/>
              </w:rPr>
              <w:t>Delivery of Lazard Ltd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ind w:left="120"/>
              <w:spacing w:after="0"/>
              <w:rPr>
                <w:sz w:val="20"/>
                <w:szCs w:val="20"/>
                <w:color w:val="auto"/>
              </w:rPr>
            </w:pPr>
            <w:r>
              <w:rPr>
                <w:rFonts w:ascii="Arial" w:cs="Arial" w:eastAsia="Arial" w:hAnsi="Arial"/>
                <w:sz w:val="16"/>
                <w:szCs w:val="16"/>
                <w:color w:val="auto"/>
              </w:rPr>
              <w:t>compensation and related tax benefit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tcPr>
          <w:p>
            <w:pPr>
              <w:ind w:left="120"/>
              <w:spacing w:after="0"/>
              <w:rPr>
                <w:sz w:val="20"/>
                <w:szCs w:val="20"/>
                <w:color w:val="auto"/>
              </w:rPr>
            </w:pPr>
            <w:r>
              <w:rPr>
                <w:rFonts w:ascii="Arial" w:cs="Arial" w:eastAsia="Arial" w:hAnsi="Arial"/>
                <w:sz w:val="16"/>
                <w:szCs w:val="16"/>
                <w:color w:val="auto"/>
              </w:rPr>
              <w:t>of $422</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(50,033)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(50,033)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(50,033)</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(1,614)</w:t>
            </w:r>
          </w:p>
        </w:tc>
      </w:tr>
      <w:tr>
        <w:trPr>
          <w:trHeight w:val="207"/>
        </w:trPr>
        <w:tc>
          <w:tcPr>
            <w:tcW w:w="4660" w:type="dxa"/>
            <w:vAlign w:val="bottom"/>
          </w:tcPr>
          <w:p>
            <w:pPr>
              <w:spacing w:after="0"/>
              <w:rPr>
                <w:sz w:val="20"/>
                <w:szCs w:val="20"/>
                <w:color w:val="auto"/>
              </w:rPr>
            </w:pPr>
            <w:r>
              <w:rPr>
                <w:rFonts w:ascii="Arial" w:cs="Arial" w:eastAsia="Arial" w:hAnsi="Arial"/>
                <w:sz w:val="16"/>
                <w:szCs w:val="16"/>
                <w:b w:val="1"/>
                <w:bCs w:val="1"/>
                <w:color w:val="auto"/>
              </w:rPr>
              <w:t>Balance - March 31, 2016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728,690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(181,212)</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547,478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56,710</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604,188</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91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55"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both January 1, 2016 and March 31, 2016, in addition to profit participation interests, there were two managing member interests.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Lazard Group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Members'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Members'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Members'</w:t>
            </w:r>
          </w:p>
        </w:tc>
      </w:t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2017 (*)</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949,669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(270,775)</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678,894</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57,246</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736,140</w:t>
            </w:r>
          </w:p>
        </w:tc>
        <w:tc>
          <w:tcPr>
            <w:tcW w:w="120" w:type="dxa"/>
            <w:vAlign w:val="bottom"/>
            <w:tcBorders>
              <w:top w:val="single" w:sz="8" w:color="CFF0FC"/>
            </w:tcBorders>
            <w:shd w:val="clear" w:color="auto" w:fill="CFF0FC"/>
          </w:tcPr>
          <w:p>
            <w:pPr>
              <w:spacing w:after="0"/>
              <w:rPr>
                <w:sz w:val="18"/>
                <w:szCs w:val="18"/>
                <w:color w:val="auto"/>
              </w:rPr>
            </w:pPr>
          </w:p>
        </w:tc>
      </w:tr>
      <w:tr>
        <w:trPr>
          <w:trHeight w:val="206"/>
        </w:trPr>
        <w:tc>
          <w:tcPr>
            <w:tcW w:w="4720" w:type="dxa"/>
            <w:vAlign w:val="bottom"/>
          </w:tcPr>
          <w:p>
            <w:pPr>
              <w:spacing w:after="0"/>
              <w:rPr>
                <w:sz w:val="20"/>
                <w:szCs w:val="20"/>
                <w:color w:val="auto"/>
              </w:rPr>
            </w:pPr>
            <w:r>
              <w:rPr>
                <w:rFonts w:ascii="Arial" w:cs="Arial" w:eastAsia="Arial" w:hAnsi="Arial"/>
                <w:sz w:val="16"/>
                <w:szCs w:val="16"/>
                <w:color w:val="auto"/>
              </w:rPr>
              <w:t>Adjustment for the cumulative effect on prior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tcPr>
          <w:p>
            <w:pPr>
              <w:ind w:left="120"/>
              <w:spacing w:after="0"/>
              <w:rPr>
                <w:sz w:val="20"/>
                <w:szCs w:val="20"/>
                <w:color w:val="auto"/>
              </w:rPr>
            </w:pPr>
            <w:r>
              <w:rPr>
                <w:rFonts w:ascii="Arial" w:cs="Arial" w:eastAsia="Arial" w:hAnsi="Arial"/>
                <w:sz w:val="16"/>
                <w:szCs w:val="16"/>
                <w:color w:val="auto"/>
              </w:rPr>
              <w:t>years from the adoption of new accounting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tcPr>
          <w:p>
            <w:pPr>
              <w:ind w:left="120"/>
              <w:spacing w:after="0"/>
              <w:rPr>
                <w:sz w:val="20"/>
                <w:szCs w:val="20"/>
                <w:color w:val="auto"/>
              </w:rPr>
            </w:pPr>
            <w:r>
              <w:rPr>
                <w:rFonts w:ascii="Arial" w:cs="Arial" w:eastAsia="Arial" w:hAnsi="Arial"/>
                <w:sz w:val="16"/>
                <w:szCs w:val="16"/>
                <w:color w:val="auto"/>
              </w:rPr>
              <w:t>guidance related to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20" w:type="dxa"/>
            <w:vAlign w:val="bottom"/>
            <w:tcBorders>
              <w:bottom w:val="single" w:sz="8" w:color="CFF0FC"/>
            </w:tcBorders>
          </w:tcPr>
          <w:p>
            <w:pPr>
              <w:spacing w:after="0"/>
              <w:rPr>
                <w:sz w:val="18"/>
                <w:szCs w:val="18"/>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Balance, as adjusted - January 1, 2017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(270,775)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683,839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741,085</w:t>
            </w:r>
          </w:p>
        </w:tc>
        <w:tc>
          <w:tcPr>
            <w:tcW w:w="120" w:type="dxa"/>
            <w:vAlign w:val="bottom"/>
            <w:shd w:val="clear" w:color="auto" w:fill="CFF0FC"/>
          </w:tcPr>
          <w:p>
            <w:pPr>
              <w:spacing w:after="0"/>
              <w:rPr>
                <w:sz w:val="18"/>
                <w:szCs w:val="18"/>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131,017</w:t>
            </w:r>
          </w:p>
        </w:tc>
        <w:tc>
          <w:tcPr>
            <w:tcW w:w="120" w:type="dxa"/>
            <w:vAlign w:val="bottom"/>
            <w:shd w:val="clear" w:color="auto" w:fill="CFF0FC"/>
          </w:tcPr>
          <w:p>
            <w:pPr>
              <w:spacing w:after="0"/>
              <w:rPr>
                <w:sz w:val="19"/>
                <w:szCs w:val="19"/>
                <w:color w:val="auto"/>
              </w:rPr>
            </w:pPr>
          </w:p>
        </w:tc>
      </w:tr>
      <w:tr>
        <w:trPr>
          <w:trHeight w:val="213"/>
        </w:trPr>
        <w:tc>
          <w:tcPr>
            <w:tcW w:w="4720" w:type="dxa"/>
            <w:vAlign w:val="bottom"/>
          </w:tcPr>
          <w:p>
            <w:pPr>
              <w:ind w:left="260"/>
              <w:spacing w:after="0"/>
              <w:rPr>
                <w:sz w:val="20"/>
                <w:szCs w:val="20"/>
                <w:color w:val="auto"/>
              </w:rPr>
            </w:pPr>
            <w:r>
              <w:rPr>
                <w:rFonts w:ascii="Arial" w:cs="Arial" w:eastAsia="Arial" w:hAnsi="Arial"/>
                <w:sz w:val="16"/>
                <w:szCs w:val="16"/>
                <w:color w:val="auto"/>
              </w:rPr>
              <w:t>Other comprehensive income -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13,890</w:t>
            </w:r>
          </w:p>
        </w:tc>
        <w:tc>
          <w:tcPr>
            <w:tcW w:w="120" w:type="dxa"/>
            <w:vAlign w:val="bottom"/>
          </w:tcPr>
          <w:p>
            <w:pPr>
              <w:spacing w:after="0"/>
              <w:rPr>
                <w:sz w:val="18"/>
                <w:szCs w:val="18"/>
                <w:color w:val="auto"/>
              </w:rPr>
            </w:pPr>
          </w:p>
        </w:tc>
      </w:tr>
      <w:tr>
        <w:trPr>
          <w:trHeight w:val="20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20" w:type="dxa"/>
            <w:vAlign w:val="bottom"/>
            <w:shd w:val="clear" w:color="auto" w:fill="CFF0FC"/>
          </w:tcPr>
          <w:p>
            <w:pPr>
              <w:spacing w:after="0"/>
              <w:rPr>
                <w:sz w:val="18"/>
                <w:szCs w:val="18"/>
                <w:color w:val="auto"/>
              </w:rPr>
            </w:pPr>
          </w:p>
        </w:tc>
      </w:tr>
      <w:tr>
        <w:trPr>
          <w:trHeight w:val="206"/>
        </w:trPr>
        <w:tc>
          <w:tcPr>
            <w:tcW w:w="4720" w:type="dxa"/>
            <w:vAlign w:val="bottom"/>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Pr>
          <w:p>
            <w:pPr>
              <w:ind w:left="1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(193,460)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(193,460)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(991)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(194,451)</w:t>
            </w:r>
          </w:p>
        </w:tc>
      </w:tr>
      <w:tr>
        <w:trPr>
          <w:trHeight w:val="21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(106,048)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(106,048)</w:t>
            </w:r>
          </w:p>
        </w:tc>
      </w:tr>
      <w:tr>
        <w:trPr>
          <w:trHeight w:val="206"/>
        </w:trPr>
        <w:tc>
          <w:tcPr>
            <w:tcW w:w="4720" w:type="dxa"/>
            <w:vAlign w:val="bottom"/>
          </w:tcPr>
          <w:p>
            <w:pPr>
              <w:spacing w:after="0"/>
              <w:rPr>
                <w:sz w:val="20"/>
                <w:szCs w:val="20"/>
                <w:color w:val="auto"/>
              </w:rPr>
            </w:pPr>
            <w:r>
              <w:rPr>
                <w:rFonts w:ascii="Arial" w:cs="Arial" w:eastAsia="Arial" w:hAnsi="Arial"/>
                <w:sz w:val="16"/>
                <w:szCs w:val="16"/>
                <w:color w:val="auto"/>
              </w:rPr>
              <w:t>Delivery of Lazard Ltd Class A common stock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(61,478)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(61,478)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(61,478)</w:t>
            </w:r>
          </w:p>
        </w:tc>
      </w:tr>
      <w:tr>
        <w:trPr>
          <w:trHeight w:val="20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4720" w:type="dxa"/>
            <w:vAlign w:val="bottom"/>
          </w:tcPr>
          <w:p>
            <w:pPr>
              <w:ind w:left="260"/>
              <w:spacing w:after="0"/>
              <w:rPr>
                <w:sz w:val="20"/>
                <w:szCs w:val="20"/>
                <w:color w:val="auto"/>
              </w:rPr>
            </w:pPr>
            <w:r>
              <w:rPr>
                <w:rFonts w:ascii="Arial" w:cs="Arial" w:eastAsia="Arial" w:hAnsi="Arial"/>
                <w:sz w:val="16"/>
                <w:szCs w:val="16"/>
                <w:color w:val="auto"/>
              </w:rPr>
              <w:t>Lazard Ltd Class A common stock issuable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Pr>
          <w:p>
            <w:pPr>
              <w:ind w:left="380"/>
              <w:spacing w:after="0"/>
              <w:rPr>
                <w:sz w:val="20"/>
                <w:szCs w:val="20"/>
                <w:color w:val="auto"/>
              </w:rPr>
            </w:pPr>
            <w:r>
              <w:rPr>
                <w:rFonts w:ascii="Arial" w:cs="Arial" w:eastAsia="Arial" w:hAnsi="Arial"/>
                <w:sz w:val="16"/>
                <w:szCs w:val="16"/>
                <w:color w:val="auto"/>
              </w:rPr>
              <w:t>(including related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r>
      <w:tr>
        <w:trPr>
          <w:trHeight w:val="21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(2,656)</w:t>
            </w:r>
          </w:p>
        </w:tc>
      </w:tr>
      <w:tr>
        <w:trPr>
          <w:trHeight w:val="207"/>
        </w:trPr>
        <w:tc>
          <w:tcPr>
            <w:tcW w:w="4720" w:type="dxa"/>
            <w:vAlign w:val="bottom"/>
          </w:tcPr>
          <w:p>
            <w:pPr>
              <w:spacing w:after="0"/>
              <w:rPr>
                <w:sz w:val="20"/>
                <w:szCs w:val="20"/>
                <w:color w:val="auto"/>
              </w:rPr>
            </w:pPr>
            <w:r>
              <w:rPr>
                <w:rFonts w:ascii="Arial" w:cs="Arial" w:eastAsia="Arial" w:hAnsi="Arial"/>
                <w:sz w:val="16"/>
                <w:szCs w:val="16"/>
                <w:b w:val="1"/>
                <w:bCs w:val="1"/>
                <w:color w:val="auto"/>
              </w:rPr>
              <w:t>Balance - March 31, 2017 (*)</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796,324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(256,885)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539,439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59,540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598,979</w:t>
            </w:r>
          </w:p>
        </w:tc>
        <w:tc>
          <w:tcPr>
            <w:tcW w:w="12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91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5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both January 1, 2017 and March 31, 2017,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580" w:firstLine="552"/>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Lazard Ltd indirectly held 100% of all outstanding Lazard Group common membership interests as of March 31, 2017 and December 31, 2016. Lazard Ltd, through its control of the managing members of Lazard Group, controls Lazard Group.</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900" w:right="1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2016. The accompanying December 31, 2016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period ended March 31, 2017 are not indicative of the results to be expected for any future interim or annual period.</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37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i w:val="1"/>
          <w:iCs w:val="1"/>
          <w:color w:val="auto"/>
        </w:rPr>
        <w:t>Compensation—Stock Compensation: Improvements to Employee Share-Based Payment Accounting</w:t>
      </w:r>
      <w:r>
        <w:rPr>
          <w:rFonts w:ascii="Arial" w:cs="Arial" w:eastAsia="Arial" w:hAnsi="Arial"/>
          <w:sz w:val="16"/>
          <w:szCs w:val="16"/>
          <w:color w:val="auto"/>
        </w:rPr>
        <w:t>—In March 2016,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(the “FASB”) issued new guidance regarding share-based incentive compensation. The new guidance includes several amendments which affect various aspects of the accounting for share-based incentive compensation transactions, including the income tax consequences, estimation of forfeitures, effect on earnings per share, classification of awards as either equity or liabilities, and classification on the statement of cash flows. The new guidance is effective for annual and interim periods beginning after December 15, 2016. The Company adopted this new guidance on January 1, 2017.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 The inclusion of excess tax benefits as an operating activity within the statement of cash flows was adopted on a prospective basis, with prior periods unadjusted. Upon adoption of the new guidance, the Company also recorded deferred tax assets of $4,945, net of a valuation allowance of $12,090, for previously unrecognized excess tax benefits (including tax benefits from dividends or dividend equivalents) on share-based incentive compensation arrangements, with an offsetting adjustment to retained earnings. With respect to forfeiture rates, the Company will continue to estimate the number of awards expected to be forfeited, rather than electing the option to account for forfeitures as they occur. See Note 14.</w:t>
      </w:r>
    </w:p>
    <w:p>
      <w:pPr>
        <w:spacing w:after="0" w:line="28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with early adoption being permitted for annual periods beginning after December 15, 2016. The guidance may be adopted using a full retrospective approach or a modified cumulative effect approach. During 2016, the FASB issued additional clarifications for certain aspects of the new revenue recognition guidance. The Company currently expects to adopt the revenue recognition guidance in the first quarter of 2018. The Company’s implementation efforts include the identification of revenue within the scope of the guidance and the evaluation of revenue contracts. The Company also continues to evaluate both the timing of revenue recognition and the presentation of certain contract costs.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In January 2017, the FASB issued updated guidance to clarify the definition of a business within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67"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Retirement Benefits</w:t>
      </w:r>
      <w:r>
        <w:rPr>
          <w:rFonts w:ascii="Arial" w:cs="Arial" w:eastAsia="Arial" w:hAnsi="Arial"/>
          <w:sz w:val="16"/>
          <w:szCs w:val="16"/>
          <w:color w:val="auto"/>
        </w:rPr>
        <w:t>—</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This new guidance is effective for annual and interim periods beginning after December 15, 2017, with early adoption permitted. The Company is currently evaluating the new guidance.</w:t>
      </w:r>
    </w:p>
    <w:p>
      <w:pPr>
        <w:spacing w:after="0" w:line="16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periods ended March 31, 2017 and 2016 was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(2,166)</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2017 and December 31, 2016, the Company had receivables past due or deemed uncollectible of $42,489 and $22,212, respectively.</w:t>
      </w:r>
    </w:p>
    <w:p>
      <w:pPr>
        <w:spacing w:after="0" w:line="248"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Of the Company’s fee receivables at March 31, 2017 and December 31, 2016, $63,119 and $76,133, respectively, represented interest-bearing financing receivables. In addition, at March 31, 2017 and December 31, 2016, the Company had interest-bearing receivables from Lazard Ltd subsidiaries of $2,837 and $20,365,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71"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$476,485 and $570,486 at March 31, 2017 and December 31, 2016,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2017 and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4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Equities</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Funds: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Alternative investments (a)</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(a)</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Equity (a)</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135,926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188,268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109,949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417,727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Equity method</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382,074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Interest-bearing deposits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method</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Investments, at fair value</w:t>
            </w:r>
          </w:p>
        </w:tc>
        <w:tc>
          <w:tcPr>
            <w:tcW w:w="10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381,369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458,744</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5620"/>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9" w:lineRule="exact"/>
        <w:rPr>
          <w:sz w:val="20"/>
          <w:szCs w:val="20"/>
          <w:color w:val="auto"/>
        </w:rPr>
      </w:pPr>
    </w:p>
    <w:p>
      <w:pPr>
        <w:ind w:left="520" w:hanging="512"/>
        <w:spacing w:after="0" w:line="25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$11,085, $24,004 and $71,552, respectively, at March 31, 2017 and $13,080, $37,869 and $128,219, respectively, at December 31, 2016,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202" w:lineRule="exact"/>
        <w:rPr>
          <w:sz w:val="20"/>
          <w:szCs w:val="20"/>
          <w:color w:val="auto"/>
        </w:rPr>
      </w:pPr>
    </w:p>
    <w:p>
      <w:pPr>
        <w:ind w:right="92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mezzanine fund, which invests in mezzanine debt of a diversified selection of small- to mid-cap European companies, and (iii) a fund targeting significant noncontrolling-stake investments in established private companies.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During the three month periods ended March 31, 2017 and 2016, the Company reported in “revenue-other” on its condensed consolidated statements of operations net unrealized investment gains and losses pertaining to “trading” securities still held as of the reporting date as follows:</w:t>
      </w:r>
    </w:p>
    <w:p>
      <w:pPr>
        <w:spacing w:after="0" w:line="15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500"/>
        <w:spacing w:after="0"/>
        <w:tabs>
          <w:tab w:leader="none" w:pos="10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tabs>
          <w:tab w:leader="none" w:pos="7840" w:val="left"/>
          <w:tab w:leader="none" w:pos="8900" w:val="left"/>
          <w:tab w:leader="none" w:pos="9700" w:val="left"/>
          <w:tab w:leader="none" w:pos="10860" w:val="left"/>
        </w:tabs>
        <w:rPr>
          <w:sz w:val="20"/>
          <w:szCs w:val="20"/>
          <w:color w:val="auto"/>
        </w:rPr>
      </w:pPr>
      <w:r>
        <w:rPr>
          <w:rFonts w:ascii="Arial" w:cs="Arial" w:eastAsia="Arial" w:hAnsi="Arial"/>
          <w:sz w:val="18"/>
          <w:szCs w:val="18"/>
          <w:color w:val="auto"/>
        </w:rPr>
        <w:t>Net unrealized investment gains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4,992</w:t>
      </w:r>
    </w:p>
    <w:p>
      <w:pPr>
        <w:spacing w:after="0" w:line="200" w:lineRule="exact"/>
        <w:rPr>
          <w:sz w:val="20"/>
          <w:szCs w:val="20"/>
          <w:color w:val="auto"/>
        </w:rPr>
      </w:pPr>
    </w:p>
    <w:p>
      <w:pPr>
        <w:spacing w:after="0" w:line="21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1040" w:right="220" w:hanging="1025"/>
        <w:spacing w:after="0" w:line="277" w:lineRule="auto"/>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62" w:lineRule="exact"/>
        <w:rPr>
          <w:sz w:val="20"/>
          <w:szCs w:val="20"/>
          <w:color w:val="auto"/>
        </w:rPr>
      </w:pPr>
    </w:p>
    <w:p>
      <w:pPr>
        <w:ind w:left="1040" w:right="480" w:hanging="1025"/>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left="1040" w:right="140" w:hanging="1025"/>
        <w:spacing w:after="0" w:line="257" w:lineRule="auto"/>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2 for certain investments that were valued based on a probable transaction value as of the reporting date that differs from net asset value (“NAV”).</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560" w:firstLine="518"/>
        <w:spacing w:after="0" w:line="293" w:lineRule="auto"/>
        <w:rPr>
          <w:sz w:val="20"/>
          <w:szCs w:val="20"/>
          <w:color w:val="auto"/>
        </w:rPr>
      </w:pPr>
      <w:r>
        <w:rPr>
          <w:rFonts w:ascii="Arial" w:cs="Arial" w:eastAsia="Arial" w:hAnsi="Arial"/>
          <w:sz w:val="16"/>
          <w:szCs w:val="16"/>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condensed consolidated statements of financial condition. See Note 10.</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9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NAV</w:t>
      </w:r>
      <w:r>
        <w:rPr>
          <w:rFonts w:ascii="Arial" w:cs="Arial" w:eastAsia="Arial" w:hAnsi="Arial"/>
          <w:sz w:val="18"/>
          <w:szCs w:val="18"/>
          <w:color w:val="auto"/>
        </w:rPr>
        <w:t>—As a practical expedient, the Company uses NAV or its equivalent to measure the fair value of certain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following tables present, as of March 31, 2017 and December 31, 2016,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March 31, 2017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262,788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88,848</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385,426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4,293</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179,023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187,394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and liabilities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w w:val="95"/>
              </w:rPr>
              <w:t>Three Months Ended March 31,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w w:val="96"/>
              </w:rPr>
              <w:t>Net 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8"/>
              </w:rPr>
              <w:t>Sales/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Earnings (a)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w w:val="88"/>
              </w:rPr>
              <w:t>Acquisitions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Dispositions</w:t>
            </w:r>
          </w:p>
        </w:tc>
        <w:tc>
          <w:tcPr>
            <w:tcW w:w="60" w:type="dxa"/>
            <w:vAlign w:val="bottom"/>
          </w:tcPr>
          <w:p>
            <w:pPr>
              <w:spacing w:after="0"/>
              <w:rPr>
                <w:sz w:val="14"/>
                <w:szCs w:val="14"/>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lef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left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Equities</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Level 3 Assets</w:t>
            </w:r>
          </w:p>
        </w:tc>
        <w:tc>
          <w:tcPr>
            <w:tcW w:w="1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820" w:type="dxa"/>
            <w:vAlign w:val="bottom"/>
          </w:tcPr>
          <w:p>
            <w:pPr>
              <w:jc w:val="right"/>
              <w:ind w:right="640"/>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left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lef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left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left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Contingent consideration liability</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Total Level 3 Liabilities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w w:val="94"/>
              </w:rPr>
              <w:t>Three Months Ended March 31, 2016</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 (a)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Dispositions</w:t>
            </w:r>
          </w:p>
        </w:tc>
        <w:tc>
          <w:tcPr>
            <w:tcW w:w="60" w:type="dxa"/>
            <w:vAlign w:val="bottom"/>
          </w:tcPr>
          <w:p>
            <w:pPr>
              <w:spacing w:after="0"/>
              <w:rPr>
                <w:sz w:val="14"/>
                <w:szCs w:val="14"/>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lef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left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Total Level 3 Assets</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80" w:hanging="372"/>
        <w:spacing w:after="0" w:line="26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periods ended March 31, 2017 and 2016 include net unrealized gains of $0 and $3, respectively. Earnings recorded in “amortization and other acquisition-related costs” for the contingent consideration liability for the three month period ended March 31, 2017 includes unrealized losses of $714.</w:t>
      </w:r>
    </w:p>
    <w:p>
      <w:pPr>
        <w:spacing w:after="0" w:line="195"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There were no transfers between any of the Level 1, 2 and 3 categories in the fair value measurement hierarchy during the three month periods ended March 31, 2017 and 2016. Certain investments that were valued at NAV as of December 31, 2016 were transferred to Level 2 from the NAV category in the three months ended March 31, 2017, as these investments were valued based on a probable transaction value as of the reporting date that differs from NAV.</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tables present, at March 31, 2017 and December 31, 2016,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March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5,974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81,753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40%</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88,848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(48%), monthly (2%) and quarterly (50%)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(18%), monthly (51%)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90,824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ind w:left="100"/>
              <w:spacing w:after="0"/>
              <w:rPr>
                <w:sz w:val="20"/>
                <w:szCs w:val="20"/>
                <w:color w:val="auto"/>
              </w:rPr>
            </w:pPr>
            <w:r>
              <w:rPr>
                <w:rFonts w:ascii="Arial" w:cs="Arial" w:eastAsia="Arial" w:hAnsi="Arial"/>
                <w:sz w:val="16"/>
                <w:szCs w:val="16"/>
                <w:color w:val="auto"/>
              </w:rPr>
              <w:t>(f)</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31,597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129,591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March 31, 2017,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March 31, 2017 and December 31, 2016: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3,937</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736</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179,023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520" w:right="40" w:hanging="512"/>
        <w:spacing w:after="0" w:line="259"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$197 and $3,624 as of March 31, 2017, respectively, and $357 and $9,400 as of December 31, 2016, respectively, for contracts with the same counterparty under legally enforceable master netting agreements. Such amounts are recorded “net” in “other assets”, with receivables for net cash collateral under such contracts of $12,376 and $16,996 as of March 31, 2017 and December 31, 2016,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2017 and 2016,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(7,300)</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(7,353)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(5,385)</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(11,266)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2017 and December 31, 2016,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177,165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296,274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206,120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2017 and December 31, 2016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358,631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365,056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At March 31, 2017 and December 31, 2016, goodwill of $294,090 and $287,583,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three month periods ended March 31, 2017 and 2016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358,631</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All changes in the carrying amount of goodwill for the three month periods ended March 31, 2017 and 2016 are attributable to the Company’s Financial Advisory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March 31, 2017 and December 31, 2016,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26,926</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26,543</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33,125</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00" w:firstLine="380"/>
        <w:spacing w:after="0" w:line="264" w:lineRule="auto"/>
        <w:rPr>
          <w:sz w:val="20"/>
          <w:szCs w:val="20"/>
          <w:color w:val="auto"/>
        </w:rPr>
      </w:pPr>
      <w:r>
        <w:rPr>
          <w:rFonts w:ascii="Arial" w:cs="Arial" w:eastAsia="Arial" w:hAnsi="Arial"/>
          <w:sz w:val="18"/>
          <w:szCs w:val="18"/>
          <w:color w:val="auto"/>
        </w:rPr>
        <w:t>Amortization expense of intangible assets, included in “amortization and other acquisition-related costs” in the condensed consolidated statements of operations, for the three month periods ended March 31, 2017 and 2016 was $434 and $644, respectively. Estimated future amortization expense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440" w:type="dxa"/>
            <w:vAlign w:val="bottom"/>
            <w:vMerge w:val="restart"/>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2017 (April 1 through December 31)</w:t>
            </w:r>
          </w:p>
        </w:tc>
        <w:tc>
          <w:tcPr>
            <w:tcW w:w="2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19"/>
                <w:szCs w:val="19"/>
                <w:color w:val="auto"/>
              </w:rPr>
            </w:pPr>
          </w:p>
        </w:tc>
        <w:tc>
          <w:tcPr>
            <w:tcW w:w="344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660" w:hanging="504"/>
        <w:spacing w:after="0"/>
        <w:tabs>
          <w:tab w:leader="none" w:pos="1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Approximately 33%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496,661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80" w:type="dxa"/>
            <w:vAlign w:val="bottom"/>
            <w:gridSpan w:val="2"/>
          </w:tcPr>
          <w:p>
            <w:pPr>
              <w:spacing w:after="0"/>
              <w:rPr>
                <w:sz w:val="20"/>
                <w:szCs w:val="20"/>
                <w:color w:val="auto"/>
              </w:rPr>
            </w:pPr>
            <w:r>
              <w:rPr>
                <w:rFonts w:ascii="Arial" w:cs="Arial" w:eastAsia="Arial" w:hAnsi="Arial"/>
                <w:sz w:val="18"/>
                <w:szCs w:val="18"/>
                <w:color w:val="auto"/>
              </w:rPr>
              <w:t>Lazard Group 2025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396,286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296,096</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1,189,043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20" w:right="6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2017 and December 31, 2016, no amounts were outstanding under the Amended and Restated Credit Agreement.</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event of early redemption, where applicable. As of March 31, 2017, the Company was in compliance with such provisions. All of the Company’s senior debt obligations are unsecured.</w:t>
      </w:r>
    </w:p>
    <w:p>
      <w:pPr>
        <w:spacing w:after="0" w:line="1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As of March 31, 2017, the Company had approximately $172,000 in unused lines of credit available to it, including the credit facility provided under the Amended and Restated Credit Agreement, and unused lines of credit available to LFB of approximately $21,000 (at March 31, 2017 exchange rates).</w:t>
      </w:r>
    </w:p>
    <w:p>
      <w:pPr>
        <w:spacing w:after="0" w:line="12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Company’s senior debt at March 31, 2017 and December 31, 2016 is carried at historical amounts of $1,189,043 and $1,188,600, respectively. At those dates, the fair value of such senior debt was approximately $1,219,000 and $1,204,000,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2017, LFB had $3,174 of such indemnifications and held $3,092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a business acquired in 2016, consideration consists of (i) previously paid one-time cash payment and 60,817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subject to non-compete provisions and (ii) up to 210,431 additional shares of Class A common stock that are subject to certain performance thresholds. As of March 31, 2017, none of the contingent shares had been earned.</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March 31, 2017,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firstLine="552"/>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ind w:right="40" w:firstLine="552"/>
        <w:spacing w:after="0" w:line="277" w:lineRule="auto"/>
        <w:rPr>
          <w:sz w:val="20"/>
          <w:szCs w:val="20"/>
          <w:color w:val="auto"/>
        </w:rPr>
      </w:pPr>
      <w:r>
        <w:rPr>
          <w:rFonts w:ascii="Arial" w:cs="Arial" w:eastAsia="Arial" w:hAnsi="Arial"/>
          <w:sz w:val="18"/>
          <w:szCs w:val="18"/>
          <w:color w:val="auto"/>
        </w:rPr>
        <w:t>During the three month periods ended March 31, 2017 and 2016, Lazard Group distributed $193,460 and $153,090, respectively, to the subsidiaries of Lazard Ltd.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40" w:firstLine="552"/>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2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three month period ended March 31, 2017 and since 2014,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Lazard Ltd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3"/>
        </w:trPr>
        <w:tc>
          <w:tcPr>
            <w:tcW w:w="300" w:type="dxa"/>
            <w:vAlign w:val="bottom"/>
            <w:tcBorders>
              <w:bottom w:val="single" w:sz="8" w:color="auto"/>
            </w:tcBorders>
            <w:gridSpan w:val="2"/>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April 2014</w:t>
            </w:r>
          </w:p>
        </w:tc>
        <w:tc>
          <w:tcPr>
            <w:tcW w:w="2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shd w:val="clear" w:color="auto" w:fill="CFF0FC"/>
          </w:tcPr>
          <w:p>
            <w:pPr>
              <w:spacing w:after="0"/>
              <w:rPr>
                <w:sz w:val="20"/>
                <w:szCs w:val="20"/>
                <w:color w:val="auto"/>
              </w:rPr>
            </w:pP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Price Per</w:t>
            </w:r>
          </w:p>
        </w:tc>
      </w:tr>
      <w:tr>
        <w:trPr>
          <w:trHeight w:val="176"/>
        </w:trPr>
        <w:tc>
          <w:tcPr>
            <w:tcW w:w="62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Three Months Ended March 31:</w:t>
            </w: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4"/>
              </w:rPr>
              <w:t>Share</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bottom w:val="single" w:sz="8" w:color="CFF0FC"/>
            </w:tcBorders>
          </w:tcPr>
          <w:p>
            <w:pPr>
              <w:spacing w:after="0" w:line="20" w:lineRule="exact"/>
              <w:rPr>
                <w:sz w:val="1"/>
                <w:szCs w:val="1"/>
                <w:color w:val="auto"/>
              </w:rPr>
            </w:pPr>
          </w:p>
        </w:tc>
        <w:tc>
          <w:tcPr>
            <w:tcW w:w="40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40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2,424,571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2017</w:t>
            </w:r>
          </w:p>
        </w:tc>
        <w:tc>
          <w:tcPr>
            <w:tcW w:w="40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2,464,967</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43.02</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During the three month periods ended March 31, 2017 and 2016, certain of our executive officers received Lazard Ltd Class A common stock in connection with the vesting of previously-granted deferred equity incentive awards. The vesting of such equity awards gave rise to a tax payable by the executive officers, and, consistent with our past practice, the Company purchased shares of Lazard Ltd Class A common stock from the executive officers equal in value to all or a portion of the estimated amount of such tax. In addition, during the three month period ended March 31, 2017, the Company purchased shares of Lazard Ltd Class A common stock from an executive officer. The aggregate value of all such purchases during the three month periods ended March 31, 2017 and 2016 was approximately $14,700 and $3,100, respectively.</w:t>
      </w:r>
    </w:p>
    <w:p>
      <w:pPr>
        <w:spacing w:after="0" w:line="17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March 31, 2017, a total of $249,078 of share repurchase authorization remained available under Lazard Ltd’s share repurchase program, $13,078 of which will expire on December 31, 2017 and $236,000 of which will expire on December 31, 2018.</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During the three month period ended March 31, 2017,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the balances of each component of AOCI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and activity during the three month periods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March 31, 2017:</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March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(160,880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(256,887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(256,885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March 31, 2016:</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March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(45,186)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(136,028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(181,214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(181,212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2017 and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2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20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20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520" w:right="42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tables below summarize net income attributable to noncontrolling interests for the three month periods ended March 31, 2017 and 2016 and noncontrolling interests as of March 31, 2017 and December 31, 2016 in the Company’s condensed consolidated financial statements:</w:t>
      </w:r>
    </w:p>
    <w:p>
      <w:pPr>
        <w:spacing w:after="0" w:line="15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Net Income</w:t>
      </w:r>
    </w:p>
    <w:p>
      <w:pPr>
        <w:jc w:val="center"/>
        <w:ind w:left="7740"/>
        <w:spacing w:after="0" w:line="226" w:lineRule="auto"/>
        <w:rPr>
          <w:sz w:val="20"/>
          <w:szCs w:val="20"/>
          <w:color w:val="auto"/>
        </w:rPr>
      </w:pPr>
      <w:r>
        <w:rPr>
          <w:rFonts w:ascii="Arial" w:cs="Arial" w:eastAsia="Arial" w:hAnsi="Arial"/>
          <w:sz w:val="14"/>
          <w:szCs w:val="14"/>
          <w:b w:val="1"/>
          <w:bCs w:val="1"/>
          <w:color w:val="auto"/>
        </w:rPr>
        <w:t>Attributable to Noncontrolling</w:t>
      </w:r>
    </w:p>
    <w:p>
      <w:pPr>
        <w:jc w:val="center"/>
        <w:ind w:left="7740"/>
        <w:spacing w:after="0" w:line="232" w:lineRule="auto"/>
        <w:rPr>
          <w:sz w:val="20"/>
          <w:szCs w:val="20"/>
          <w:color w:val="auto"/>
        </w:rPr>
      </w:pPr>
      <w:r>
        <w:rPr>
          <w:rFonts w:ascii="Arial" w:cs="Arial" w:eastAsia="Arial" w:hAnsi="Arial"/>
          <w:sz w:val="14"/>
          <w:szCs w:val="14"/>
          <w:b w:val="1"/>
          <w:bCs w:val="1"/>
          <w:color w:val="auto"/>
        </w:rPr>
        <w:t>Interests</w:t>
      </w: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4"/>
          </w:tcPr>
          <w:p>
            <w:pPr>
              <w:jc w:val="center"/>
              <w:ind w:right="198"/>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r>
      <w:tr>
        <w:trPr>
          <w:trHeight w:val="171"/>
        </w:trPr>
        <w:tc>
          <w:tcPr>
            <w:tcW w:w="7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4"/>
                <w:szCs w:val="14"/>
                <w:b w:val="1"/>
                <w:bCs w:val="1"/>
                <w:color w:val="auto"/>
                <w:w w:val="99"/>
              </w:rPr>
              <w:t>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Noncontrolling Interests as of</w:t>
            </w:r>
          </w:p>
        </w:tc>
      </w:t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401"/>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98"/>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59,533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59,540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three month periods ended March 31, 2017 and 2016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2008 Plan authorizes the issuance of shares of Class A common stock pursuant to the grant or exercise of stock options, stock appreciation rights, restricted stock units (“RSUs”), performance-based restricted stock units (“PRSUs”) and other share-based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 for the three month periods ended March 31, 2017 and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RSUs</w:t>
            </w:r>
          </w:p>
        </w:tc>
        <w:tc>
          <w:tcPr>
            <w:tcW w:w="382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55,941</w:t>
            </w:r>
          </w:p>
        </w:tc>
        <w:tc>
          <w:tcPr>
            <w:tcW w:w="280" w:type="dxa"/>
            <w:vAlign w:val="bottom"/>
          </w:tcPr>
          <w:p>
            <w:pPr>
              <w:spacing w:after="0"/>
              <w:rPr>
                <w:sz w:val="19"/>
                <w:szCs w:val="19"/>
                <w:color w:val="auto"/>
              </w:rPr>
            </w:pP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54,408</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11,782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16,689</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23,476</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8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77,449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94,606</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2017 and 2016, dividend participation rights required the issuance of 613,795 and 700,651 RSUs, respectively.</w:t>
      </w:r>
    </w:p>
    <w:p>
      <w:pPr>
        <w:spacing w:after="0" w:line="24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1,551 DSUs granted during the three month period ended March 31, 2017.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2017 and 2016, 3,555 and 2,110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613,795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4,926,935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(3,621,454)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12,984,542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281,831</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312,670</w:t>
            </w:r>
          </w:p>
        </w:tc>
        <w:tc>
          <w:tcPr>
            <w:tcW w:w="3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700,651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6,140,020</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(55,826)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(4,100,192)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March 31,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11,583,660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40.78</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three month periods ended March 31, 2017 and 2016, the Company satisfied its minimum statutory tax withholding requirements in lieu of delivering 1,229,531 and 1,327,399 shares of Class A common stock during such respective three month periods. Accordingly, 2,391,923 and 2,772,793 shares of Class A common stock held by the Company were delivered during the three month periods ended March 31, 2017 and 2016, respectively.</w:t>
      </w:r>
    </w:p>
    <w:p>
      <w:pPr>
        <w:spacing w:after="0" w:line="187"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As of March 31, 2017, estimated unrecognized RSU compensation expense was approximately $260,079, with such expense expected to be recognized over a weighted average period of approximately 1.0 year subsequent to March 31, 2017.</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2017 and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(11,087)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(263,457)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2,221,884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(25,662)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(627,110)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March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1,856,224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2017 and 2016, the Company satisfied its minimum statutory tax withholding requirements in lieu of delivering 108,239 and 77,795 shares of Class A common stock during such respective three month periods. Accordingly, 155,218 and 549,315 shares of Class A common stock held by the Company were delivered during the three month periods ended March 31, 2017 and 2016,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March 31, 2017, estimated unrecognized restricted stock expense was approximately $55,675, with such expense to be recognized over a weighted average period of approximately 0.9 years subsequent to March 31, 2017.</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three month periods ended March 31, 2017 and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(752,770)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1,296,099</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(417,018)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1,229,976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18"/>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connection with certain PRSUs that vested during the three month periods ended March 31, 2017 and 2016, the Company satisfied its minimum statutory tax withholding requirements in lieu of delivering 85,629 and 64,169 shares of Class A common stock during such respective three month periods. Accordingly, 667,141 and 352,849 shares of Class A common stock held by the Company were delivered during the three month periods ended March 31, 2017 and 2016, respectively.</w:t>
      </w:r>
    </w:p>
    <w:p>
      <w:pPr>
        <w:spacing w:after="0" w:line="18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2017, the total estimated unrecognized compensation expense was approximately $20,853, and the Company expects to amortize such expense over a weighted-average period of approximately 0.7 years subsequent to March 31, 2017.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(81,559)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(12,491)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2017</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(64,488)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2016</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 subsequent to March 31, 2017.</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2017 and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7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12,983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7,353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20,336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40" w:type="dxa"/>
            <w:vAlign w:val="bottom"/>
            <w:vMerge w:val="restart"/>
          </w:tcPr>
          <w:p>
            <w:pPr>
              <w:jc w:val="right"/>
              <w:ind w:right="1770"/>
              <w:spacing w:after="0"/>
              <w:rPr>
                <w:sz w:val="20"/>
                <w:szCs w:val="20"/>
                <w:color w:val="auto"/>
              </w:rPr>
            </w:pPr>
            <w:r>
              <w:rPr>
                <w:rFonts w:ascii="Arial" w:cs="Arial" w:eastAsia="Arial" w:hAnsi="Arial"/>
                <w:sz w:val="18"/>
                <w:szCs w:val="18"/>
                <w:color w:val="auto"/>
              </w:rPr>
              <w:t>28</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5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Pension Plans</w:t>
            </w:r>
          </w:p>
        </w:tc>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1"/>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Three Months Ended March 31,</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(6,105)</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(7,166)</w:t>
            </w: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 recorded income tax provisions of $21,995 and $11,735 for the three month periods ended March 31, 2017 and 2016, respectively, representing effective tax rates of 14.4% and 12.0%,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 payable to foreign jurisdictions, (iv) excess net tax benefit for share-based incentive compensation, and (v) U.S. state and local taxes, which are incremental to the U.S. federal statutory tax rate.</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Upon adoption, the Company recognized excess tax benefits of $2,003 from the vesting of share-based incentive compensation in the provision for income taxes in the condensed consolidated statements of operations for the three month period ended March 31, 2017. The Company also recorded deferred tax assets of $4,945, net of a valuation allowance of $12,090, as of January 1, 2017, for previously unrecognized excess tax benefits (including tax benefits from dividends or dividend equivalents) on share-based incentive compensation, with an offsetting adjustment to retained earnings. See Note 2 for further information on the adoption of this new guidance.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200" w:lineRule="exact"/>
        <w:rPr>
          <w:sz w:val="20"/>
          <w:szCs w:val="20"/>
          <w:color w:val="auto"/>
        </w:rPr>
      </w:pPr>
    </w:p>
    <w:p>
      <w:pPr>
        <w:spacing w:after="0" w:line="373"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225" w:lineRule="exact"/>
        <w:rPr>
          <w:sz w:val="20"/>
          <w:szCs w:val="20"/>
          <w:color w:val="auto"/>
        </w:rPr>
      </w:pPr>
    </w:p>
    <w:p>
      <w:pPr>
        <w:jc w:val="both"/>
        <w:ind w:right="60" w:firstLine="552"/>
        <w:spacing w:after="0" w:line="264" w:lineRule="auto"/>
        <w:rPr>
          <w:sz w:val="20"/>
          <w:szCs w:val="20"/>
          <w:color w:val="auto"/>
        </w:rPr>
      </w:pPr>
      <w:r>
        <w:rPr>
          <w:rFonts w:ascii="Arial" w:cs="Arial" w:eastAsia="Arial" w:hAnsi="Arial"/>
          <w:sz w:val="18"/>
          <w:szCs w:val="18"/>
          <w:color w:val="auto"/>
        </w:rPr>
        <w:t>Lazard Group’s receivables from subsidiaries of Lazard Ltd at March 31, 2017 and December 31, 2016 included interest-bearing loans of $2,837 and $20,365, respectively, including accrued interest thereon. Interest income relating to interest-bearing loans with subsidiaries of Lazard Ltd amounted to $133 and $185 for the three month periods ended March 31, 2017 and 2016, respectively.</w:t>
      </w:r>
    </w:p>
    <w:p>
      <w:pPr>
        <w:spacing w:after="0" w:line="181" w:lineRule="exact"/>
        <w:rPr>
          <w:sz w:val="20"/>
          <w:szCs w:val="20"/>
          <w:color w:val="auto"/>
        </w:rPr>
      </w:pPr>
    </w:p>
    <w:p>
      <w:pPr>
        <w:jc w:val="both"/>
        <w:ind w:right="100" w:firstLine="552"/>
        <w:spacing w:after="0" w:line="264" w:lineRule="auto"/>
        <w:rPr>
          <w:sz w:val="20"/>
          <w:szCs w:val="20"/>
          <w:color w:val="auto"/>
        </w:rPr>
      </w:pPr>
      <w:r>
        <w:rPr>
          <w:rFonts w:ascii="Arial" w:cs="Arial" w:eastAsia="Arial" w:hAnsi="Arial"/>
          <w:sz w:val="18"/>
          <w:szCs w:val="18"/>
          <w:color w:val="auto"/>
        </w:rPr>
        <w:t>Lazard Group’s payables to subsidiaries of Lazard Ltd at March 31, 2017 and December 31, 2016 included interest-bearing loans, including interest thereon, of approximately $65,000 and $60,500, respectively. Interest expense relating to interest-bearing loans with subsidiaries of Lazard Ltd amounted to $944 and $867 for the three month periods ended March 31, 2017 and 2016.</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$140,577 and $118,910 for the three month periods ended March 31, 2017 and 2016, respectively, and are included in “asset management fees” on the condensed consolidated statements of operations. Of such amounts, $52,867 and $49,944 remained as receivables at March 31, 2017 and December 31, 2016, respectively, and are included in “fees receivable” on the condensed consolidated statements of financial condition.</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2017, LFNY’s regulatory net capital was $79,663, which exceeded the minimum requirement by $74,877. LFNY’s aggregate indebtedness to net capital ratio was 0.90:1 as of March 31, 2017.</w:t>
      </w:r>
    </w:p>
    <w:p>
      <w:pPr>
        <w:spacing w:after="0" w:line="198"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2017, the aggregate regulatory net capital of the U.K. Subsidiaries was $128,206, which exceeded the minimum requirement by $112,123.</w:t>
      </w:r>
    </w:p>
    <w:p>
      <w:pPr>
        <w:spacing w:after="0" w:line="18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March 31, 2017, the consolidated regulatory net capital of CFLF was $133,162, which exceeded the minimum requirement set for regulatory capital levels by $88,708.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2016, the regulatory net capital of the combined European regulated group was $159,102, which exceeded the minimum requirement set for regulatory capital levels by $84,949.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93"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2017, for those subsidiaries with regulatory capital requirements, their aggregate net capital was $120,725, which exceeded the minimum required capital by $94,924.</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2017, each of these subsidiaries individually was in compliance with its regulatory capital requirements.</w:t>
      </w:r>
    </w:p>
    <w:p>
      <w:pPr>
        <w:spacing w:after="0" w:line="225"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above. In addition, as described in Note 1, the Company records selected other activities in its Corporate segment.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Company’s segment information for the three month periods ended March 31, 2017 and 2016 is prepared using the following methodology:</w:t>
      </w:r>
    </w:p>
    <w:p>
      <w:pPr>
        <w:spacing w:after="0" w:line="129"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4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4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335,684</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266,014</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259,362</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76,322</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38,936</w:t>
            </w:r>
          </w:p>
        </w:tc>
        <w:tc>
          <w:tcPr>
            <w:tcW w:w="100" w:type="dxa"/>
            <w:vAlign w:val="bottom"/>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283,363</w:t>
            </w:r>
          </w:p>
        </w:tc>
        <w:tc>
          <w:tcPr>
            <w:tcW w:w="30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245,759</w:t>
            </w: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188,751</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175,161</w:t>
            </w:r>
          </w:p>
        </w:tc>
        <w:tc>
          <w:tcPr>
            <w:tcW w:w="100" w:type="dxa"/>
            <w:vAlign w:val="bottom"/>
          </w:tcPr>
          <w:p>
            <w:pPr>
              <w:spacing w:after="0"/>
              <w:rPr>
                <w:sz w:val="20"/>
                <w:szCs w:val="20"/>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466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94,612</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70,598</w:t>
            </w: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4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(14,169)</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21,352</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(2,682)</w:t>
            </w:r>
          </w:p>
        </w:tc>
      </w:tr>
      <w:tr>
        <w:trPr>
          <w:trHeight w:val="223"/>
        </w:trPr>
        <w:tc>
          <w:tcPr>
            <w:tcW w:w="3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940" w:type="dxa"/>
            <w:vAlign w:val="bottom"/>
            <w:tcBorders>
              <w:top w:val="single" w:sz="8" w:color="auto"/>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(17,922)</w:t>
            </w:r>
          </w:p>
        </w:tc>
        <w:tc>
          <w:tcPr>
            <w:tcW w:w="3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622,477</w:t>
            </w:r>
          </w:p>
        </w:tc>
        <w:tc>
          <w:tcPr>
            <w:tcW w:w="30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497,604</w:t>
            </w: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469,465</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399,557</w:t>
            </w: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153,012</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98,047</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3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March 31, 2017</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80" w:type="dxa"/>
            <w:vAlign w:val="bottom"/>
          </w:tcPr>
          <w:p>
            <w:pPr>
              <w:ind w:left="100"/>
              <w:spacing w:after="0"/>
              <w:rPr>
                <w:sz w:val="20"/>
                <w:szCs w:val="20"/>
                <w:color w:val="auto"/>
              </w:rPr>
            </w:pPr>
            <w:r>
              <w:rPr>
                <w:rFonts w:ascii="Arial" w:cs="Arial" w:eastAsia="Arial" w:hAnsi="Arial"/>
                <w:sz w:val="18"/>
                <w:szCs w:val="18"/>
                <w:color w:val="auto"/>
              </w:rPr>
              <w:t>Financial Advisory</w:t>
            </w:r>
          </w:p>
        </w:tc>
        <w:tc>
          <w:tcPr>
            <w:tcW w:w="3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807,368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883,384</w:t>
            </w:r>
          </w:p>
        </w:tc>
        <w:tc>
          <w:tcPr>
            <w:tcW w:w="120" w:type="dxa"/>
            <w:vAlign w:val="bottom"/>
          </w:tcPr>
          <w:p>
            <w:pPr>
              <w:spacing w:after="0"/>
              <w:rPr>
                <w:sz w:val="19"/>
                <w:szCs w:val="19"/>
                <w:color w:val="auto"/>
              </w:rPr>
            </w:pPr>
          </w:p>
        </w:tc>
      </w:tr>
      <w:tr>
        <w:trPr>
          <w:trHeight w:val="230"/>
        </w:trPr>
        <w:tc>
          <w:tcPr>
            <w:tcW w:w="46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Asset Management</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572,915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645,653</w:t>
            </w:r>
          </w:p>
        </w:tc>
        <w:tc>
          <w:tcPr>
            <w:tcW w:w="12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Corporate</w:t>
            </w:r>
          </w:p>
        </w:tc>
        <w:tc>
          <w:tcPr>
            <w:tcW w:w="3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1,914,872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1,986,947</w:t>
            </w:r>
          </w:p>
        </w:tc>
        <w:tc>
          <w:tcPr>
            <w:tcW w:w="12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3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3,295,155</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2016 (the “Form 10-K”). All references to “2017,” “2016,” “first quarter,” “three months” or “the period” refer to, as the context requires, the three month periods ended March 31, 2017 and March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ability to deploy surplus cash through distributions to members, purchases of Lazard Ltd Class A common stock and debt repurchases;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 w:name="page36"/>
    <w:bookmarkEnd w:id="35"/>
    <w:p>
      <w:pPr>
        <w:ind w:left="900" w:right="5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jc w:val="both"/>
        <w:ind w:left="90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ind w:left="900" w:right="14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6" w:name="page37"/>
    <w:bookmarkEnd w:id="36"/>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mezzanine fund, which invests in mezzanine debt of a diversified selection of small- to mid-cap European companies and (iii) a fund targeting significant noncontrolling-stake investments in established private companies. We also make investments to seed our Asset Management strategies.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Equity market indices for developed and emerging markets at March 31, 2017 generally increased as compared to such indices at March 31, 2016 and December 31, 2016. In the global M&amp;A markets during the first quarter of 2017, the value and number of all completed M&amp;A transactions decreased as compared to the same period in the prior year, as did the value of the subset of such transactions involving values greater than $500 million. During the same time, the value of all announced M&amp;A transactions, including the subset of such transactions involving values greater than $500 million, increased. During the first quarter of 2017, global restructuring activity, as measured by the number of corporate defaults, decreased as compared to the first quarter of 2016, primarily due to a lower level of defaults in the commodity sectors.</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an ongoing basis, regional, macroeconomic and geopolitical factors, including any potential regional tax or regulatory reform, may impact our business. However, despite political uncertainties, overall, the global macroeconomic outlook for the near- to mid-term appears positive. The U.S. economy appears to be healthy, and the European economy seems to continue to recover. Corporate cash balances remain high, and interest rates remain low for companies with strong credit ratings. Although market volatility may affect our business from time to time, the longer-term trends appear to remain favorable for both of our businesses.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20" w:hanging="379"/>
        <w:spacing w:after="0" w:line="271"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Demand continues for expert,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Lazard Ltd expanded its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left="900" w:right="40" w:hanging="379"/>
        <w:spacing w:after="0" w:line="270"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 Real Assets strategy, and a Global Equity Franchise strategy.</w:t>
      </w:r>
    </w:p>
    <w:p>
      <w:pPr>
        <w:spacing w:after="0" w:line="18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value of completed transactions with values greater than $500 million, decreased in the first quarter of 2017 as compared to 2016. With respect to announced M&amp;A transactions, the value of all transactions, including announced transactions with values greater than $500 million, increased in the first quarter of 2017 as compared to 2016.</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5"/>
              </w:rPr>
              <w:t>Three Months Ended</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restart"/>
          </w:tcPr>
          <w:p>
            <w:pPr>
              <w:jc w:val="center"/>
              <w:ind w:right="494"/>
              <w:spacing w:after="0"/>
              <w:rPr>
                <w:sz w:val="20"/>
                <w:szCs w:val="20"/>
                <w:color w:val="auto"/>
              </w:rPr>
            </w:pPr>
            <w:r>
              <w:rPr>
                <w:rFonts w:ascii="Arial" w:cs="Arial" w:eastAsia="Arial" w:hAnsi="Arial"/>
                <w:sz w:val="14"/>
                <w:szCs w:val="14"/>
                <w:b w:val="1"/>
                <w:bCs w:val="1"/>
                <w:color w:val="auto"/>
                <w:w w:val="96"/>
              </w:rPr>
              <w:t>2016</w:t>
            </w:r>
          </w:p>
        </w:tc>
        <w:tc>
          <w:tcPr>
            <w:tcW w:w="118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w w:val="91"/>
              </w:rPr>
              <w:t>in billions)</w:t>
            </w: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904</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9,009</w:t>
            </w:r>
          </w:p>
        </w:tc>
        <w:tc>
          <w:tcPr>
            <w:tcW w:w="4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9,954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602</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685</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270</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811</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743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9,686</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10,034</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522</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48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245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April 5, 2017.</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Global restructuring activity during the first quarter of 2017, as measured by the number of corporate defaults, decreased as compared to the first quarter of 2016. The number of defaulting issuers decreased to 21 in the first quarter of 2017, according to Moody’s Investors Service, Inc., as compared to 33 in the first quarter of 2016, primarily due to a lower level of defaults in the commodity sectors.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firstLine="518"/>
        <w:spacing w:after="0" w:line="269" w:lineRule="auto"/>
        <w:rPr>
          <w:sz w:val="20"/>
          <w:szCs w:val="20"/>
          <w:color w:val="auto"/>
        </w:rPr>
      </w:pPr>
      <w:r>
        <w:rPr>
          <w:rFonts w:ascii="Arial" w:cs="Arial" w:eastAsia="Arial" w:hAnsi="Arial"/>
          <w:sz w:val="17"/>
          <w:szCs w:val="17"/>
          <w:color w:val="auto"/>
        </w:rPr>
        <w:t>Net revenue trends in Financial Advisory for M&amp;A and Strategic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Strategic Advisory revenue, which includes M&amp;A Advisory, Capital Advisory, Capital Raising and Sovereign Advisory revenue, increased 11% in the first quarter of 2017 as compared to 2016. The industry statistics for global M&amp;A transactions described above reflect a 12% and 9% decrease in the value and number, respectively, of all completed transactions in the first quarter of 2017 as compared to 2016. For M&amp;A deals with values greater than $500 million, the value and number of completed transactions in the first quarter of 2017 decreased 12% and was unchanged, respectively, as compared to 2016. In addition, with respect to our restructuring activity, revenue increased 105% in the first quarter of 2017 as compared to 2016, in contrast to a 36% decrease in global default activity in the first quarter of 2017 as compared to 2016.</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percentage change in major equity market indices at March 31, 2017, as compared to such indices at December 31, 2016, and at March 31, 2016,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6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Percentage Changes</w:t>
            </w:r>
          </w:p>
        </w:tc>
        <w:tc>
          <w:tcPr>
            <w:tcW w:w="4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6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w w:val="94"/>
              </w:rPr>
              <w:t>March 31, 2017 vs.</w:t>
            </w:r>
          </w:p>
        </w:tc>
        <w:tc>
          <w:tcPr>
            <w:tcW w:w="44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6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68"/>
              <w:spacing w:after="0" w:line="133" w:lineRule="exact"/>
              <w:rPr>
                <w:sz w:val="20"/>
                <w:szCs w:val="20"/>
                <w:color w:val="auto"/>
              </w:rPr>
            </w:pPr>
            <w:r>
              <w:rPr>
                <w:rFonts w:ascii="Arial" w:cs="Arial" w:eastAsia="Arial" w:hAnsi="Arial"/>
                <w:sz w:val="14"/>
                <w:szCs w:val="14"/>
                <w:b w:val="1"/>
                <w:bCs w:val="1"/>
                <w:color w:val="auto"/>
                <w:w w:val="95"/>
              </w:rPr>
              <w:t>March 31,</w:t>
            </w:r>
          </w:p>
        </w:tc>
        <w:tc>
          <w:tcPr>
            <w:tcW w:w="440" w:type="dxa"/>
            <w:vAlign w:val="bottom"/>
          </w:tcPr>
          <w:p>
            <w:pPr>
              <w:spacing w:after="0"/>
              <w:rPr>
                <w:sz w:val="11"/>
                <w:szCs w:val="11"/>
                <w:color w:val="auto"/>
              </w:rPr>
            </w:pPr>
          </w:p>
        </w:tc>
      </w:tr>
      <w:tr>
        <w:trPr>
          <w:trHeight w:val="171"/>
        </w:trPr>
        <w:tc>
          <w:tcPr>
            <w:tcW w:w="72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0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40"/>
        <w:spacing w:after="0" w:line="255"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March 31, 2017 increased 9% versus AUM at December 31, 2016, primarily due to market and foreign exchange appreciation and net inflows. Average AUM for the first quarter of 2017 increased 12% as compared to average AUM in the first quarter of 2016 and 3% as compared to the fourth quarter of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9" w:name="page40"/>
    <w:bookmarkEnd w:id="39"/>
    <w:p>
      <w:pPr>
        <w:ind w:right="220"/>
        <w:spacing w:after="0" w:line="271" w:lineRule="auto"/>
        <w:rPr>
          <w:sz w:val="20"/>
          <w:szCs w:val="20"/>
          <w:color w:val="auto"/>
        </w:rPr>
      </w:pPr>
      <w:r>
        <w:rPr>
          <w:rFonts w:ascii="Arial" w:cs="Arial" w:eastAsia="Arial" w:hAnsi="Arial"/>
          <w:sz w:val="17"/>
          <w:szCs w:val="17"/>
          <w:color w:val="auto"/>
        </w:rPr>
        <w:t>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Although Corporate segment net revenue during 2017 is not significant compared to Lazard’s net revenue, total assets in the Corporate segment represented 58% of Lazard’s consolidated total assets as of March 31, 2017,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right="260"/>
        <w:spacing w:after="0" w:line="277" w:lineRule="auto"/>
        <w:rPr>
          <w:sz w:val="20"/>
          <w:szCs w:val="20"/>
          <w:color w:val="auto"/>
        </w:rPr>
      </w:pPr>
      <w:r>
        <w:rPr>
          <w:rFonts w:ascii="Arial" w:cs="Arial" w:eastAsia="Arial" w:hAnsi="Arial"/>
          <w:sz w:val="18"/>
          <w:szCs w:val="18"/>
          <w:color w:val="auto"/>
        </w:rPr>
        <w:t>“Awarded compensation and benefits expense” for a given year is calculated using “adjusted compensation and benefits expense,” also a non-U.S. GAAP measure, as modified by the following items:</w:t>
      </w:r>
    </w:p>
    <w:p>
      <w:pPr>
        <w:spacing w:after="0" w:line="62" w:lineRule="exact"/>
        <w:rPr>
          <w:sz w:val="20"/>
          <w:szCs w:val="20"/>
          <w:color w:val="auto"/>
        </w:rPr>
      </w:pPr>
    </w:p>
    <w:p>
      <w:pPr>
        <w:ind w:left="900" w:right="4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20" w:hanging="386"/>
        <w:spacing w:after="0" w:line="264"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2017 related to the 2016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00" w:hanging="386"/>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mid-to-high-50s percentage range, which compares to 55.8% and 56.5%, respectively, for the year ended December 31, 2016.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achieving this goal.</w:t>
      </w:r>
    </w:p>
    <w:p>
      <w:pPr>
        <w:spacing w:after="0" w:line="182"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w:t>
      </w:r>
    </w:p>
    <w:p>
      <w:pPr>
        <w:spacing w:after="0" w:line="124"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period ended March 31, 2017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8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6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622,477</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7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361,316</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107,001</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101,715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7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3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469,465</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399,557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153,012</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131,017</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128,140</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82,412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9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622,477</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497,604</w:t>
            </w:r>
          </w:p>
        </w:tc>
        <w:tc>
          <w:tcPr>
            <w:tcW w:w="120" w:type="dxa"/>
            <w:vAlign w:val="bottom"/>
          </w:tcPr>
          <w:p>
            <w:pPr>
              <w:spacing w:after="0"/>
              <w:rPr>
                <w:sz w:val="19"/>
                <w:szCs w:val="19"/>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0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12,348</w:t>
            </w:r>
          </w:p>
        </w:tc>
        <w:tc>
          <w:tcPr>
            <w:tcW w:w="120" w:type="dxa"/>
            <w:vAlign w:val="bottom"/>
          </w:tcPr>
          <w:p>
            <w:pPr>
              <w:spacing w:after="0"/>
              <w:rPr>
                <w:sz w:val="19"/>
                <w:szCs w:val="19"/>
                <w:color w:val="auto"/>
              </w:rPr>
            </w:pPr>
          </w:p>
        </w:tc>
      </w:tr>
      <w:tr>
        <w:trPr>
          <w:trHeight w:val="230"/>
        </w:trPr>
        <w:tc>
          <w:tcPr>
            <w:tcW w:w="5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(4,942)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(6,212)</w:t>
            </w:r>
          </w:p>
        </w:tc>
      </w:tr>
      <w:tr>
        <w:trPr>
          <w:trHeight w:val="230"/>
        </w:trPr>
        <w:tc>
          <w:tcPr>
            <w:tcW w:w="5900" w:type="dxa"/>
            <w:vAlign w:val="bottom"/>
            <w:gridSpan w:val="2"/>
          </w:tcPr>
          <w:p>
            <w:pPr>
              <w:ind w:left="260"/>
              <w:spacing w:after="0"/>
              <w:rPr>
                <w:sz w:val="20"/>
                <w:szCs w:val="20"/>
                <w:color w:val="auto"/>
              </w:rPr>
            </w:pPr>
            <w:r>
              <w:rPr>
                <w:rFonts w:ascii="Arial" w:cs="Arial" w:eastAsia="Arial" w:hAnsi="Arial"/>
                <w:sz w:val="18"/>
                <w:szCs w:val="18"/>
                <w:color w:val="auto"/>
              </w:rPr>
              <w:t>(Gains) losses on investments pertaining to LFI (c)</w:t>
            </w: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r>
      <w:tr>
        <w:trPr>
          <w:trHeight w:val="223"/>
        </w:trPr>
        <w:tc>
          <w:tcPr>
            <w:tcW w:w="5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624,315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506,254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9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62"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left="380" w:right="480" w:hanging="372"/>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1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361,316</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297,198</w:t>
            </w:r>
          </w:p>
        </w:tc>
        <w:tc>
          <w:tcPr>
            <w:tcW w:w="180" w:type="dxa"/>
            <w:vAlign w:val="bottom"/>
          </w:tcPr>
          <w:p>
            <w:pPr>
              <w:spacing w:after="0"/>
              <w:rPr>
                <w:sz w:val="19"/>
                <w:szCs w:val="19"/>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(1,643)</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(1,752)</w:t>
            </w:r>
          </w:p>
        </w:tc>
      </w:tr>
      <w:tr>
        <w:trPr>
          <w:trHeight w:val="230"/>
        </w:trPr>
        <w:tc>
          <w:tcPr>
            <w:tcW w:w="6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(7,353)</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180" w:type="dxa"/>
            <w:vAlign w:val="bottom"/>
            <w:shd w:val="clear" w:color="auto" w:fill="CFF0FC"/>
          </w:tcPr>
          <w:p>
            <w:pPr>
              <w:spacing w:after="0"/>
              <w:rPr>
                <w:sz w:val="19"/>
                <w:szCs w:val="19"/>
                <w:color w:val="auto"/>
              </w:rPr>
            </w:pPr>
          </w:p>
        </w:tc>
      </w:tr>
      <w:tr>
        <w:trPr>
          <w:trHeight w:val="263"/>
        </w:trPr>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1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352,320</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297,960</w:t>
            </w:r>
          </w:p>
        </w:tc>
        <w:tc>
          <w:tcPr>
            <w:tcW w:w="180" w:type="dxa"/>
            <w:vAlign w:val="bottom"/>
            <w:tcBorders>
              <w:bottom w:val="single" w:sz="8" w:color="CFF0FC"/>
            </w:tcBorders>
          </w:tcPr>
          <w:p>
            <w:pPr>
              <w:spacing w:after="0"/>
              <w:rPr>
                <w:sz w:val="22"/>
                <w:szCs w:val="22"/>
                <w:color w:val="auto"/>
              </w:rPr>
            </w:pPr>
          </w:p>
        </w:tc>
      </w:tr>
      <w:tr>
        <w:trPr>
          <w:trHeight w:val="21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56.4%</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117"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4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107,001</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101,715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(422)</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106,579</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jc w:val="center"/>
              <w:ind w:left="538"/>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3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624,315</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506,254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(352,320)</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(297,960)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(106,579)</w:t>
            </w: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29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165,416</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106,977</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26.5%</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980" w:type="dxa"/>
            <w:vAlign w:val="bottom"/>
            <w:tcBorders>
              <w:top w:val="single" w:sz="8" w:color="CFF0FC"/>
              <w:bottom w:val="single" w:sz="8" w:color="CFF0FC"/>
            </w:tcBorders>
            <w:vMerge w:val="restart"/>
          </w:tcPr>
          <w:p>
            <w:pPr>
              <w:jc w:val="right"/>
              <w:ind w:right="187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3" w:name="page44"/>
    <w:bookmarkEnd w:id="43"/>
    <w:p>
      <w:pPr>
        <w:ind w:left="520"/>
        <w:spacing w:after="0"/>
        <w:rPr>
          <w:sz w:val="20"/>
          <w:szCs w:val="20"/>
          <w:color w:val="auto"/>
        </w:rPr>
      </w:pPr>
      <w:r>
        <w:rPr>
          <w:rFonts w:ascii="Arial" w:cs="Arial" w:eastAsia="Arial" w:hAnsi="Arial"/>
          <w:sz w:val="18"/>
          <w:szCs w:val="18"/>
          <w:color w:val="auto"/>
        </w:rPr>
        <w:t>Headcount information is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6780" w:type="dxa"/>
            <w:vAlign w:val="bottom"/>
          </w:tcPr>
          <w:p>
            <w:pPr>
              <w:spacing w:after="0"/>
              <w:rPr>
                <w:sz w:val="11"/>
                <w:szCs w:val="11"/>
                <w:color w:val="auto"/>
              </w:rPr>
            </w:pPr>
          </w:p>
        </w:tc>
        <w:tc>
          <w:tcPr>
            <w:tcW w:w="1600" w:type="dxa"/>
            <w:vAlign w:val="bottom"/>
            <w:gridSpan w:val="2"/>
          </w:tcPr>
          <w:p>
            <w:pPr>
              <w:ind w:left="360"/>
              <w:spacing w:after="0" w:line="133" w:lineRule="exact"/>
              <w:rPr>
                <w:sz w:val="20"/>
                <w:szCs w:val="20"/>
                <w:color w:val="auto"/>
              </w:rPr>
            </w:pPr>
            <w:r>
              <w:rPr>
                <w:rFonts w:ascii="Arial" w:cs="Arial" w:eastAsia="Arial" w:hAnsi="Arial"/>
                <w:sz w:val="14"/>
                <w:szCs w:val="14"/>
                <w:b w:val="1"/>
                <w:bCs w:val="1"/>
                <w:color w:val="auto"/>
              </w:rPr>
              <w:t>March 31,</w:t>
            </w:r>
          </w:p>
        </w:tc>
        <w:tc>
          <w:tcPr>
            <w:tcW w:w="16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134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1340" w:type="dxa"/>
            <w:vAlign w:val="bottom"/>
          </w:tcPr>
          <w:p>
            <w:pPr>
              <w:jc w:val="right"/>
              <w:spacing w:after="0"/>
              <w:rPr>
                <w:sz w:val="20"/>
                <w:szCs w:val="20"/>
                <w:color w:val="auto"/>
              </w:rPr>
            </w:pPr>
            <w:r>
              <w:rPr>
                <w:rFonts w:ascii="Arial" w:cs="Arial" w:eastAsia="Arial" w:hAnsi="Arial"/>
                <w:sz w:val="18"/>
                <w:szCs w:val="18"/>
                <w:color w:val="auto"/>
              </w:rPr>
              <w:t>1,267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reported net income attributable to Lazard Group of $128 million, as compared to net income of $82 million in the 2016 period. The changes in the Company’s operating results during these periods are described below.</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Net revenue increased $125 million, or 25%, with operating revenue increasing $118 million, or 23%, as compared to the 2016 period. Fee revenue from investment banking and other advisory activities increased $70 million, or 26%, as compared to the 2016 period, due to an increase in Restructuring and M&amp;A and Strategic Advisory revenue. Asset management fees, including incentive fees, increased $39 million, or 17%, as compared to the 2016 period, primarily due to an increase in average AUM. In the aggregate, interest income, other revenue and interest expense increased $16 million as compared to the 2016 period, primarily due to gains in the 2017 period attributable to investments held in connection with LFI.</w:t>
      </w:r>
    </w:p>
    <w:p>
      <w:pPr>
        <w:spacing w:after="0" w:line="173"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Compensation and benefits expense increased $64 million, or 22%, as compared to the 2016 period, primarily due to an increase in discretionary compensation associated with increased operating revenue and an increase in charges pertaining to LFI.</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$352 million, an increase of $54 million, or 18%, as compared to $298 million in the 2016 period. The ratio of adjusted compensation and benefits expense to operating revenue was 56.4% for the 2017 period, as compared to 58.9% for the 2016 period and 56.5% for full-year 2016.</w:t>
      </w:r>
    </w:p>
    <w:p>
      <w:pPr>
        <w:spacing w:after="0" w:line="18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Non-compensation expense increased $5 million, or 5%, as compared to the 2016 period. Adjusted non-compensation expense, which excludes non-compensation costs relating to noncontrolling interests, increased $5 million, or 5%, as compared to the 2016 period. The ratio of adjusted non-compensation expense to operating revenue was 17.1% for the 2017 period, as compared to 20.0% in the 2016 period.</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Amortization and other acquisition-related costs increased $1 million as compared to the 2016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$55 million, or 56%, as compared to the 2016 period.</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Earnings from operations increased $58 million, or 55%, as compared to the 2016 period, and, as a percentage of operating revenue, was 26.5%, as compared to 21.1% in the 2016 period.</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14.4%, as compared to 12.0% for the 2016 period. The effective tax rate increased primarily reflecting a change in the geographic mix of earnings, partially offset by the Company’s adoption of new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accounting guidance on share-based incentive compensation. See Notes 2 and 14 of Notes to Condensed Consolidated 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or 26%, as compared to the 2016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65"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335,684</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259,362</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227,078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76,322</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38,936</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ind w:left="640"/>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4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79"/>
              </w:rPr>
              <w:t>65</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79"/>
              </w:rPr>
              <w:t>66</w:t>
            </w: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M&amp;A and Strategic Advisory</w:t>
            </w:r>
          </w:p>
        </w:tc>
        <w:tc>
          <w:tcPr>
            <w:tcW w:w="420" w:type="dxa"/>
            <w:vAlign w:val="bottom"/>
          </w:tcPr>
          <w:p>
            <w:pPr>
              <w:ind w:left="240"/>
              <w:spacing w:after="0"/>
              <w:rPr>
                <w:sz w:val="20"/>
                <w:szCs w:val="20"/>
                <w:color w:val="auto"/>
              </w:rPr>
            </w:pPr>
            <w:r>
              <w:rPr>
                <w:rFonts w:ascii="Arial" w:cs="Arial" w:eastAsia="Arial" w:hAnsi="Arial"/>
                <w:sz w:val="18"/>
                <w:szCs w:val="18"/>
                <w:color w:val="auto"/>
                <w:w w:val="79"/>
              </w:rPr>
              <w:t>55</w:t>
            </w:r>
          </w:p>
        </w:tc>
        <w:tc>
          <w:tcPr>
            <w:tcW w:w="360" w:type="dxa"/>
            <w:vAlign w:val="bottom"/>
          </w:tcPr>
          <w:p>
            <w:pPr>
              <w:spacing w:after="0"/>
              <w:rPr>
                <w:sz w:val="19"/>
                <w:szCs w:val="19"/>
                <w:color w:val="auto"/>
              </w:rPr>
            </w:pP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60</w:t>
            </w:r>
          </w:p>
        </w:tc>
        <w:tc>
          <w:tcPr>
            <w:tcW w:w="18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46%</w:t>
            </w:r>
          </w:p>
        </w:tc>
        <w:tc>
          <w:tcPr>
            <w:tcW w:w="1740" w:type="dxa"/>
            <w:vAlign w:val="bottom"/>
            <w:gridSpan w:val="2"/>
            <w:shd w:val="clear" w:color="auto" w:fill="CFF0FC"/>
          </w:tcPr>
          <w:p>
            <w:pPr>
              <w:ind w:left="1380"/>
              <w:spacing w:after="0"/>
              <w:rPr>
                <w:sz w:val="20"/>
                <w:szCs w:val="20"/>
                <w:color w:val="auto"/>
              </w:rPr>
            </w:pPr>
            <w:r>
              <w:rPr>
                <w:rFonts w:ascii="Arial" w:cs="Arial" w:eastAsia="Arial" w:hAnsi="Arial"/>
                <w:sz w:val="18"/>
                <w:szCs w:val="18"/>
                <w:color w:val="auto"/>
                <w:w w:val="94"/>
              </w:rPr>
              <w:t>35%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420" w:type="dxa"/>
            <w:vAlign w:val="bottom"/>
          </w:tcPr>
          <w:p>
            <w:pPr>
              <w:ind w:left="240"/>
              <w:spacing w:after="0"/>
              <w:rPr>
                <w:sz w:val="20"/>
                <w:szCs w:val="20"/>
                <w:color w:val="auto"/>
              </w:rPr>
            </w:pPr>
            <w:r>
              <w:rPr>
                <w:rFonts w:ascii="Arial" w:cs="Arial" w:eastAsia="Arial" w:hAnsi="Arial"/>
                <w:sz w:val="18"/>
                <w:szCs w:val="18"/>
                <w:color w:val="auto"/>
                <w:w w:val="79"/>
              </w:rPr>
              <w:t>24</w:t>
            </w:r>
          </w:p>
        </w:tc>
        <w:tc>
          <w:tcPr>
            <w:tcW w:w="360" w:type="dxa"/>
            <w:vAlign w:val="bottom"/>
          </w:tcPr>
          <w:p>
            <w:pPr>
              <w:spacing w:after="0"/>
              <w:rPr>
                <w:sz w:val="20"/>
                <w:szCs w:val="20"/>
                <w:color w:val="auto"/>
              </w:rPr>
            </w:pP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19</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09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April 5, 2017.</w:t>
      </w:r>
    </w:p>
    <w:p>
      <w:pPr>
        <w:spacing w:after="0" w:line="225"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Italy, Spain and Germany) and the Asia Pacific region (primarily in Australia) and therefore may not be reflective of the geography in which the clients are located.</w:t>
      </w:r>
    </w:p>
    <w:p>
      <w:pPr>
        <w:spacing w:after="0" w:line="21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620"/>
              <w:spacing w:after="0"/>
              <w:rPr>
                <w:sz w:val="20"/>
                <w:szCs w:val="20"/>
                <w:color w:val="auto"/>
              </w:rPr>
            </w:pPr>
            <w:r>
              <w:rPr>
                <w:rFonts w:ascii="Arial" w:cs="Arial" w:eastAsia="Arial" w:hAnsi="Arial"/>
                <w:sz w:val="18"/>
                <w:szCs w:val="18"/>
                <w:color w:val="auto"/>
              </w:rPr>
              <w:t>43</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5" w:name="page46"/>
    <w:bookmarkEnd w:id="45"/>
    <w:p>
      <w:pPr>
        <w:ind w:right="34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4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Financial Advisory net revenue increased $70 million, or 26%, as compared to the 2016 period. M&amp;A and Strategic Advisory net revenue was $248 million, an increase of $25 million, or 11%, as compared to $223 million in the 2016 period. Restructuring revenue was $88 million, an increase of $45 million, or 105%, as compared to $43 million in the 2016 period. The increase in M&amp;A and Strategic Advisory revenue was primarily due to an increase in the average transaction fee with respect to completed transactions involving fees greater than $1 million as compared to the 2016 period. Clients which in the aggregate represented a significant portion of our M&amp;A and Strategic Advisory revenue in the 2017 period included Air Products, Harman, Sanofi and Värde Partners.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Restructuring revenue in the 2017 period primarily reflected the closing of large assignments, including a continued high level of activity in the U.S energy sector. Clients which in the aggregate represented a significant portion of our Restructuring revenue in the 2017 period included Linn Energy, Peabody Energy, Shelf Drilling and Stone Energy.</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Operating expenses increased $32 million, or 14%, as compared to the 2016 period, primarily due to an increase in discretionary compensation and benefits expense associated with increased operating revenue.</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Advisory operating income was $76 million, an increase of $37 million, or 96%, as compared to operating income of $39 million in the 2016 period and, as a percentage of net revenue, was 22.7%, as compared to 14.6% in the 2016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46,563</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215,178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Total AUM at March 31, 2017 was $215 billion, an increase of $17 billion, or 9%, as compared to total AUM of $198 billion at December 31, 2016, primarily due to market and foreign exchange appreciation and net inflows. Average AUM for the first quarter of 2017 increased 12% as compared to the first quarter of 2016 and 3% as compared to the fourth quarter of 2016.</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March 31, 2017, approximately 88% of our AUM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individuals, and was unchanged from the corresponding percentages at December 31, 2016.</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2017, AUM with foreign currency exposure represented approximately 72% of our total AUM as compared to 70% at December 31, 2016.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periods ended March 31,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350"/>
              <w:spacing w:after="0"/>
              <w:rPr>
                <w:sz w:val="20"/>
                <w:szCs w:val="20"/>
                <w:color w:val="auto"/>
              </w:rPr>
            </w:pPr>
            <w:r>
              <w:rPr>
                <w:rFonts w:ascii="Arial" w:cs="Arial" w:eastAsia="Arial" w:hAnsi="Arial"/>
                <w:sz w:val="14"/>
                <w:szCs w:val="14"/>
                <w:b w:val="1"/>
                <w:bCs w:val="1"/>
                <w:color w:val="auto"/>
              </w:rPr>
              <w:t>Three Months Ended March 31,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60" w:hanging="372"/>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Global and Emerging Markets equity platforms, and inflows in the Fixed Income asset class were primarily attributable to the Emerging Markets and Multi-Regional platforms. Outflows in the Equity asset class were primarily attributable to the Multi-Regional, Global and Emerging Markets equity platforms, and outflows in the Fixed Income asset class were primarily attributable to the Multi-Regional and Emerging Markets platforms.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 2016</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April 24, 2017, AUM was $219.3 billion, a $4.1 billion increase since March 31, 2017. The increase in AUM was due to market appreciation of $2.7 billion, foreign exchange appreciation of $1.4 billion and net inflows of $24 million.</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Average AUM for the three month periods ended March 31, 2017 and 2016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Equity</w:t>
            </w:r>
          </w:p>
        </w:tc>
        <w:tc>
          <w:tcPr>
            <w:tcW w:w="37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170,863</w:t>
            </w:r>
          </w:p>
        </w:tc>
        <w:tc>
          <w:tcPr>
            <w:tcW w:w="8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149,969</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30,253</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206,429</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283,363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245,759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188,751</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94,612</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70,598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620"/>
              <w:spacing w:after="0"/>
              <w:rPr>
                <w:sz w:val="20"/>
                <w:szCs w:val="20"/>
                <w:color w:val="auto"/>
              </w:rPr>
            </w:pPr>
            <w:r>
              <w:rPr>
                <w:rFonts w:ascii="Arial" w:cs="Arial" w:eastAsia="Arial" w:hAnsi="Arial"/>
                <w:sz w:val="18"/>
                <w:szCs w:val="18"/>
                <w:color w:val="auto"/>
              </w:rPr>
              <w:t>46</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8" w:name="page49"/>
    <w:bookmarkEnd w:id="48"/>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Asset Management net revenue increased $38 million, or 15%, as compared to the 2016 period. Management fees and other revenue was $276 million, an increase of $32 million, or 13%, as compared to $244 million in the 2016 period, primarily due to an increase in average AUM. Incentive fees were $7 million, an increase of $5 million as compared to $2 million in the 2016 period.</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Operating expenses increased $14 million, or 8%, as compared to the 2016 period, primarily due to increases in compensation and benefits expense related to an increase in discretionary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Asset Management operating income was $95 million, an increase of $24 million, or 34%, as compared to operating income of $71 million in the 2016 period and, as a percentage of net revenue, was 33.4%, as compared to 28.7%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86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(12,671)</w:t>
            </w:r>
          </w:p>
        </w:tc>
      </w:tr>
      <w:tr>
        <w:trPr>
          <w:trHeight w:val="223"/>
        </w:trPr>
        <w:tc>
          <w:tcPr>
            <w:tcW w:w="4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(13,475)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(2,505)</w:t>
            </w:r>
          </w:p>
        </w:tc>
      </w:tr>
      <w:tr>
        <w:trPr>
          <w:trHeight w:val="223"/>
        </w:trPr>
        <w:tc>
          <w:tcPr>
            <w:tcW w:w="4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Operating Expenses (Credit)</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9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(17,922)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$2 million, or 16%, as compared to the 2016 period.</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Other revenue increased $19 million as compared to the 2016 period, primarily due to gains in the 2017 period attributable to investments held in connection with LFI.</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increased $24 million as compared to the 2016 period, primarily due to an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M&amp;A and Strategic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9" w:name="page50"/>
    <w:bookmarkEnd w:id="49"/>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40" w:type="dxa"/>
            <w:vAlign w:val="bottom"/>
            <w:gridSpan w:val="8"/>
          </w:tcPr>
          <w:p>
            <w:pPr>
              <w:jc w:val="center"/>
              <w:ind w:right="13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20" w:type="dxa"/>
            <w:vAlign w:val="bottom"/>
            <w:gridSpan w:val="7"/>
          </w:tcPr>
          <w:p>
            <w:pPr>
              <w:jc w:val="center"/>
              <w:ind w:right="122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(118.4)</w:t>
            </w: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6960" w:type="dxa"/>
            <w:vAlign w:val="bottom"/>
            <w:gridSpan w:val="3"/>
            <w:vMerge w:val="restart"/>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(370.3)</w:t>
            </w: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11.9</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(247.7)</w:t>
            </w: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1,131.4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1,025.8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883.7</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691.5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center"/>
              <w:ind w:left="356"/>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4"/>
          </w:tcPr>
          <w:p>
            <w:pPr>
              <w:jc w:val="center"/>
              <w:ind w:left="476"/>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stock units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17" w:lineRule="exact"/>
        <w:rPr>
          <w:rFonts w:ascii="Arial" w:cs="Arial" w:eastAsia="Arial" w:hAnsi="Arial"/>
          <w:sz w:val="18"/>
          <w:szCs w:val="18"/>
          <w:color w:val="auto"/>
        </w:rPr>
      </w:pPr>
    </w:p>
    <w:p>
      <w:pPr>
        <w:ind w:left="380" w:right="40" w:hanging="372"/>
        <w:spacing w:after="0" w:line="308"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primarily of purchases of shares of Lazard Ltd Class A common stock, tax withholdings related to the settlement of vested restricted stock units (“RSUs”), vested restricted stock awards and vested PRSUs, and distributions to members and noncontrolling interest 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120"/>
        <w:spacing w:after="0" w:line="279" w:lineRule="auto"/>
        <w:rPr>
          <w:sz w:val="20"/>
          <w:szCs w:val="20"/>
          <w:color w:val="auto"/>
        </w:rPr>
      </w:pPr>
      <w:r>
        <w:rPr>
          <w:rFonts w:ascii="Arial" w:cs="Arial" w:eastAsia="Arial" w:hAnsi="Arial"/>
          <w:sz w:val="17"/>
          <w:szCs w:val="17"/>
          <w:color w:val="auto"/>
        </w:rPr>
        <w:t>amounts generally being recorded in “deposits with banks and short-term investments”, or in “investments” for interest-bearing deposits having original maturities of greater than three months. In the three month period ended March 31, 2017, as reflected on the condensed consolidated statements of financial condition, both “deposits with banks and short-term investments” and “deposits and other customer payables” increased as compared to December 31, 2016, due to a higher level of LFB customer-related demand deposits, primarily from clients and funds managed by LFG.</w:t>
      </w:r>
    </w:p>
    <w:p>
      <w:pPr>
        <w:spacing w:after="0" w:line="17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March 31, 2017, Lazard had approximately $884 million of cash, with such amount including approximately $445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3"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March 31, 2017, Lazard had approximately $172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$21 million (at March 31, 2017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March 31, 2017 and December 31, 2016. The agreements with respect to this indebtedness are discussed in more detail in our condensed consolidated financial statements and related notes included elsewhere in this Form 10-Q and in our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March 31, 2017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2017, Lazard Group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was in compliance with such ratios, with its Consolidated Leverage Ratio being 1.27 to 1.00 and its Consolidated Interest Coverage Ratio being 19.35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any event, no amounts were outstanding under the Amended and Restated Credit Agreement as of March 31, 2017.</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2017,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March 31, 2017, total members’ equity was $599 million, as compared to $736 million at December 31, 2016, including $539 million and</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$679 million attributable to Lazard Group on the respective dates. The net activity in members’ equity during the three month period ended March 31, 2017 is reflected in the table below (in millions of dollars):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 - January 1, 2017</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15"/>
        </w:trPr>
        <w:tc>
          <w:tcPr>
            <w:tcW w:w="8440" w:type="dxa"/>
            <w:vAlign w:val="bottom"/>
            <w:gridSpan w:val="3"/>
          </w:tcPr>
          <w:p>
            <w:pPr>
              <w:spacing w:after="0"/>
              <w:rPr>
                <w:sz w:val="20"/>
                <w:szCs w:val="20"/>
                <w:color w:val="auto"/>
              </w:rPr>
            </w:pPr>
            <w:r>
              <w:rPr>
                <w:rFonts w:ascii="Arial" w:cs="Arial" w:eastAsia="Arial" w:hAnsi="Arial"/>
                <w:sz w:val="18"/>
                <w:szCs w:val="18"/>
                <w:color w:val="auto"/>
              </w:rPr>
              <w:t>Adjustment for the cumulative effect on prior years from the adoption of new</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 w:type="dxa"/>
            <w:vAlign w:val="bottom"/>
            <w:tcBorders>
              <w:bottom w:val="single" w:sz="8" w:color="CFF0FC"/>
            </w:tcBorders>
          </w:tcPr>
          <w:p>
            <w:pPr>
              <w:spacing w:after="0"/>
              <w:rPr>
                <w:sz w:val="20"/>
                <w:szCs w:val="20"/>
                <w:color w:val="auto"/>
              </w:rPr>
            </w:pPr>
          </w:p>
        </w:tc>
        <w:tc>
          <w:tcPr>
            <w:tcW w:w="840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accounting guidance related to share-based incentive compensation</w:t>
            </w:r>
          </w:p>
        </w:tc>
        <w:tc>
          <w:tcPr>
            <w:tcW w:w="2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0"/>
                <w:szCs w:val="20"/>
                <w:color w:val="auto"/>
              </w:rPr>
            </w:pPr>
          </w:p>
        </w:tc>
      </w:tr>
      <w:tr>
        <w:trPr>
          <w:trHeight w:val="223"/>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as adjusted - January 1, 2017</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Lazard Ltd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Members’ Equity - March 31, 2017</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58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2,424,571</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2017</w:t>
            </w:r>
          </w:p>
        </w:tc>
        <w:tc>
          <w:tcPr>
            <w:tcW w:w="58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2,464,967</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March 31, 2017, a total of $249 million of share repurchase authorization remained available under Lazard Ltd’s share repurchase program, $13 million of which will expire on December 31, 2017 and $236 million of which will expire on December 31, 2018.</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During the three month period ended March 31, 2017,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right="300" w:firstLine="518"/>
        <w:spacing w:after="0" w:line="277"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1,513,042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$44,471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813,649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76,432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leases (including interest)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2,342,821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139,633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232,810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697,312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17"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40" w:hanging="372"/>
        <w:spacing w:after="0" w:line="31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10, 12, 13 and 14 of Notes to Condensed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$138 million, with such amount partially offset by a valuation allowance of approximately $55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$55 million of deferred tax assets held by these entities as of December 31, 2016.</w:t>
      </w:r>
    </w:p>
    <w:p>
      <w:pPr>
        <w:spacing w:after="0" w:line="18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20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 January 1, 2017, we adopted new accounting guidance on share-based incentive compensation. Upon adoption, we recognized excess tax benefits of $2.0 million from the vesting of share-based incentive compensation in the provision for income taxes in the condensed consolidated statements of operations for the three month period ended March 31, 2017. Upon adoption of the new guidance, we also recorded deferred tax assets of $4.9 million, net of a valuation allowance of $12.1 million, for previously unrecognized excess tax benefits (including tax benefits from dividends or dividend equivalents) on share-based incentive compensation, with an offsetting adjustment to retained earnings. See Notes 2 and 14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7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5"/>
          </w:tcPr>
          <w:p>
            <w:pPr>
              <w:ind w:left="48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8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105,800</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99,669</w:t>
            </w: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17,107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16,406</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5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18,531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18,172</w:t>
            </w:r>
          </w:p>
        </w:tc>
        <w:tc>
          <w:tcPr>
            <w:tcW w:w="120" w:type="dxa"/>
            <w:vAlign w:val="bottom"/>
            <w:tcBorders>
              <w:bottom w:val="single" w:sz="8" w:color="CFF0FC"/>
            </w:tcBorders>
          </w:tcPr>
          <w:p>
            <w:pPr>
              <w:spacing w:after="0"/>
              <w:rPr>
                <w:sz w:val="19"/>
                <w:szCs w:val="19"/>
                <w:color w:val="auto"/>
              </w:rPr>
            </w:pPr>
          </w:p>
        </w:tc>
      </w:tr>
      <w:tr>
        <w:trPr>
          <w:trHeight w:val="223"/>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141,438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134,247</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90,318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96,089</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 (c)</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23,341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22,908</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5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114,142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119,453</w:t>
            </w:r>
          </w:p>
        </w:tc>
        <w:tc>
          <w:tcPr>
            <w:tcW w:w="120" w:type="dxa"/>
            <w:vAlign w:val="bottom"/>
            <w:tcBorders>
              <w:bottom w:val="single" w:sz="8" w:color="CFF0FC"/>
            </w:tcBorders>
          </w:tcPr>
          <w:p>
            <w:pPr>
              <w:spacing w:after="0"/>
              <w:rPr>
                <w:sz w:val="19"/>
                <w:szCs w:val="19"/>
                <w:color w:val="auto"/>
              </w:rPr>
            </w:pPr>
          </w:p>
        </w:tc>
      </w:tr>
      <w:tr>
        <w:trPr>
          <w:trHeight w:val="223"/>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255,580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253,700</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Equity method (d)</w:t>
            </w: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gridSpan w:val="3"/>
          </w:tcPr>
          <w:p>
            <w:pPr>
              <w:ind w:left="260"/>
              <w:spacing w:after="0"/>
              <w:rPr>
                <w:sz w:val="20"/>
                <w:szCs w:val="20"/>
                <w:color w:val="auto"/>
              </w:rPr>
            </w:pPr>
            <w:r>
              <w:rPr>
                <w:rFonts w:ascii="Arial" w:cs="Arial" w:eastAsia="Arial" w:hAnsi="Arial"/>
                <w:sz w:val="18"/>
                <w:szCs w:val="18"/>
                <w:color w:val="auto"/>
              </w:rPr>
              <w:t>Private equity consolidated, not owned (e)</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19,631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26,332</w:t>
            </w:r>
          </w:p>
        </w:tc>
        <w:tc>
          <w:tcPr>
            <w:tcW w:w="120" w:type="dxa"/>
            <w:vAlign w:val="bottom"/>
          </w:tcPr>
          <w:p>
            <w:pPr>
              <w:spacing w:after="0"/>
              <w:rPr>
                <w:sz w:val="19"/>
                <w:szCs w:val="19"/>
                <w:color w:val="auto"/>
              </w:rPr>
            </w:pPr>
          </w:p>
        </w:tc>
      </w:tr>
      <w:tr>
        <w:trPr>
          <w:trHeight w:val="230"/>
        </w:trPr>
        <w:tc>
          <w:tcPr>
            <w:tcW w:w="7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LFI (f)</w:t>
            </w:r>
          </w:p>
        </w:tc>
        <w:tc>
          <w:tcPr>
            <w:tcW w:w="5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106,641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179,168</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center"/>
              <w:ind w:right="49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382,074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620" w:type="dxa"/>
            <w:vAlign w:val="bottom"/>
            <w:gridSpan w:val="3"/>
          </w:tcPr>
          <w:p>
            <w:pPr>
              <w:spacing w:after="0"/>
              <w:rPr>
                <w:sz w:val="6"/>
                <w:szCs w:val="6"/>
                <w:color w:val="auto"/>
              </w:rPr>
            </w:pPr>
          </w:p>
        </w:tc>
        <w:tc>
          <w:tcPr>
            <w:tcW w:w="320" w:type="dxa"/>
            <w:vAlign w:val="bottom"/>
            <w:gridSpan w:val="2"/>
          </w:tcPr>
          <w:p>
            <w:pPr>
              <w:spacing w:after="0"/>
              <w:rPr>
                <w:sz w:val="6"/>
                <w:szCs w:val="6"/>
                <w:color w:val="auto"/>
              </w:rPr>
            </w:pPr>
          </w:p>
        </w:tc>
        <w:tc>
          <w:tcPr>
            <w:tcW w:w="80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660" w:type="dxa"/>
            <w:vAlign w:val="bottom"/>
            <w:gridSpan w:val="9"/>
          </w:tcPr>
          <w:p>
            <w:pPr>
              <w:spacing w:after="0"/>
              <w:rPr>
                <w:sz w:val="20"/>
                <w:szCs w:val="20"/>
                <w:color w:val="auto"/>
              </w:rPr>
            </w:pPr>
            <w:r>
              <w:rPr>
                <w:rFonts w:ascii="Arial" w:cs="Arial" w:eastAsia="Arial" w:hAnsi="Arial"/>
                <w:sz w:val="18"/>
                <w:szCs w:val="18"/>
                <w:color w:val="auto"/>
                <w:w w:val="95"/>
              </w:rPr>
              <w:t>(a)  At March 31, 2017 and December 31, 2016, seed investments in directly owned equity securities were invested as follows: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5"/>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24"/>
                <w:szCs w:val="24"/>
                <w:color w:val="auto"/>
              </w:rPr>
            </w:pPr>
          </w:p>
        </w:tc>
        <w:tc>
          <w:tcPr>
            <w:tcW w:w="2560" w:type="dxa"/>
            <w:vAlign w:val="bottom"/>
            <w:gridSpan w:val="8"/>
          </w:tcPr>
          <w:p>
            <w:pPr>
              <w:jc w:val="center"/>
              <w:ind w:right="13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6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5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1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1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1"/>
              </w:rPr>
              <w:t>100%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53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$39 million and $34 million as of March 31, 2017 and December 31, 2016, respectively.</w:t>
      </w:r>
    </w:p>
    <w:p>
      <w:pPr>
        <w:spacing w:after="0" w:line="15" w:lineRule="exact"/>
        <w:rPr>
          <w:rFonts w:ascii="Arial" w:cs="Arial" w:eastAsia="Arial" w:hAnsi="Arial"/>
          <w:sz w:val="16"/>
          <w:szCs w:val="16"/>
          <w:color w:val="auto"/>
        </w:rPr>
      </w:pPr>
    </w:p>
    <w:p>
      <w:pPr>
        <w:ind w:left="380" w:right="100" w:hanging="372"/>
        <w:spacing w:after="0" w:line="259"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 to medium-term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left="380" w:right="140" w:hanging="372"/>
        <w:spacing w:after="0" w:line="264"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3" w:lineRule="exact"/>
        <w:rPr>
          <w:rFonts w:ascii="Arial" w:cs="Arial" w:eastAsia="Arial" w:hAnsi="Arial"/>
          <w:sz w:val="18"/>
          <w:szCs w:val="18"/>
          <w:color w:val="auto"/>
        </w:rPr>
      </w:pPr>
    </w:p>
    <w:p>
      <w:pPr>
        <w:ind w:left="380" w:hanging="372"/>
        <w:spacing w:after="0" w:line="259"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At March 31, 2017 and December 31, 2016, total investments with a fair value of $381 million and $459 million, respectively, included $89 million and $130 million, respectively, or 23% and 28%,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2017 and December 31, 2016, the Company held seed investments of approximately $141 million and $134 million, respectively. Seed investments held in entities in which the Company maintained a controlling interest were $34 million in six entities as of March 31, 2017, as compared to $41 million in six entities as of December 31, 2016.</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of March 31, 2017 and December 31, 2016, the Company did not consolidate or deconsolidate any seed investment entities. As such, 100% of the recorded balance of seed investments as of March 31, 2017 and December 31, 2016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680" w:hanging="379"/>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left="900" w:right="280"/>
        <w:spacing w:after="0" w:line="277" w:lineRule="auto"/>
        <w:rPr>
          <w:sz w:val="20"/>
          <w:szCs w:val="20"/>
          <w:color w:val="auto"/>
        </w:rPr>
      </w:pPr>
      <w:r>
        <w:rPr>
          <w:rFonts w:ascii="Arial" w:cs="Arial" w:eastAsia="Arial" w:hAnsi="Arial"/>
          <w:sz w:val="18"/>
          <w:szCs w:val="18"/>
          <w:color w:val="auto"/>
        </w:rPr>
        <w:t>returns and the right to make decisions about the entity’s activities. Lazard is required to consolidate a VOE if it holds a majority of the voting interest in such VOE.</w:t>
      </w:r>
    </w:p>
    <w:p>
      <w:pPr>
        <w:spacing w:after="0" w:line="62" w:lineRule="exact"/>
        <w:rPr>
          <w:sz w:val="20"/>
          <w:szCs w:val="20"/>
          <w:color w:val="auto"/>
        </w:rPr>
      </w:pPr>
    </w:p>
    <w:p>
      <w:pPr>
        <w:ind w:left="900" w:right="100" w:hanging="379"/>
        <w:spacing w:after="0" w:line="30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March 31, 2017 and December 31, 2016, the Company’s exposure to equity market price risk in its investment portfolio, which primarily relates to investments in equity securities, equity funds and hedge funds, was approximately $112 million and $110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$0.8 million and</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$1.0 million in the carrying value of such investments as of March 31, 2017 and December 31, 2016, respectively, including the effect of the hedging transactions.</w:t>
      </w:r>
    </w:p>
    <w:p>
      <w:pPr>
        <w:spacing w:after="0" w:line="18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Interest Rate/Credit Spread Risk—At March 31, 2017 and December 31, 2016, the Company’s exposure to interest rate and credit spread risk in its investment portfolio related to investments in debt securities or funds which invest primarily in debt securities was $57 million and $53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$1.1 million and $0.9 million in the carrying value of such investments as of March 31, 2017 and December 31, 2016, respectively, including the effect of the hedging transactions.</w:t>
      </w:r>
    </w:p>
    <w:p>
      <w:pPr>
        <w:spacing w:after="0" w:line="15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Foreign Exchange Rate Risk—At March 31, 2017 and December 31, 2016, the Company’s exposure to foreign exchange rate risk in its investment portfolio, which primarily relates to investments in foreign currency denominated equity and debt securities,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right="160"/>
        <w:spacing w:after="0" w:line="259" w:lineRule="auto"/>
        <w:rPr>
          <w:sz w:val="20"/>
          <w:szCs w:val="20"/>
          <w:color w:val="auto"/>
        </w:rPr>
      </w:pPr>
      <w:r>
        <w:rPr>
          <w:rFonts w:ascii="Arial" w:cs="Arial" w:eastAsia="Arial" w:hAnsi="Arial"/>
          <w:sz w:val="18"/>
          <w:szCs w:val="18"/>
          <w:color w:val="auto"/>
        </w:rPr>
        <w:t>$68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$2.0 million and $1.7 million in the carrying value of such investments as of March 31, 2017 and December 31, 2016, respectively, including the effect of the hedging transactions.</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March 31, 2017 and December 31, 2016, the Company’s exposure to changes in fair value of such investments was approximately $90 million and $96 million, respectively. The Company estimates that a hypothetical 10% adverse change in fair value would result in a decrease of approximately $9.0 million and $9.6 million in the carrying value of such investments as of March 31, 2017 and December 31, 2016,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2017, total receivables amounted to $542 million, net of an allowance for doubtful accounts of $30 million. As of that date, Financial Advisory and Asset Management fees, receivables from Lazard Ltd subsidiaries and customer receivables comprised 81%, 3% and 16% of total receivables, respectively. At December 31, 2016, total receivables amounted to $667 million, net of an allowance for doubtful accounts of $16 million. As of that date, Financial Advisory and Asset Management fees, receivables from Lazard Ltd subsidiaries and customer receivables comprised 85%, 4% and 11% of total receivables, respectively. At March 31, 2017 and December 31, 2016, the Company had receivables past due or deemed uncollectible of approximately $42 million and $22 million, respectively. See also “Critical Accounting Policies and Estimates—Revenue Recognition” above and Note 3 of Notes to Condensed Consolidated Financial Statements for additional information regarding receivables.</w:t>
      </w:r>
    </w:p>
    <w:p>
      <w:pPr>
        <w:spacing w:after="0" w:line="16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March 31, 2017 and December 31, 2016, customer receivables included $47 million and $51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$4 million and $2 million at March 31, 2017 and December 31, 2016, respectively, and derivative liabilities, excluding the derivative liability arising from the Company’s obligation pertaining to LFI and other similar deferred compensation arrangements, amounted to $4 million and $12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$175 million and $170 million at March 31, 2017 and December 31, 2016,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March 31, 2017,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March 31, 2017, the Company’s cash and cash equivalents totaled approximately $884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9" w:name="page60"/>
    <w:bookmarkEnd w:id="59"/>
    <w:p>
      <w:pPr>
        <w:ind w:right="20"/>
        <w:spacing w:after="0" w:line="264" w:lineRule="auto"/>
        <w:rPr>
          <w:sz w:val="20"/>
          <w:szCs w:val="20"/>
          <w:color w:val="auto"/>
        </w:rPr>
      </w:pPr>
      <w:r>
        <w:rPr>
          <w:rFonts w:ascii="Arial" w:cs="Arial" w:eastAsia="Arial" w:hAnsi="Arial"/>
          <w:sz w:val="18"/>
          <w:szCs w:val="18"/>
          <w:color w:val="auto"/>
        </w:rPr>
        <w:t>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PART IV</w:t>
            </w:r>
          </w:p>
        </w:tc>
      </w:tr>
      <w:tr>
        <w:trPr>
          <w:trHeight w:val="324"/>
        </w:trPr>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Item 6.</w:t>
            </w:r>
          </w:p>
        </w:tc>
        <w:tc>
          <w:tcPr>
            <w:tcW w:w="1062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Certificate of Formation of the Registrant (incorporated by reference to Exhibit 3.1 to the Registrant’s Registration Statement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126751) on Form S-4 filed on July 21, 2005).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Certificate of Amendment of Certificate of Formation of the Registrant, changing name to Lazard Group LLC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3.3</w:t>
            </w: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Amended and Restated Operating Agreement of the Registrant, dated as of October 26, 2015 (incorporated by reference to Exhibit 3.3 to the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Registrant’s Quarterly Report (File No. 333-126751) on Form l0-Q filed on October 28, 2015).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3.4</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Amendment No.1 to Amended and Restated Operating Agreement of the Registrant, dated as of October 27, 2016(incorporated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3.4 to the Registrant’s Quarterly Report on Form 10-Q filed on October 28, 2016).</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Indenture, dated as of May 10, 2005, by and between the Registrant and The Bank of New York, as Trustee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4.2</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Fourth Supplemental Indenture, dated as of June 21, 2007, between the Registrant and The Bank of New York, as trustee (incorporated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4.3</w:t>
            </w:r>
          </w:p>
        </w:tc>
        <w:tc>
          <w:tcPr>
            <w:tcW w:w="10620" w:type="dxa"/>
            <w:vAlign w:val="bottom"/>
          </w:tcPr>
          <w:p>
            <w:pPr>
              <w:ind w:left="220"/>
              <w:spacing w:after="0"/>
              <w:rPr>
                <w:sz w:val="20"/>
                <w:szCs w:val="20"/>
                <w:color w:val="auto"/>
              </w:rPr>
            </w:pPr>
            <w:r>
              <w:rPr>
                <w:rFonts w:ascii="Arial" w:cs="Arial" w:eastAsia="Arial" w:hAnsi="Arial"/>
                <w:sz w:val="18"/>
                <w:szCs w:val="18"/>
                <w:color w:val="auto"/>
                <w:w w:val="98"/>
              </w:rPr>
              <w:t>Fifth Supplemental Indenture, dated as of November 14, 2013, between the Registrant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4.1 to the Registrant’s Current Report on Form 8-K (File No 333-126751) filed on November 14, 2013).</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4.4</w:t>
            </w:r>
          </w:p>
        </w:tc>
        <w:tc>
          <w:tcPr>
            <w:tcW w:w="10620" w:type="dxa"/>
            <w:vAlign w:val="bottom"/>
          </w:tcPr>
          <w:p>
            <w:pPr>
              <w:ind w:left="220"/>
              <w:spacing w:after="0"/>
              <w:rPr>
                <w:sz w:val="20"/>
                <w:szCs w:val="20"/>
                <w:color w:val="auto"/>
              </w:rPr>
            </w:pPr>
            <w:r>
              <w:rPr>
                <w:rFonts w:ascii="Arial" w:cs="Arial" w:eastAsia="Arial" w:hAnsi="Arial"/>
                <w:sz w:val="18"/>
                <w:szCs w:val="18"/>
                <w:color w:val="auto"/>
                <w:w w:val="98"/>
              </w:rPr>
              <w:t>Sixth Supplemental Indenture, dated as of February 13, 2015, between the Registrant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4.1 of the Registrant’s Current Report on Form 8-K (File No. 333-126751) filed on February 13, 2015).</w:t>
            </w:r>
          </w:p>
        </w:tc>
      </w:tr>
      <w:tr>
        <w:trPr>
          <w:trHeight w:val="338"/>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4.5</w:t>
            </w:r>
          </w:p>
        </w:tc>
        <w:tc>
          <w:tcPr>
            <w:tcW w:w="10620" w:type="dxa"/>
            <w:vAlign w:val="bottom"/>
          </w:tcPr>
          <w:p>
            <w:pPr>
              <w:ind w:left="220"/>
              <w:spacing w:after="0"/>
              <w:rPr>
                <w:sz w:val="20"/>
                <w:szCs w:val="20"/>
                <w:color w:val="auto"/>
              </w:rPr>
            </w:pPr>
            <w:r>
              <w:rPr>
                <w:rFonts w:ascii="Arial" w:cs="Arial" w:eastAsia="Arial" w:hAnsi="Arial"/>
                <w:sz w:val="18"/>
                <w:szCs w:val="18"/>
                <w:color w:val="auto"/>
              </w:rPr>
              <w:t>Form of Senior Note (included in Exhibits 4.2, 4.3 and 4.4).</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Amendment dated as of February 16, 2011, by and among RCPI Landmark Properties, L.L.C. (as the successor in interest to Rockefeller Center</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Properties), RCPI 30 Rock 22234849, L.L.C. and Lazard Group LLC (as the successor in interest to Lazard Frères &amp; Co. LLC), to the Lease</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dated as of January 27, 1994, by and among Rockefeller Center Properties and Lazard Frères &amp; Co. LLC (incorporated by reference to Exhibit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Burford (Stratton) Limited, Lazard &amp; Co., Limited and Lazard LLC (incorporated by reference to Exhibit 10.21 to Lazard Ltd’s Registration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10.4*</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Lazard Ltd’s 2005 Equity Incentive Plan (incorporated by reference to Exhibit 10.21 to Lazard Ltd’s Registration Statement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121407) on Form S-1/A filed on May 2,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10.5*</w:t>
            </w:r>
          </w:p>
        </w:tc>
        <w:tc>
          <w:tcPr>
            <w:tcW w:w="10620" w:type="dxa"/>
            <w:vAlign w:val="bottom"/>
          </w:tcPr>
          <w:p>
            <w:pPr>
              <w:ind w:left="220"/>
              <w:spacing w:after="0"/>
              <w:rPr>
                <w:sz w:val="20"/>
                <w:szCs w:val="20"/>
                <w:color w:val="auto"/>
              </w:rPr>
            </w:pPr>
            <w:r>
              <w:rPr>
                <w:rFonts w:ascii="Arial" w:cs="Arial" w:eastAsia="Arial" w:hAnsi="Arial"/>
                <w:sz w:val="18"/>
                <w:szCs w:val="18"/>
                <w:color w:val="auto"/>
                <w:w w:val="98"/>
              </w:rPr>
              <w:t>Lazard Ltd’s 2008 Incentive Compensation Plan (incorporated by reference to Annex B to Lazard Ltd’s Definitive Proxy Statement 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Schedule 14A (File No. 001-32492) filed on March 24, 2008).</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10.6*</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Lazard Ltd’s 2016 French Sub-plan (incorporated by reference to Annex B to Lazard Ltd’s Definitive Proxy Statement on Schedule 14A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filed on March 10, 2016).</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10.7*</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the Registrant, Lazard Ltd and Kenneth M. Jacobs (incorporated by reference to Exhibit 10.7 to the Registrant’s Quarterly Report (File No.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333-126751) on Form 10-Q filed on April 27, 2016).</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10.8*</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the Registrant, Lazard Ltd and Ashish Bhutani (incorporated by reference to Exhibit 10.8 to the Registrant’s Quarterly Report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126751) on Form 10-Q filed on April 27, 2016).</w:t>
            </w:r>
          </w:p>
        </w:tc>
      </w:tr>
      <w:tr>
        <w:trPr>
          <w:trHeight w:val="554"/>
        </w:trPr>
        <w:tc>
          <w:tcPr>
            <w:tcW w:w="82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8"/>
                <w:szCs w:val="18"/>
                <w:color w:val="auto"/>
              </w:rPr>
              <w:t>60</w:t>
            </w:r>
          </w:p>
        </w:tc>
      </w:tr>
      <w:tr>
        <w:trPr>
          <w:trHeight w:val="115"/>
        </w:trPr>
        <w:tc>
          <w:tcPr>
            <w:tcW w:w="820" w:type="dxa"/>
            <w:vAlign w:val="bottom"/>
            <w:tcBorders>
              <w:bottom w:val="single" w:sz="8" w:color="9A9A9A"/>
            </w:tcBorders>
          </w:tcPr>
          <w:p>
            <w:pPr>
              <w:spacing w:after="0"/>
              <w:rPr>
                <w:sz w:val="10"/>
                <w:szCs w:val="10"/>
                <w:color w:val="auto"/>
              </w:rPr>
            </w:pPr>
          </w:p>
        </w:tc>
        <w:tc>
          <w:tcPr>
            <w:tcW w:w="10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95"/>
              </w:rPr>
              <w:t>10.9*</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1"/>
              </w:rPr>
              <w:t>the Registrant, Lazard Ltd and Matthieu Bucaille (incorporated by reference to Exhibit 10.9 to the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April 27, 2016).</w:t>
            </w:r>
          </w:p>
        </w:tc>
      </w:tr>
      <w:tr>
        <w:trPr>
          <w:trHeight w:val="323"/>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10.10*</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the Registrant, Lazard Ltd and Scott D. Hoffman (incorporated by reference to Exhibit 10.10 to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April 27, 2016</w:t>
            </w:r>
          </w:p>
        </w:tc>
      </w:tr>
      <w:tr>
        <w:trPr>
          <w:trHeight w:val="323"/>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10.11*</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the Registrant, Lazard Ltd and Alexander F. Stern (incorporated by reference to Exhibit 10.11 to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April 27, 2016).</w:t>
            </w:r>
          </w:p>
        </w:tc>
      </w:tr>
      <w:tr>
        <w:trPr>
          <w:trHeight w:val="323"/>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10.12*</w:t>
            </w:r>
          </w:p>
        </w:tc>
        <w:tc>
          <w:tcPr>
            <w:tcW w:w="10440" w:type="dxa"/>
            <w:vAlign w:val="bottom"/>
          </w:tcPr>
          <w:p>
            <w:pPr>
              <w:ind w:left="180"/>
              <w:spacing w:after="0"/>
              <w:rPr>
                <w:sz w:val="20"/>
                <w:szCs w:val="20"/>
                <w:color w:val="auto"/>
              </w:rPr>
            </w:pPr>
            <w:r>
              <w:rPr>
                <w:rFonts w:ascii="Arial" w:cs="Arial" w:eastAsia="Arial" w:hAnsi="Arial"/>
                <w:sz w:val="18"/>
                <w:szCs w:val="18"/>
                <w:color w:val="auto"/>
                <w:w w:val="95"/>
              </w:rPr>
              <w:t>Form of Award Letter for Annual Grant of Deferred Stock Units to Non-Executive Directors (incorporated by reference to Exhibit 99.1 to</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10.13*</w:t>
            </w:r>
          </w:p>
        </w:tc>
        <w:tc>
          <w:tcPr>
            <w:tcW w:w="10440" w:type="dxa"/>
            <w:vAlign w:val="bottom"/>
          </w:tcPr>
          <w:p>
            <w:pPr>
              <w:ind w:left="180"/>
              <w:spacing w:after="0"/>
              <w:rPr>
                <w:sz w:val="20"/>
                <w:szCs w:val="20"/>
                <w:color w:val="auto"/>
              </w:rPr>
            </w:pPr>
            <w:r>
              <w:rPr>
                <w:rFonts w:ascii="Arial" w:cs="Arial" w:eastAsia="Arial" w:hAnsi="Arial"/>
                <w:sz w:val="18"/>
                <w:szCs w:val="18"/>
                <w:color w:val="auto"/>
                <w:w w:val="98"/>
              </w:rPr>
              <w:t>Form of Agreement evidencing a grant of Restricted Stock Units to Executive Officers under the 2008 Incentive Compensation Plan</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6"/>
              </w:rPr>
              <w:t>(incorporated by reference to Exhibit 10.41 to Lazard Ltd’s Annual Report (File No. 001-32492) on Form 10-K filed on March 2, 2009).</w:t>
            </w:r>
          </w:p>
        </w:tc>
      </w:tr>
      <w:tr>
        <w:trPr>
          <w:trHeight w:val="323"/>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10.14*</w:t>
            </w:r>
          </w:p>
        </w:tc>
        <w:tc>
          <w:tcPr>
            <w:tcW w:w="10440" w:type="dxa"/>
            <w:vAlign w:val="bottom"/>
          </w:tcPr>
          <w:p>
            <w:pPr>
              <w:ind w:left="180"/>
              <w:spacing w:after="0"/>
              <w:rPr>
                <w:sz w:val="20"/>
                <w:szCs w:val="20"/>
                <w:color w:val="auto"/>
              </w:rPr>
            </w:pPr>
            <w:r>
              <w:rPr>
                <w:rFonts w:ascii="Arial" w:cs="Arial" w:eastAsia="Arial" w:hAnsi="Arial"/>
                <w:sz w:val="18"/>
                <w:szCs w:val="18"/>
                <w:color w:val="auto"/>
                <w:w w:val="93"/>
              </w:rPr>
              <w:t>Form of Agreement evidencing a grant of Deferred Cash Award to Executive Officers (incorporated by reference to Exhibit 10.42 to Lazard</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Ltd’s Annual Report (File No. 001-32492) on Form 10-K filed on March 2, 2009).</w:t>
            </w:r>
          </w:p>
        </w:tc>
      </w:tr>
      <w:tr>
        <w:trPr>
          <w:trHeight w:val="323"/>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10.15*</w:t>
            </w: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Directors’ Fee Deferral Unit Plan (incorporated by reference to Exhibit 10.39 to Lazard Ltd’s Quarterly Report (File No.001-32492) on Form</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10-Q filed on May 11, 2006).</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88"/>
              </w:rPr>
              <w:t>10.16</w:t>
            </w:r>
          </w:p>
        </w:tc>
        <w:tc>
          <w:tcPr>
            <w:tcW w:w="10440" w:type="dxa"/>
            <w:vAlign w:val="bottom"/>
          </w:tcPr>
          <w:p>
            <w:pPr>
              <w:ind w:left="180"/>
              <w:spacing w:after="0"/>
              <w:rPr>
                <w:sz w:val="20"/>
                <w:szCs w:val="20"/>
                <w:color w:val="auto"/>
              </w:rPr>
            </w:pPr>
            <w:r>
              <w:rPr>
                <w:rFonts w:ascii="Arial" w:cs="Arial" w:eastAsia="Arial" w:hAnsi="Arial"/>
                <w:sz w:val="18"/>
                <w:szCs w:val="18"/>
                <w:color w:val="auto"/>
                <w:w w:val="89"/>
              </w:rPr>
              <w:t>Amended and Restated Credit Agreement, dated as of September 25, 2015, among the Registrant, the Banks from time to time parties thereto,</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3"/>
              </w:rPr>
              <w:t>and Citibank, N.A., as Administrative Agent (incorporated by reference to Exhibit 10.25 to the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October 28, 2015).</w:t>
            </w:r>
          </w:p>
        </w:tc>
      </w:tr>
      <w:tr>
        <w:trPr>
          <w:trHeight w:val="323"/>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10.17*</w:t>
            </w: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Form of Agreement evidencing a grant of Lazard Fund Interests to Named Executive Officers (incorporated by reference to Exhibit 10.54 to</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the Registrant’s Quarterly Report (File No. 333-126751) on Form 10-Q filed on May 1, 2013).</w:t>
            </w:r>
          </w:p>
        </w:tc>
      </w:tr>
      <w:tr>
        <w:trPr>
          <w:trHeight w:val="323"/>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10.18*</w:t>
            </w: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Form of Agreement evidencing a February 20, 2014 grant of Performance-Based Stock Units under the 2008 Incentive Compensation Plan</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(incorporated by reference to Exhibit 10.54 to the Registrant’s Quarterly Report (File No. 333-126751) on Form 10-Q filed on May 6, 2014).</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88"/>
              </w:rPr>
              <w:t>10.19</w:t>
            </w:r>
          </w:p>
        </w:tc>
        <w:tc>
          <w:tcPr>
            <w:tcW w:w="10440" w:type="dxa"/>
            <w:vAlign w:val="bottom"/>
          </w:tcPr>
          <w:p>
            <w:pPr>
              <w:ind w:left="180"/>
              <w:spacing w:after="0"/>
              <w:rPr>
                <w:sz w:val="20"/>
                <w:szCs w:val="20"/>
                <w:color w:val="auto"/>
              </w:rPr>
            </w:pPr>
            <w:r>
              <w:rPr>
                <w:rFonts w:ascii="Arial" w:cs="Arial" w:eastAsia="Arial" w:hAnsi="Arial"/>
                <w:sz w:val="18"/>
                <w:szCs w:val="18"/>
                <w:color w:val="auto"/>
                <w:w w:val="90"/>
              </w:rPr>
              <w:t>Agreement between Lazard Ltd and Kenneth M. Jacobs, dated as of February 20, 2014, evidencing a grant of Performance-Based Stock Units</w:t>
            </w:r>
          </w:p>
        </w:tc>
      </w:tr>
      <w:tr>
        <w:trPr>
          <w:trHeight w:val="216"/>
        </w:trPr>
        <w:tc>
          <w:tcPr>
            <w:tcW w:w="86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under the 2008 Incentive Compensation Plan (incorporated by reference to Exhibit 10.55 to the Registrant’s Quarterly Report (File No. 333-</w:t>
            </w:r>
          </w:p>
        </w:tc>
      </w:tr>
      <w:tr>
        <w:trPr>
          <w:trHeight w:val="230"/>
        </w:trPr>
        <w:tc>
          <w:tcPr>
            <w:tcW w:w="8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126751) on Form 10-Q filed on May 6, 2014).</w:t>
            </w:r>
          </w:p>
        </w:tc>
      </w:tr>
      <w:tr>
        <w:trPr>
          <w:trHeight w:val="338"/>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12.1</w:t>
            </w:r>
          </w:p>
        </w:tc>
        <w:tc>
          <w:tcPr>
            <w:tcW w:w="10440" w:type="dxa"/>
            <w:vAlign w:val="bottom"/>
          </w:tcPr>
          <w:p>
            <w:pPr>
              <w:ind w:left="18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31.1</w:t>
            </w:r>
          </w:p>
        </w:tc>
        <w:tc>
          <w:tcPr>
            <w:tcW w:w="10440" w:type="dxa"/>
            <w:vAlign w:val="bottom"/>
          </w:tcPr>
          <w:p>
            <w:pPr>
              <w:ind w:left="18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10440" w:type="dxa"/>
            <w:vAlign w:val="bottom"/>
          </w:tcPr>
          <w:p>
            <w:pPr>
              <w:ind w:left="18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32.1</w:t>
            </w:r>
          </w:p>
        </w:tc>
        <w:tc>
          <w:tcPr>
            <w:tcW w:w="10440" w:type="dxa"/>
            <w:vAlign w:val="bottom"/>
          </w:tcPr>
          <w:p>
            <w:pPr>
              <w:ind w:left="18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32.2</w:t>
            </w:r>
          </w:p>
        </w:tc>
        <w:tc>
          <w:tcPr>
            <w:tcW w:w="10440" w:type="dxa"/>
            <w:vAlign w:val="bottom"/>
          </w:tcPr>
          <w:p>
            <w:pPr>
              <w:ind w:left="180"/>
              <w:spacing w:after="0"/>
              <w:rPr>
                <w:sz w:val="20"/>
                <w:szCs w:val="20"/>
                <w:color w:val="auto"/>
              </w:rPr>
            </w:pPr>
            <w:r>
              <w:rPr>
                <w:rFonts w:ascii="Arial" w:cs="Arial" w:eastAsia="Arial" w:hAnsi="Arial"/>
                <w:sz w:val="18"/>
                <w:szCs w:val="18"/>
                <w:color w:val="auto"/>
              </w:rPr>
              <w:t>Section 1350 Certification for Matthieu Bucaille.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63" w:name="page64"/>
    <w:bookmarkEnd w:id="63"/>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Dominick Ragone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Dominick 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00"/>
          </w:cols>
          <w:pgMar w:left="240" w:top="337" w:right="8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March 31, 2017</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31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153,012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521,993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530,845</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540,975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219,009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121,593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8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20,889</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116,255</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8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173,901</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599,064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609,671</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632,666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330,326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237,848</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14,824</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8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24,896</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8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20,889</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116,255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(d)</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ind w:left="10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(g)</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right="740" w:hanging="512"/>
        <w:spacing w:after="0" w:line="277"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income for the three months ended March 31, 2017 is presented after giving effect to a charge of $714 of acquisition-related costs. Excluding the impact of such charges, the ratio of earnings to fixed charges would have been 8.36.</w:t>
      </w:r>
    </w:p>
    <w:p>
      <w:pPr>
        <w:spacing w:after="0" w:line="62" w:lineRule="exact"/>
        <w:rPr>
          <w:rFonts w:ascii="Arial" w:cs="Arial" w:eastAsia="Arial" w:hAnsi="Arial"/>
          <w:sz w:val="18"/>
          <w:szCs w:val="18"/>
          <w:color w:val="auto"/>
        </w:rPr>
      </w:pPr>
    </w:p>
    <w:p>
      <w:pPr>
        <w:ind w:left="520" w:right="20" w:hanging="512"/>
        <w:spacing w:after="0" w:line="257"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2016 is presented after giving effect to a charge of (i) $3,148 associated with the redemption of the remaining portion of the 2017 Notes, (ii) $599 excess interest expense due to the period of time between the issuance of the 2027 Notes and the settlement of the redemption of the 2017 Notes, (iii) $30,991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8.11.</w:t>
      </w:r>
    </w:p>
    <w:p>
      <w:pPr>
        <w:spacing w:after="0" w:line="80"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hanging="512"/>
        <w:spacing w:after="0" w:line="259"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 the ratio of earnings to fixed charges would have been 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left="512" w:hanging="512"/>
        <w:spacing w:after="0" w:line="257" w:lineRule="auto"/>
        <w:tabs>
          <w:tab w:leader="none" w:pos="5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312"/>
          </w:cols>
          <w:pgMar w:left="248"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Matthieu Bucaille, certify that:</w:t>
      </w:r>
    </w:p>
    <w:p>
      <w:pPr>
        <w:spacing w:after="0" w:line="117" w:lineRule="exact"/>
        <w:rPr>
          <w:sz w:val="20"/>
          <w:szCs w:val="20"/>
          <w:color w:val="auto"/>
        </w:rPr>
      </w:pPr>
    </w:p>
    <w:p>
      <w:pPr>
        <w:ind w:left="700" w:hanging="17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decimal"/>
      <w:start w:val="2"/>
    </w:lvl>
  </w:abstractNum>
  <w:abstractNum w:abstractNumId="8">
    <w:nsid w:val="614FD4A1"/>
    <w:multiLevelType w:val="hybridMultilevel"/>
    <w:lvl w:ilvl="0">
      <w:lvlJc w:val="left"/>
      <w:lvlText w:val="%1."/>
      <w:numFmt w:val="decimal"/>
      <w:start w:val="3"/>
    </w:lvl>
  </w:abstractNum>
  <w:abstractNum w:abstractNumId="9">
    <w:nsid w:val="419AC241"/>
    <w:multiLevelType w:val="hybridMultilevel"/>
    <w:lvl w:ilvl="0">
      <w:lvlJc w:val="left"/>
      <w:lvlText w:val="%1."/>
      <w:numFmt w:val="decimal"/>
      <w:start w:val="4"/>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decimal"/>
      <w:start w:val="5"/>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decimal"/>
      <w:start w:val="6"/>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decimal"/>
      <w:start w:val="7"/>
    </w:lvl>
  </w:abstractNum>
  <w:abstractNum w:abstractNumId="18">
    <w:nsid w:val="5E884ADC"/>
    <w:multiLevelType w:val="hybridMultilevel"/>
    <w:lvl w:ilvl="0">
      <w:lvlJc w:val="left"/>
      <w:lvlText w:val="%1."/>
      <w:numFmt w:val="decimal"/>
      <w:start w:val="8"/>
    </w:lvl>
  </w:abstractNum>
  <w:abstractNum w:abstractNumId="19">
    <w:nsid w:val="51EAD36B"/>
    <w:multiLevelType w:val="hybridMultilevel"/>
    <w:lvl w:ilvl="0">
      <w:lvlJc w:val="left"/>
      <w:lvlText w:val="%1"/>
      <w:numFmt w:val="decimal"/>
      <w:start w:val="1"/>
    </w:lvl>
    <w:lvl w:ilvl="1">
      <w:lvlJc w:val="left"/>
      <w:lvlText w:val="(%2)"/>
      <w:numFmt w:val="lowerLetter"/>
      <w:start w:val="1"/>
    </w:lvl>
  </w:abstractNum>
  <w:abstractNum w:abstractNumId="20">
    <w:nsid w:val="2D517796"/>
    <w:multiLevelType w:val="hybridMultilevel"/>
    <w:lvl w:ilvl="0">
      <w:lvlJc w:val="left"/>
      <w:lvlText w:val="%1."/>
      <w:numFmt w:val="decimal"/>
      <w:start w:val="9"/>
    </w:lvl>
    <w:lvl w:ilvl="1">
      <w:lvlJc w:val="left"/>
      <w:lvlText w:val="%2"/>
      <w:numFmt w:val="lowerLetter"/>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decimal"/>
      <w:start w:val="10"/>
    </w:lvl>
  </w:abstractNum>
  <w:abstractNum w:abstractNumId="23">
    <w:nsid w:val="3855585C"/>
    <w:multiLevelType w:val="hybridMultilevel"/>
    <w:lvl w:ilvl="0">
      <w:lvlJc w:val="left"/>
      <w:lvlText w:val="%1."/>
      <w:numFmt w:val="decimal"/>
      <w:start w:val="1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decimal"/>
      <w:start w:val="12"/>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decimal"/>
      <w:start w:val="13"/>
    </w:lvl>
  </w:abstractNum>
  <w:abstractNum w:abstractNumId="28">
    <w:nsid w:val="725A06FB"/>
    <w:multiLevelType w:val="hybridMultilevel"/>
    <w:lvl w:ilvl="0">
      <w:lvlJc w:val="left"/>
      <w:lvlText w:val="%1."/>
      <w:numFmt w:val="decimal"/>
      <w:start w:val="14"/>
    </w:lvl>
  </w:abstractNum>
  <w:abstractNum w:abstractNumId="29">
    <w:nsid w:val="2CD89A32"/>
    <w:multiLevelType w:val="hybridMultilevel"/>
    <w:lvl w:ilvl="0">
      <w:lvlJc w:val="left"/>
      <w:lvlText w:val="%1."/>
      <w:numFmt w:val="decimal"/>
      <w:start w:val="15"/>
    </w:lvl>
  </w:abstractNum>
  <w:abstractNum w:abstractNumId="30">
    <w:nsid w:val="57E4CCAF"/>
    <w:multiLevelType w:val="hybridMultilevel"/>
    <w:lvl w:ilvl="0">
      <w:lvlJc w:val="left"/>
      <w:lvlText w:val="%1."/>
      <w:numFmt w:val="decimal"/>
      <w:start w:val="16"/>
    </w:lvl>
  </w:abstractNum>
  <w:abstractNum w:abstractNumId="31">
    <w:nsid w:val="7A6D8D3C"/>
    <w:multiLevelType w:val="hybridMultilevel"/>
    <w:lvl w:ilvl="0">
      <w:lvlJc w:val="left"/>
      <w:lvlText w:val="%1."/>
      <w:numFmt w:val="decimal"/>
      <w:start w:val="17"/>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lvl w:ilvl="1">
      <w:lvlJc w:val="left"/>
      <w:lvlText w:val="(%2)"/>
      <w:numFmt w:val="lowerRoman"/>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3"/>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Roman"/>
      <w:start w:val="2"/>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2"/>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lowerLetter"/>
      <w:start w:val="5"/>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lowerLetter"/>
      <w:start w:val="1"/>
    </w:lvl>
    <w:lvl w:ilvl="1">
      <w:lvlJc w:val="left"/>
      <w:lvlText w:val="•"/>
      <w:numFmt w:val="bullet"/>
      <w:start w:val="1"/>
    </w:lvl>
  </w:abstractNum>
  <w:abstractNum w:abstractNumId="56">
    <w:nsid w:val="235BA861"/>
    <w:multiLevelType w:val="hybridMultilevel"/>
    <w:lvl w:ilvl="0">
      <w:lvlJc w:val="left"/>
      <w:lvlText w:val="(%1)"/>
      <w:numFmt w:val="lowerLetter"/>
      <w:start w:val="8"/>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2019-12-29T07:39:09Z</dcterms:created>
  <dcterms:modified xsi:type="dcterms:W3CDTF">2019-12-29T07:39:09Z</dcterms:modified>
</cp:coreProperties>
</file>