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107315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139065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2" w:lineRule="exact"/>
        <w:rPr>
          <w:sz w:val="24"/>
          <w:szCs w:val="24"/>
          <w:color w:val="auto"/>
        </w:rPr>
      </w:pPr>
    </w:p>
    <w:p>
      <w:pPr>
        <w:ind w:left="580" w:right="280" w:hanging="572"/>
        <w:spacing w:after="0" w:line="262" w:lineRule="auto"/>
        <w:tabs>
          <w:tab w:leader="none" w:pos="5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2010</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4"/>
          <w:szCs w:val="24"/>
          <w:color w:val="auto"/>
        </w:rPr>
      </w:pPr>
    </w:p>
    <w:p>
      <w:pPr>
        <w:ind w:left="580" w:right="280" w:hanging="572"/>
        <w:spacing w:after="0" w:line="262" w:lineRule="auto"/>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88"/>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001-32492</w:t>
            </w:r>
          </w:p>
        </w:tc>
      </w:tr>
      <w:tr>
        <w:trPr>
          <w:trHeight w:val="230"/>
        </w:trPr>
        <w:tc>
          <w:tcPr>
            <w:tcW w:w="2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2"/>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7"/>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113030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95" w:lineRule="exact"/>
        <w:rPr>
          <w:sz w:val="24"/>
          <w:szCs w:val="24"/>
          <w:color w:val="auto"/>
        </w:rPr>
      </w:pPr>
    </w:p>
    <w:tbl>
      <w:tblPr>
        <w:tblLayout w:type="fixed"/>
        <w:tblInd w:w="1620" w:type="dxa"/>
        <w:tblCellMar>
          <w:top w:w="0" w:type="dxa"/>
          <w:left w:w="0" w:type="dxa"/>
          <w:bottom w:w="0" w:type="dxa"/>
          <w:right w:w="0" w:type="dxa"/>
        </w:tblCellMar>
      </w:tblPr>
      <w:tr>
        <w:trPr>
          <w:trHeight w:val="534"/>
        </w:trPr>
        <w:tc>
          <w:tcPr>
            <w:tcW w:w="5960" w:type="dxa"/>
            <w:vAlign w:val="bottom"/>
            <w:gridSpan w:val="3"/>
          </w:tcPr>
          <w:p>
            <w:pPr>
              <w:jc w:val="center"/>
              <w:ind w:left="2123"/>
              <w:spacing w:after="0"/>
              <w:rPr>
                <w:sz w:val="20"/>
                <w:szCs w:val="20"/>
                <w:color w:val="auto"/>
              </w:rPr>
            </w:pPr>
            <w:r>
              <w:rPr>
                <w:rFonts w:ascii="Times New Roman" w:cs="Times New Roman" w:eastAsia="Times New Roman" w:hAnsi="Times New Roman"/>
                <w:sz w:val="43"/>
                <w:szCs w:val="43"/>
                <w:b w:val="1"/>
                <w:bCs w:val="1"/>
                <w:color w:val="auto"/>
                <w:w w:val="99"/>
              </w:rPr>
              <w:t>LAZARD LTD</w:t>
            </w:r>
          </w:p>
        </w:tc>
        <w:tc>
          <w:tcPr>
            <w:tcW w:w="2200" w:type="dxa"/>
            <w:vAlign w:val="bottom"/>
          </w:tcPr>
          <w:p>
            <w:pPr>
              <w:spacing w:after="0"/>
              <w:rPr>
                <w:sz w:val="24"/>
                <w:szCs w:val="24"/>
                <w:color w:val="auto"/>
              </w:rPr>
            </w:pPr>
          </w:p>
        </w:tc>
      </w:tr>
      <w:tr>
        <w:trPr>
          <w:trHeight w:val="178"/>
        </w:trPr>
        <w:tc>
          <w:tcPr>
            <w:tcW w:w="5960" w:type="dxa"/>
            <w:vAlign w:val="bottom"/>
            <w:gridSpan w:val="3"/>
          </w:tcPr>
          <w:p>
            <w:pPr>
              <w:jc w:val="center"/>
              <w:ind w:left="2123"/>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c>
          <w:tcPr>
            <w:tcW w:w="2200" w:type="dxa"/>
            <w:vAlign w:val="bottom"/>
          </w:tcPr>
          <w:p>
            <w:pPr>
              <w:spacing w:after="0"/>
              <w:rPr>
                <w:sz w:val="15"/>
                <w:szCs w:val="15"/>
                <w:color w:val="auto"/>
              </w:rPr>
            </w:pPr>
          </w:p>
        </w:tc>
      </w:tr>
      <w:tr>
        <w:trPr>
          <w:trHeight w:val="254"/>
        </w:trPr>
        <w:tc>
          <w:tcPr>
            <w:tcW w:w="5960" w:type="dxa"/>
            <w:vAlign w:val="bottom"/>
            <w:gridSpan w:val="3"/>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7"/>
              </w:rPr>
              <w:t>Bermuda</w:t>
            </w:r>
          </w:p>
        </w:tc>
        <w:tc>
          <w:tcPr>
            <w:tcW w:w="2200" w:type="dxa"/>
            <w:vAlign w:val="bottom"/>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 of Incorporation</w:t>
            </w:r>
          </w:p>
        </w:tc>
        <w:tc>
          <w:tcPr>
            <w:tcW w:w="2200" w:type="dxa"/>
            <w:vAlign w:val="bottom"/>
          </w:tcPr>
          <w:p>
            <w:pPr>
              <w:jc w:val="center"/>
              <w:ind w:left="42"/>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r>
      <w:tr>
        <w:trPr>
          <w:trHeight w:val="178"/>
        </w:trPr>
        <w:tc>
          <w:tcPr>
            <w:tcW w:w="5960" w:type="dxa"/>
            <w:vAlign w:val="bottom"/>
            <w:gridSpan w:val="3"/>
          </w:tcPr>
          <w:p>
            <w:pPr>
              <w:jc w:val="center"/>
              <w:ind w:right="3360"/>
              <w:spacing w:after="0"/>
              <w:rPr>
                <w:sz w:val="20"/>
                <w:szCs w:val="20"/>
                <w:color w:val="auto"/>
              </w:rPr>
            </w:pPr>
            <w:r>
              <w:rPr>
                <w:rFonts w:ascii="Times New Roman" w:cs="Times New Roman" w:eastAsia="Times New Roman" w:hAnsi="Times New Roman"/>
                <w:sz w:val="14"/>
                <w:szCs w:val="14"/>
                <w:b w:val="1"/>
                <w:bCs w:val="1"/>
                <w:color w:val="auto"/>
                <w:w w:val="95"/>
              </w:rPr>
              <w:t>or Organization)</w:t>
            </w:r>
          </w:p>
        </w:tc>
        <w:tc>
          <w:tcPr>
            <w:tcW w:w="2200" w:type="dxa"/>
            <w:vAlign w:val="bottom"/>
          </w:tcPr>
          <w:p>
            <w:pPr>
              <w:spacing w:after="0"/>
              <w:rPr>
                <w:sz w:val="15"/>
                <w:szCs w:val="15"/>
                <w:color w:val="auto"/>
              </w:rPr>
            </w:pPr>
          </w:p>
        </w:tc>
      </w:tr>
      <w:tr>
        <w:trPr>
          <w:trHeight w:val="163"/>
        </w:trPr>
        <w:tc>
          <w:tcPr>
            <w:tcW w:w="3040" w:type="dxa"/>
            <w:vAlign w:val="bottom"/>
          </w:tcPr>
          <w:p>
            <w:pPr>
              <w:spacing w:after="0"/>
              <w:rPr>
                <w:sz w:val="14"/>
                <w:szCs w:val="14"/>
                <w:color w:val="auto"/>
              </w:rPr>
            </w:pPr>
          </w:p>
        </w:tc>
        <w:tc>
          <w:tcPr>
            <w:tcW w:w="2100" w:type="dxa"/>
            <w:vAlign w:val="bottom"/>
            <w:tcBorders>
              <w:bottom w:val="single" w:sz="8" w:color="808080"/>
            </w:tcBorders>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369"/>
        </w:trPr>
        <w:tc>
          <w:tcPr>
            <w:tcW w:w="3040" w:type="dxa"/>
            <w:vAlign w:val="bottom"/>
          </w:tcPr>
          <w:p>
            <w:pPr>
              <w:spacing w:after="0"/>
              <w:rPr>
                <w:sz w:val="24"/>
                <w:szCs w:val="24"/>
                <w:color w:val="auto"/>
              </w:rPr>
            </w:pPr>
          </w:p>
        </w:tc>
        <w:tc>
          <w:tcPr>
            <w:tcW w:w="292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6"/>
              </w:rPr>
              <w:t>Clarendon House</w:t>
            </w:r>
          </w:p>
        </w:tc>
        <w:tc>
          <w:tcPr>
            <w:tcW w:w="220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292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7"/>
              </w:rPr>
              <w:t>2 Church Street</w:t>
            </w:r>
          </w:p>
        </w:tc>
        <w:tc>
          <w:tcPr>
            <w:tcW w:w="22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92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7"/>
              </w:rPr>
              <w:t>Hamilton HM11, Bermuda</w:t>
            </w:r>
          </w:p>
        </w:tc>
        <w:tc>
          <w:tcPr>
            <w:tcW w:w="2200" w:type="dxa"/>
            <w:vAlign w:val="bottom"/>
          </w:tcPr>
          <w:p>
            <w:pPr>
              <w:spacing w:after="0"/>
              <w:rPr>
                <w:sz w:val="18"/>
                <w:szCs w:val="18"/>
                <w:color w:val="auto"/>
              </w:rPr>
            </w:pPr>
          </w:p>
        </w:tc>
      </w:tr>
      <w:tr>
        <w:trPr>
          <w:trHeight w:val="230"/>
        </w:trPr>
        <w:tc>
          <w:tcPr>
            <w:tcW w:w="5960" w:type="dxa"/>
            <w:vAlign w:val="bottom"/>
            <w:gridSpan w:val="3"/>
          </w:tcPr>
          <w:p>
            <w:pPr>
              <w:jc w:val="center"/>
              <w:ind w:left="2123"/>
              <w:spacing w:after="0"/>
              <w:rPr>
                <w:sz w:val="20"/>
                <w:szCs w:val="20"/>
                <w:color w:val="auto"/>
              </w:rPr>
            </w:pPr>
            <w:r>
              <w:rPr>
                <w:rFonts w:ascii="Times New Roman" w:cs="Times New Roman" w:eastAsia="Times New Roman" w:hAnsi="Times New Roman"/>
                <w:sz w:val="18"/>
                <w:szCs w:val="18"/>
                <w:b w:val="1"/>
                <w:bCs w:val="1"/>
                <w:color w:val="auto"/>
                <w:w w:val="97"/>
              </w:rPr>
              <w:t>(Address of principal executive offices)</w:t>
            </w:r>
          </w:p>
        </w:tc>
        <w:tc>
          <w:tcPr>
            <w:tcW w:w="2200" w:type="dxa"/>
            <w:vAlign w:val="bottom"/>
          </w:tcPr>
          <w:p>
            <w:pPr>
              <w:spacing w:after="0"/>
              <w:rPr>
                <w:sz w:val="20"/>
                <w:szCs w:val="20"/>
                <w:color w:val="auto"/>
              </w:rPr>
            </w:pPr>
          </w:p>
        </w:tc>
      </w:tr>
      <w:tr>
        <w:trPr>
          <w:trHeight w:val="284"/>
        </w:trPr>
        <w:tc>
          <w:tcPr>
            <w:tcW w:w="5960" w:type="dxa"/>
            <w:vAlign w:val="bottom"/>
            <w:gridSpan w:val="3"/>
          </w:tcPr>
          <w:p>
            <w:pPr>
              <w:jc w:val="center"/>
              <w:ind w:left="2143"/>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(441) 295-1422</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113030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32" w:lineRule="exact"/>
        <w:rPr>
          <w:sz w:val="24"/>
          <w:szCs w:val="24"/>
          <w:color w:val="auto"/>
        </w:rPr>
      </w:pPr>
    </w:p>
    <w:p>
      <w:pPr>
        <w:ind w:right="1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00" w:firstLine="456"/>
        <w:spacing w:after="0" w:line="30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26" w:right="29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20" w:space="720"/>
            <w:col w:w="1920" w:space="80"/>
            <w:col w:w="3220"/>
          </w:cols>
          <w:pgMar w:left="240" w:top="226" w:right="299" w:bottom="1440" w:gutter="0" w:footer="0" w:header="0"/>
          <w:type w:val="continuous"/>
        </w:sectPr>
      </w:pPr>
    </w:p>
    <w:p>
      <w:pPr>
        <w:ind w:left="460"/>
        <w:spacing w:after="0" w:line="207" w:lineRule="exact"/>
        <w:tabs>
          <w:tab w:leader="none" w:pos="8640" w:val="left"/>
          <w:tab w:leader="none" w:pos="93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03" w:lineRule="exact"/>
        <w:rPr>
          <w:sz w:val="24"/>
          <w:szCs w:val="24"/>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As of October 25, 2010, there were 116,604,467 shares of the Registrant’s Class A common stock (including 5,679,587 shares held by a subsidiary) and one share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8"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operating assets other than indirect ownership as of September 30, 2010 of approximately 91.5% of the common membership interests in Lazard Group and its controlling interest in Lazard Group.</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95"/>
        </w:trPr>
        <w:tc>
          <w:tcPr>
            <w:tcW w:w="111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1140" w:type="dxa"/>
            <w:vAlign w:val="bottom"/>
            <w:gridSpan w:val="14"/>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Item 2. Management’s Discussion and Analysis of Financial Condition and Results of Operations</w:t>
              </w:r>
            </w:hyperlink>
          </w:p>
        </w:tc>
        <w:tc>
          <w:tcPr>
            <w:tcW w:w="3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77">
              <w:r>
                <w:rPr>
                  <w:rFonts w:ascii="Times New Roman" w:cs="Times New Roman" w:eastAsia="Times New Roman" w:hAnsi="Times New Roman"/>
                  <w:sz w:val="18"/>
                  <w:szCs w:val="18"/>
                  <w:color w:val="0000EE"/>
                  <w:w w:val="97"/>
                </w:rPr>
                <w:t>Item 3. Quantitative and Qualitative Disclosures About Market Risk</w:t>
              </w:r>
            </w:hyperlink>
          </w:p>
        </w:tc>
        <w:tc>
          <w:tcPr>
            <w:tcW w:w="59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Item 4. Controls and Procedures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1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Item 1. Legal Proceedings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78">
              <w:r>
                <w:rPr>
                  <w:rFonts w:ascii="Times New Roman" w:cs="Times New Roman" w:eastAsia="Times New Roman" w:hAnsi="Times New Roman"/>
                  <w:sz w:val="18"/>
                  <w:szCs w:val="18"/>
                  <w:color w:val="0000EE"/>
                  <w:w w:val="96"/>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8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Item 3. Defaults Upon Senior Securities</w:t>
              </w:r>
            </w:hyperlink>
          </w:p>
        </w:tc>
        <w:tc>
          <w:tcPr>
            <w:tcW w:w="59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Item 4. [Removed and Reserved]</w:t>
              </w:r>
            </w:hyperlink>
          </w:p>
        </w:tc>
        <w:tc>
          <w:tcPr>
            <w:tcW w:w="79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3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Item 5. Other Information</w:t>
              </w:r>
            </w:hyperlink>
          </w:p>
        </w:tc>
        <w:tc>
          <w:tcPr>
            <w:tcW w:w="83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Item 6. Exhibits</w:t>
              </w:r>
            </w:hyperlink>
          </w:p>
        </w:tc>
        <w:tc>
          <w:tcPr>
            <w:tcW w:w="88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5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140" w:type="dxa"/>
            <w:vAlign w:val="bottom"/>
            <w:gridSpan w:val="14"/>
          </w:tcPr>
          <w:p>
            <w:pPr>
              <w:spacing w:after="0"/>
              <w:rPr>
                <w:rFonts w:ascii="Times New Roman" w:cs="Times New Roman" w:eastAsia="Times New Roman" w:hAnsi="Times New Roman"/>
                <w:sz w:val="18"/>
                <w:szCs w:val="18"/>
                <w:b w:val="1"/>
                <w:bCs w:val="1"/>
                <w:color w:val="0000EE"/>
              </w:rPr>
            </w:pPr>
            <w:hyperlink w:anchor="page85">
              <w:r>
                <w:rPr>
                  <w:rFonts w:ascii="Times New Roman" w:cs="Times New Roman" w:eastAsia="Times New Roman" w:hAnsi="Times New Roman"/>
                  <w:sz w:val="18"/>
                  <w:szCs w:val="18"/>
                  <w:b w:val="1"/>
                  <w:bCs w:val="1"/>
                  <w:color w:val="0000EE"/>
                </w:rPr>
                <w:t>Signatures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6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PART I. FINANCIAL INFORMATION</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036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7800" w:type="dxa"/>
            <w:vAlign w:val="bottom"/>
            <w:gridSpan w:val="3"/>
            <w:vMerge w:val="restart"/>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Condensed Consolidated Statements of Financial Condition as of September 30, 2010 and December 31, 2009</w:t>
              </w:r>
            </w:hyperlink>
          </w:p>
        </w:tc>
        <w:tc>
          <w:tcPr>
            <w:tcW w:w="2900" w:type="dxa"/>
            <w:vAlign w:val="bottom"/>
            <w:gridSpan w:val="4"/>
            <w:vMerge w:val="restart"/>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4"/>
                <w:szCs w:val="14"/>
                <w:color w:val="auto"/>
              </w:rPr>
            </w:pPr>
          </w:p>
        </w:tc>
        <w:tc>
          <w:tcPr>
            <w:tcW w:w="7800" w:type="dxa"/>
            <w:vAlign w:val="bottom"/>
            <w:tcBorders>
              <w:bottom w:val="single" w:sz="8" w:color="0000EE"/>
            </w:tcBorders>
            <w:gridSpan w:val="3"/>
            <w:vMerge w:val="continue"/>
          </w:tcPr>
          <w:p>
            <w:pPr>
              <w:spacing w:after="0"/>
              <w:rPr>
                <w:sz w:val="14"/>
                <w:szCs w:val="14"/>
                <w:color w:val="auto"/>
              </w:rPr>
            </w:pPr>
          </w:p>
        </w:tc>
        <w:tc>
          <w:tcPr>
            <w:tcW w:w="2900" w:type="dxa"/>
            <w:vAlign w:val="bottom"/>
            <w:gridSpan w:val="4"/>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93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Condensed Consolidated Statements of Operations for the three month and nine month periods ended September 30, 2010 and 2009</w:t>
              </w:r>
            </w:hyperlink>
          </w:p>
        </w:tc>
        <w:tc>
          <w:tcPr>
            <w:tcW w:w="138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81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Condensed Consolidated Statements of Cash Flows for the nine month periods ended September 30, 2010 and 2009</w:t>
              </w:r>
            </w:hyperlink>
          </w:p>
        </w:tc>
        <w:tc>
          <w:tcPr>
            <w:tcW w:w="256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96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Condensed Consolidated Statements of Changes in Stockholders’ Equity for the nine month periods ended September 30, 2010 and 2009</w:t>
              </w:r>
            </w:hyperlink>
          </w:p>
        </w:tc>
        <w:tc>
          <w:tcPr>
            <w:tcW w:w="10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9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Notes to Condensed Consolidated Financial Statements</w:t>
              </w:r>
            </w:hyperlink>
          </w:p>
        </w:tc>
        <w:tc>
          <w:tcPr>
            <w:tcW w:w="680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60" w:type="dxa"/>
            <w:vAlign w:val="bottom"/>
            <w:gridSpan w:val="2"/>
          </w:tcPr>
          <w:p>
            <w:pPr>
              <w:jc w:val="right"/>
              <w:ind w:right="248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2010 AND 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3"/>
                <w:szCs w:val="13"/>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847,431</w:t>
            </w:r>
          </w:p>
        </w:tc>
        <w:tc>
          <w:tcPr>
            <w:tcW w:w="58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917,329</w:t>
            </w:r>
          </w:p>
        </w:tc>
        <w:tc>
          <w:tcPr>
            <w:tcW w:w="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deposited with clearing organizations and other segregated cash</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24,449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20,217</w:t>
            </w:r>
          </w:p>
        </w:tc>
        <w:tc>
          <w:tcPr>
            <w:tcW w:w="20" w:type="dxa"/>
            <w:vAlign w:val="bottom"/>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Receivables-net: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Fees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463,718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437,532</w:t>
            </w:r>
          </w:p>
        </w:tc>
        <w:tc>
          <w:tcPr>
            <w:tcW w:w="20" w:type="dxa"/>
            <w:vAlign w:val="bottom"/>
          </w:tcPr>
          <w:p>
            <w:pPr>
              <w:spacing w:after="0"/>
              <w:rPr>
                <w:sz w:val="18"/>
                <w:szCs w:val="18"/>
                <w:color w:val="auto"/>
              </w:rPr>
            </w:pPr>
          </w:p>
        </w:tc>
      </w:tr>
      <w:tr>
        <w:trPr>
          <w:trHeight w:val="216"/>
        </w:trPr>
        <w:tc>
          <w:tcPr>
            <w:tcW w:w="9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Banks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179,112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143,778</w:t>
            </w:r>
          </w:p>
        </w:tc>
        <w:tc>
          <w:tcPr>
            <w:tcW w:w="2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Customers and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137,818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73,750</w:t>
            </w:r>
          </w:p>
        </w:tc>
        <w:tc>
          <w:tcPr>
            <w:tcW w:w="20" w:type="dxa"/>
            <w:vAlign w:val="bottom"/>
          </w:tcPr>
          <w:p>
            <w:pPr>
              <w:spacing w:after="0"/>
              <w:rPr>
                <w:sz w:val="18"/>
                <w:szCs w:val="18"/>
                <w:color w:val="auto"/>
              </w:rPr>
            </w:pPr>
          </w:p>
        </w:tc>
      </w:tr>
      <w:tr>
        <w:trPr>
          <w:trHeight w:val="223"/>
        </w:trPr>
        <w:tc>
          <w:tcPr>
            <w:tcW w:w="9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Related parties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w:t>
            </w:r>
          </w:p>
        </w:tc>
        <w:tc>
          <w:tcPr>
            <w:tcW w:w="2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787,477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669,475</w:t>
            </w:r>
          </w:p>
        </w:tc>
        <w:tc>
          <w:tcPr>
            <w:tcW w:w="20" w:type="dxa"/>
            <w:vAlign w:val="bottom"/>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9120" w:type="dxa"/>
            <w:vAlign w:val="bottom"/>
          </w:tcPr>
          <w:p>
            <w:pPr>
              <w:ind w:left="880"/>
              <w:spacing w:after="0" w:line="201" w:lineRule="exact"/>
              <w:rPr>
                <w:sz w:val="20"/>
                <w:szCs w:val="20"/>
                <w:color w:val="auto"/>
              </w:rPr>
            </w:pPr>
            <w:r>
              <w:rPr>
                <w:rFonts w:ascii="Times New Roman" w:cs="Times New Roman" w:eastAsia="Times New Roman" w:hAnsi="Times New Roman"/>
                <w:sz w:val="18"/>
                <w:szCs w:val="18"/>
                <w:color w:val="auto"/>
              </w:rPr>
              <w:t>U.S. Government and agencies (includes $126,547 and $126,413 of securities at amortized cost at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9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September 30, 2010 and December 31, 2009, respectively)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148,177</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147,507</w:t>
            </w:r>
          </w:p>
        </w:tc>
      </w:tr>
      <w:tr>
        <w:trPr>
          <w:trHeight w:val="203"/>
        </w:trPr>
        <w:tc>
          <w:tcPr>
            <w:tcW w:w="9120" w:type="dxa"/>
            <w:vAlign w:val="bottom"/>
            <w:shd w:val="clear" w:color="auto" w:fill="CCEEFF"/>
          </w:tcPr>
          <w:p>
            <w:pPr>
              <w:ind w:left="880"/>
              <w:spacing w:after="0" w:line="203" w:lineRule="exact"/>
              <w:rPr>
                <w:sz w:val="20"/>
                <w:szCs w:val="20"/>
                <w:color w:val="auto"/>
              </w:rPr>
            </w:pPr>
            <w:r>
              <w:rPr>
                <w:rFonts w:ascii="Times New Roman" w:cs="Times New Roman" w:eastAsia="Times New Roman" w:hAnsi="Times New Roman"/>
                <w:sz w:val="18"/>
                <w:szCs w:val="18"/>
                <w:color w:val="auto"/>
              </w:rPr>
              <w:t>Other (includes $10,135 and $10,217 of securities at amortized cost at September 30, 2010 and December 31,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91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2009,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264,490</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313,342</w:t>
            </w:r>
          </w:p>
        </w:tc>
        <w:tc>
          <w:tcPr>
            <w:tcW w:w="20" w:type="dxa"/>
            <w:vAlign w:val="bottom"/>
          </w:tcPr>
          <w:p>
            <w:pPr>
              <w:spacing w:after="0"/>
              <w:rPr>
                <w:sz w:val="20"/>
                <w:szCs w:val="20"/>
                <w:color w:val="auto"/>
              </w:rPr>
            </w:pPr>
          </w:p>
        </w:tc>
      </w:tr>
      <w:tr>
        <w:trPr>
          <w:trHeight w:val="216"/>
        </w:trPr>
        <w:tc>
          <w:tcPr>
            <w:tcW w:w="9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85,215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82,442</w:t>
            </w:r>
          </w:p>
        </w:tc>
        <w:tc>
          <w:tcPr>
            <w:tcW w:w="2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214,401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264,402</w:t>
            </w:r>
          </w:p>
        </w:tc>
        <w:tc>
          <w:tcPr>
            <w:tcW w:w="20" w:type="dxa"/>
            <w:vAlign w:val="bottom"/>
          </w:tcPr>
          <w:p>
            <w:pPr>
              <w:spacing w:after="0"/>
              <w:rPr>
                <w:sz w:val="18"/>
                <w:szCs w:val="18"/>
                <w:color w:val="auto"/>
              </w:rPr>
            </w:pPr>
          </w:p>
        </w:tc>
      </w:tr>
      <w:tr>
        <w:trPr>
          <w:trHeight w:val="222"/>
        </w:trPr>
        <w:tc>
          <w:tcPr>
            <w:tcW w:w="9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712,283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807,693</w:t>
            </w:r>
          </w:p>
        </w:tc>
        <w:tc>
          <w:tcPr>
            <w:tcW w:w="20" w:type="dxa"/>
            <w:vAlign w:val="bottom"/>
          </w:tcPr>
          <w:p>
            <w:pPr>
              <w:spacing w:after="0"/>
              <w:rPr>
                <w:sz w:val="19"/>
                <w:szCs w:val="19"/>
                <w:color w:val="auto"/>
              </w:rPr>
            </w:pPr>
          </w:p>
        </w:tc>
      </w:tr>
      <w:tr>
        <w:trPr>
          <w:trHeight w:val="203"/>
        </w:trPr>
        <w:tc>
          <w:tcPr>
            <w:tcW w:w="9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Property (net of accumulated amortization and depreciation of $248,690 and $239,603 at September 30, 2010 and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2009,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154,177</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166,913</w:t>
            </w:r>
          </w:p>
        </w:tc>
        <w:tc>
          <w:tcPr>
            <w:tcW w:w="20" w:type="dxa"/>
            <w:vAlign w:val="bottom"/>
          </w:tcPr>
          <w:p>
            <w:pPr>
              <w:spacing w:after="0"/>
              <w:rPr>
                <w:sz w:val="20"/>
                <w:szCs w:val="20"/>
                <w:color w:val="auto"/>
              </w:rPr>
            </w:pPr>
          </w:p>
        </w:tc>
      </w:tr>
      <w:tr>
        <w:trPr>
          <w:trHeight w:val="202"/>
        </w:trPr>
        <w:tc>
          <w:tcPr>
            <w:tcW w:w="91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Goodwill and other intangible assets (net of accumulated amortization of $12,398 and $7,140 at September 30, 2010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2009, respectively)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318,541</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317,780</w:t>
            </w:r>
          </w:p>
        </w:tc>
      </w:tr>
      <w:tr>
        <w:trPr>
          <w:trHeight w:val="218"/>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279,340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248,355</w:t>
            </w:r>
          </w:p>
        </w:tc>
        <w:tc>
          <w:tcPr>
            <w:tcW w:w="20" w:type="dxa"/>
            <w:vAlign w:val="bottom"/>
          </w:tcPr>
          <w:p>
            <w:pPr>
              <w:spacing w:after="0"/>
              <w:rPr>
                <w:sz w:val="18"/>
                <w:szCs w:val="18"/>
                <w:color w:val="auto"/>
              </w:rPr>
            </w:pPr>
          </w:p>
        </w:tc>
      </w:tr>
      <w:tr>
        <w:trPr>
          <w:trHeight w:val="223"/>
        </w:trPr>
        <w:tc>
          <w:tcPr>
            <w:tcW w:w="9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3,123,698</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3,147,762</w:t>
            </w:r>
          </w:p>
        </w:tc>
        <w:tc>
          <w:tcPr>
            <w:tcW w:w="2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2010 AND DECEMBER 31,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2010</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Deposits and other customer payables</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408,768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320,663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Senior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1,076,850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1,086,850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Related party payables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509,110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Subordinated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2,487,704</w:t>
            </w:r>
          </w:p>
        </w:tc>
        <w:tc>
          <w:tcPr>
            <w:tcW w:w="4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2,624,665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Preferred stock, par value $.01 per share; 15,000,000 shares authorized: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shd w:val="clear" w:color="auto" w:fill="CCEEFF"/>
          </w:tcPr>
          <w:p>
            <w:pPr>
              <w:ind w:left="860"/>
              <w:spacing w:after="0" w:line="201" w:lineRule="exact"/>
              <w:rPr>
                <w:sz w:val="20"/>
                <w:szCs w:val="20"/>
                <w:color w:val="auto"/>
              </w:rPr>
            </w:pPr>
            <w:r>
              <w:rPr>
                <w:rFonts w:ascii="Times New Roman" w:cs="Times New Roman" w:eastAsia="Times New Roman" w:hAnsi="Times New Roman"/>
                <w:sz w:val="18"/>
                <w:szCs w:val="18"/>
                <w:color w:val="auto"/>
              </w:rPr>
              <w:t>Series A - 22,021 and 26,883 shares issued and outstanding at September 30, 2010 and December 31, 2009,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Series B - no shares issued and outstanding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ind w:left="860"/>
              <w:spacing w:after="0" w:line="201" w:lineRule="exact"/>
              <w:rPr>
                <w:sz w:val="20"/>
                <w:szCs w:val="20"/>
                <w:color w:val="auto"/>
              </w:rPr>
            </w:pPr>
            <w:r>
              <w:rPr>
                <w:rFonts w:ascii="Times New Roman" w:cs="Times New Roman" w:eastAsia="Times New Roman" w:hAnsi="Times New Roman"/>
                <w:sz w:val="18"/>
                <w:szCs w:val="18"/>
                <w:color w:val="auto"/>
              </w:rPr>
              <w:t>Class A, par value $.01 per share (500,000,000 shares authorized; 116,604,467 and 92,165,912 shares issued at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30, 2010 and December 31, 2009, respectively, including shares held by a subsidiary as indicated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2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below)</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ind w:left="860"/>
              <w:spacing w:after="0" w:line="203" w:lineRule="exact"/>
              <w:rPr>
                <w:sz w:val="20"/>
                <w:szCs w:val="20"/>
                <w:color w:val="auto"/>
              </w:rPr>
            </w:pPr>
            <w:r>
              <w:rPr>
                <w:rFonts w:ascii="Times New Roman" w:cs="Times New Roman" w:eastAsia="Times New Roman" w:hAnsi="Times New Roman"/>
                <w:sz w:val="18"/>
                <w:szCs w:val="18"/>
                <w:color w:val="auto"/>
              </w:rPr>
              <w:t>Class B, par value $.01 per share (1 share authorized, issued and outstanding at September 30, 2010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December 31, 2009)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666,705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 (loss), net of tax</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(70,519)</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680,700</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Class A common stock held by a subsidiary, at cost (5,865,580 and 5,850,775 shares at September 30, 2010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December 31, 2009, respectively)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(192,129)</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Lazard Ltd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488,571</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147,423</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635,994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3,123,698</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3,147,762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AND NINE MONTH PERIODS ENDED SEPTEMBER 30, 2010 AND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 banking and other advisory fees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245,294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252,538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759,785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Money management fees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202,662</w:t>
            </w: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149,102</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560,664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5,430</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8,642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16,037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27,992</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47,785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477,310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438,274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1,384,271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26,559</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73,788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revenue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453,237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411,715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1,310,483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1,035,735</w:t>
            </w: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282,528</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250,914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845,926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Occupancy and equipment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22,414</w:t>
            </w: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23,690</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65,004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17,503</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14,070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51,358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Technology and information services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18,904</w:t>
            </w: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17,592</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53,552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Professional services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10,731</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11,823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29,716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Fund administration and outsourced services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12,037</w:t>
            </w: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10,272</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34,407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1,719</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Restructuring</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87,108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7,934</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26,117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373,770</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338,550</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1,198,446</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79,467</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73,165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112,037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19,968</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29,049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53,197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82,988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10,030</w:t>
            </w:r>
          </w:p>
        </w:tc>
        <w:tc>
          <w:tcPr>
            <w:tcW w:w="0" w:type="dxa"/>
            <w:vAlign w:val="bottom"/>
          </w:tcPr>
          <w:p>
            <w:pPr>
              <w:spacing w:after="0"/>
              <w:rPr>
                <w:sz w:val="1"/>
                <w:szCs w:val="1"/>
                <w:color w:val="auto"/>
              </w:rPr>
            </w:pPr>
          </w:p>
        </w:tc>
      </w:tr>
      <w:tr>
        <w:trPr>
          <w:trHeight w:val="308"/>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LESS - NET INCOME (LOSS) ATTRIBUTABLE TO</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15,779</w:t>
            </w:r>
          </w:p>
        </w:tc>
        <w:tc>
          <w:tcPr>
            <w:tcW w:w="10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7,859</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LAZARD LTD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37,418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75,129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12,109</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ATTRIBUTABLE TO LAZARD LTD CLASS A COMMON</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5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WEIGHTED AVERAGE SHARES OF COMMON STOCK</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111,059,071</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80,756,718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101,440,741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75,278,905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5"/>
              </w:rPr>
              <w:t>138,094,101</w:t>
            </w:r>
          </w:p>
        </w:tc>
        <w:tc>
          <w:tcPr>
            <w:tcW w:w="8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5"/>
              </w:rPr>
              <w:t>131,468,085</w:t>
            </w:r>
          </w:p>
        </w:tc>
        <w:tc>
          <w:tcPr>
            <w:tcW w:w="10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5"/>
              </w:rPr>
              <w:t>135,554,131</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75,278,905</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DIVIDENDS DECLARED PER SHARE OF COMMON STOCK</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$0.125</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$0.125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$0.375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 PERIODS ENDED SEPTEMBER 30, 2010 AND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6"/>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5"/>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82,988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10,030</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Noncash items included in net income: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 of property</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16,131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16,781</w:t>
            </w:r>
          </w:p>
        </w:tc>
      </w:tr>
      <w:tr>
        <w:trPr>
          <w:trHeight w:val="216"/>
        </w:trPr>
        <w:tc>
          <w:tcPr>
            <w:tcW w:w="20" w:type="dxa"/>
            <w:vAlign w:val="bottom"/>
          </w:tcPr>
          <w:p>
            <w:pPr>
              <w:spacing w:after="0"/>
              <w:rPr>
                <w:sz w:val="18"/>
                <w:szCs w:val="18"/>
                <w:color w:val="auto"/>
              </w:rPr>
            </w:pPr>
          </w:p>
        </w:tc>
        <w:tc>
          <w:tcPr>
            <w:tcW w:w="8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Amortization of deferred expenses, share-based incentive compensation and interest rate hedge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257,840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224,797</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5,258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2,720</w:t>
            </w:r>
          </w:p>
        </w:tc>
      </w:tr>
      <w:tr>
        <w:trPr>
          <w:trHeight w:val="216"/>
        </w:trPr>
        <w:tc>
          <w:tcPr>
            <w:tcW w:w="20" w:type="dxa"/>
            <w:vAlign w:val="bottom"/>
          </w:tcPr>
          <w:p>
            <w:pPr>
              <w:spacing w:after="0"/>
              <w:rPr>
                <w:sz w:val="18"/>
                <w:szCs w:val="18"/>
                <w:color w:val="auto"/>
              </w:rPr>
            </w:pPr>
          </w:p>
        </w:tc>
        <w:tc>
          <w:tcPr>
            <w:tcW w:w="8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decrease in operating assets: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Cash deposited with clearing organizations and other segregated cash</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(4,824)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(4,267)</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Receivables - net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6"/>
              </w:rPr>
              <w:t>(129,364)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196,158</w:t>
            </w:r>
          </w:p>
        </w:tc>
      </w:tr>
      <w:tr>
        <w:trPr>
          <w:trHeight w:val="216"/>
        </w:trPr>
        <w:tc>
          <w:tcPr>
            <w:tcW w:w="20" w:type="dxa"/>
            <w:vAlign w:val="bottom"/>
          </w:tcPr>
          <w:p>
            <w:pPr>
              <w:spacing w:after="0"/>
              <w:rPr>
                <w:sz w:val="18"/>
                <w:szCs w:val="18"/>
                <w:color w:val="auto"/>
              </w:rPr>
            </w:pPr>
          </w:p>
        </w:tc>
        <w:tc>
          <w:tcPr>
            <w:tcW w:w="8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Investments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(38,902)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(40,830)</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(35,174)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13,508</w:t>
            </w: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Deposits and other payables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83,741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(280,858)</w:t>
            </w:r>
          </w:p>
        </w:tc>
      </w:tr>
      <w:tr>
        <w:trPr>
          <w:trHeight w:val="237"/>
        </w:trPr>
        <w:tc>
          <w:tcPr>
            <w:tcW w:w="20" w:type="dxa"/>
            <w:vAlign w:val="bottom"/>
          </w:tcPr>
          <w:p>
            <w:pPr>
              <w:spacing w:after="0"/>
              <w:rPr>
                <w:sz w:val="20"/>
                <w:szCs w:val="20"/>
                <w:color w:val="auto"/>
              </w:rPr>
            </w:pPr>
          </w:p>
        </w:tc>
        <w:tc>
          <w:tcPr>
            <w:tcW w:w="8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Accrued compensation and benefits and other liabilities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w w:val="96"/>
              </w:rPr>
              <w:t>(191,480)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(9,886)</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127,895</w:t>
            </w:r>
          </w:p>
        </w:tc>
        <w:tc>
          <w:tcPr>
            <w:tcW w:w="100" w:type="dxa"/>
            <w:vAlign w:val="bottom"/>
            <w:shd w:val="clear" w:color="auto" w:fill="CCEEFF"/>
          </w:tcPr>
          <w:p>
            <w:pPr>
              <w:spacing w:after="0"/>
              <w:rPr>
                <w:sz w:val="18"/>
                <w:szCs w:val="18"/>
                <w:color w:val="auto"/>
              </w:rPr>
            </w:pPr>
          </w:p>
        </w:tc>
      </w:tr>
      <w:tr>
        <w:trPr>
          <w:trHeight w:val="222"/>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Acquisition of businesses, net of cash acquired of $23,280, and equity method investments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Disposition of and distributions from equity method investments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51,437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Additions to property</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(10,073)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w:t>
            </w: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Disposals of property</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Purchases of held-to-maturity securities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(135,950)</w:t>
            </w: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(3,399)</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71,579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54,467</w:t>
            </w:r>
          </w:p>
        </w:tc>
      </w:tr>
      <w:tr>
        <w:trPr>
          <w:trHeight w:val="230"/>
        </w:trPr>
        <w:tc>
          <w:tcPr>
            <w:tcW w:w="20" w:type="dxa"/>
            <w:vAlign w:val="bottom"/>
          </w:tcPr>
          <w:p>
            <w:pPr>
              <w:spacing w:after="0"/>
              <w:rPr>
                <w:sz w:val="20"/>
                <w:szCs w:val="20"/>
                <w:color w:val="auto"/>
              </w:rPr>
            </w:pPr>
          </w:p>
        </w:tc>
        <w:tc>
          <w:tcPr>
            <w:tcW w:w="8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(115,065)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3,005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1,474</w:t>
            </w:r>
          </w:p>
        </w:tc>
      </w:tr>
      <w:tr>
        <w:trPr>
          <w:trHeight w:val="216"/>
        </w:trPr>
        <w:tc>
          <w:tcPr>
            <w:tcW w:w="20" w:type="dxa"/>
            <w:vAlign w:val="bottom"/>
          </w:tcPr>
          <w:p>
            <w:pPr>
              <w:spacing w:after="0"/>
              <w:rPr>
                <w:sz w:val="18"/>
                <w:szCs w:val="18"/>
                <w:color w:val="auto"/>
              </w:rPr>
            </w:pPr>
          </w:p>
        </w:tc>
        <w:tc>
          <w:tcPr>
            <w:tcW w:w="8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6,638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for: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Senior borrowings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(10,375)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(1,626)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16"/>
        </w:trPr>
        <w:tc>
          <w:tcPr>
            <w:tcW w:w="20" w:type="dxa"/>
            <w:vAlign w:val="bottom"/>
          </w:tcPr>
          <w:p>
            <w:pPr>
              <w:spacing w:after="0"/>
              <w:rPr>
                <w:sz w:val="18"/>
                <w:szCs w:val="18"/>
                <w:color w:val="auto"/>
              </w:rPr>
            </w:pPr>
          </w:p>
        </w:tc>
        <w:tc>
          <w:tcPr>
            <w:tcW w:w="8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(20,315)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(47,507)</w:t>
            </w: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Repurchase of common membership interests from members of LAZ-MD Holdings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(5,072)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w:t>
            </w:r>
          </w:p>
        </w:tc>
      </w:tr>
      <w:tr>
        <w:trPr>
          <w:trHeight w:val="216"/>
        </w:trPr>
        <w:tc>
          <w:tcPr>
            <w:tcW w:w="20" w:type="dxa"/>
            <w:vAlign w:val="bottom"/>
          </w:tcPr>
          <w:p>
            <w:pPr>
              <w:spacing w:after="0"/>
              <w:rPr>
                <w:sz w:val="18"/>
                <w:szCs w:val="18"/>
                <w:color w:val="auto"/>
              </w:rPr>
            </w:pPr>
          </w:p>
        </w:tc>
        <w:tc>
          <w:tcPr>
            <w:tcW w:w="8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Purchase of Class A common stock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w w:val="96"/>
              </w:rPr>
              <w:t>(106,316)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(50,479)</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Class A common stock dividends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(36,714)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(23,216)</w:t>
            </w:r>
          </w:p>
        </w:tc>
      </w:tr>
      <w:tr>
        <w:trPr>
          <w:trHeight w:val="216"/>
        </w:trPr>
        <w:tc>
          <w:tcPr>
            <w:tcW w:w="20" w:type="dxa"/>
            <w:vAlign w:val="bottom"/>
          </w:tcPr>
          <w:p>
            <w:pPr>
              <w:spacing w:after="0"/>
              <w:rPr>
                <w:sz w:val="18"/>
                <w:szCs w:val="18"/>
                <w:color w:val="auto"/>
              </w:rPr>
            </w:pPr>
          </w:p>
        </w:tc>
        <w:tc>
          <w:tcPr>
            <w:tcW w:w="8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Settlement of vested share-based incentive compensation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(54,947)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(12,291)</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20" w:type="dxa"/>
            <w:vAlign w:val="bottom"/>
          </w:tcPr>
          <w:p>
            <w:pPr>
              <w:spacing w:after="0"/>
              <w:rPr>
                <w:sz w:val="20"/>
                <w:szCs w:val="20"/>
                <w:color w:val="auto"/>
              </w:rPr>
            </w:pPr>
          </w:p>
        </w:tc>
        <w:tc>
          <w:tcPr>
            <w:tcW w:w="8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(225,775</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(147,994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(4,005)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20,531</w:t>
            </w:r>
          </w:p>
        </w:tc>
      </w:tr>
      <w:tr>
        <w:trPr>
          <w:trHeight w:val="222"/>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(114,633)</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January 1</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917,329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909,707</w:t>
            </w: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September 30</w:t>
            </w: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847,431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795,074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investing non-cash transaction: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A common stock issued/issuable in connection with business acquisitions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4,390</w:t>
            </w: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 PERIOD ENDED SEPTEMBER 30, 2010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8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Series A</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60" w:type="dxa"/>
            <w:vAlign w:val="bottom"/>
            <w:gridSpan w:val="4"/>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42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800" w:type="dxa"/>
            <w:vAlign w:val="bottom"/>
            <w:gridSpan w:val="4"/>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60" w:type="dxa"/>
            <w:vAlign w:val="bottom"/>
            <w:gridSpan w:val="4"/>
            <w:vMerge w:val="restart"/>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42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800" w:type="dxa"/>
            <w:vAlign w:val="bottom"/>
            <w:gridSpan w:val="4"/>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4"/>
                <w:szCs w:val="4"/>
                <w:color w:val="auto"/>
              </w:rPr>
            </w:pPr>
          </w:p>
        </w:tc>
        <w:tc>
          <w:tcPr>
            <w:tcW w:w="1220" w:type="dxa"/>
            <w:vAlign w:val="bottom"/>
            <w:gridSpan w:val="3"/>
            <w:vMerge w:val="restart"/>
          </w:tcPr>
          <w:p>
            <w:pPr>
              <w:jc w:val="right"/>
              <w:ind w:right="92"/>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320" w:type="dxa"/>
            <w:vAlign w:val="bottom"/>
            <w:gridSpan w:val="3"/>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5"/>
              </w:rPr>
              <w:t>Held by a Subsidiary</w:t>
            </w: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800" w:type="dxa"/>
            <w:vAlign w:val="bottom"/>
            <w:tcBorders>
              <w:bottom w:val="single" w:sz="8" w:color="auto"/>
            </w:tcBorders>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6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1"/>
                <w:szCs w:val="11"/>
                <w:color w:val="auto"/>
              </w:rPr>
            </w:pPr>
          </w:p>
        </w:tc>
        <w:tc>
          <w:tcPr>
            <w:tcW w:w="1040" w:type="dxa"/>
            <w:vAlign w:val="bottom"/>
            <w:gridSpan w:val="3"/>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97"/>
              </w:rPr>
              <w:t>Income (Loss),</w:t>
            </w:r>
          </w:p>
        </w:tc>
        <w:tc>
          <w:tcPr>
            <w:tcW w:w="1320" w:type="dxa"/>
            <w:vAlign w:val="bottom"/>
            <w:tcBorders>
              <w:bottom w:val="single" w:sz="8" w:color="auto"/>
            </w:tcBorders>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4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24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40" w:type="dxa"/>
            <w:vAlign w:val="bottom"/>
            <w:gridSpan w:val="2"/>
          </w:tcPr>
          <w:p>
            <w:pPr>
              <w:spacing w:after="0"/>
              <w:rPr>
                <w:sz w:val="14"/>
                <w:szCs w:val="14"/>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120" w:type="dxa"/>
            <w:vAlign w:val="bottom"/>
          </w:tcPr>
          <w:p>
            <w:pPr>
              <w:spacing w:after="0"/>
              <w:rPr>
                <w:sz w:val="14"/>
                <w:szCs w:val="14"/>
                <w:color w:val="auto"/>
              </w:rPr>
            </w:pP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2"/>
              </w:rPr>
              <w:t>Net of Tax</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January 1, 2010</w:t>
            </w:r>
          </w:p>
        </w:tc>
        <w:tc>
          <w:tcPr>
            <w:tcW w:w="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26,883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1"/>
              </w:rPr>
              <w:t>$ –</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92,165,913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922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549,931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52,726</w:t>
            </w:r>
          </w:p>
        </w:tc>
        <w:tc>
          <w:tcPr>
            <w:tcW w:w="1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(57,048)</w:t>
            </w:r>
          </w:p>
        </w:tc>
        <w:tc>
          <w:tcPr>
            <w:tcW w:w="7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5,850,775</w:t>
            </w:r>
          </w:p>
        </w:tc>
        <w:tc>
          <w:tcPr>
            <w:tcW w:w="700" w:type="dxa"/>
            <w:vAlign w:val="bottom"/>
            <w:gridSpan w:val="2"/>
            <w:shd w:val="clear" w:color="auto" w:fill="CCEEFF"/>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w w:val="93"/>
              </w:rPr>
              <w:t>$(191,140)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355,391</w:t>
            </w:r>
          </w:p>
        </w:tc>
        <w:tc>
          <w:tcPr>
            <w:tcW w:w="18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167,706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523,097</w:t>
            </w:r>
          </w:p>
        </w:tc>
        <w:tc>
          <w:tcPr>
            <w:tcW w:w="0" w:type="dxa"/>
            <w:vAlign w:val="bottom"/>
          </w:tcPr>
          <w:p>
            <w:pPr>
              <w:spacing w:after="0"/>
              <w:rPr>
                <w:sz w:val="1"/>
                <w:szCs w:val="1"/>
                <w:color w:val="auto"/>
              </w:rPr>
            </w:pPr>
          </w:p>
        </w:tc>
      </w:tr>
      <w:tr>
        <w:trPr>
          <w:trHeight w:val="156"/>
        </w:trPr>
        <w:tc>
          <w:tcPr>
            <w:tcW w:w="24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Comprehensive income (loss):</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75,129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75,129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7,859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82,988</w:t>
            </w:r>
          </w:p>
        </w:tc>
        <w:tc>
          <w:tcPr>
            <w:tcW w:w="0" w:type="dxa"/>
            <w:vAlign w:val="bottom"/>
          </w:tcPr>
          <w:p>
            <w:pPr>
              <w:spacing w:after="0"/>
              <w:rPr>
                <w:sz w:val="1"/>
                <w:szCs w:val="1"/>
                <w:color w:val="auto"/>
              </w:rPr>
            </w:pPr>
          </w:p>
        </w:tc>
      </w:tr>
      <w:tr>
        <w:trPr>
          <w:trHeight w:val="136"/>
        </w:trPr>
        <w:tc>
          <w:tcPr>
            <w:tcW w:w="242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color w:val="auto"/>
              </w:rPr>
              <w:t>Other comprehensive income (loss) -</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of tax:</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20" w:type="dxa"/>
            <w:vAlign w:val="bottom"/>
            <w:shd w:val="clear" w:color="auto" w:fill="CCEEFF"/>
          </w:tcPr>
          <w:p>
            <w:pPr>
              <w:ind w:left="660"/>
              <w:spacing w:after="0" w:line="136" w:lineRule="exact"/>
              <w:rPr>
                <w:sz w:val="20"/>
                <w:szCs w:val="20"/>
                <w:color w:val="auto"/>
              </w:rPr>
            </w:pPr>
            <w:r>
              <w:rPr>
                <w:rFonts w:ascii="Times New Roman" w:cs="Times New Roman" w:eastAsia="Times New Roman" w:hAnsi="Times New Roman"/>
                <w:sz w:val="14"/>
                <w:szCs w:val="14"/>
                <w:color w:val="auto"/>
              </w:rPr>
              <w:t>Currency translation</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adjustments</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(3,829)</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(3,829)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(292)</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(4,121)</w:t>
            </w:r>
          </w:p>
        </w:tc>
        <w:tc>
          <w:tcPr>
            <w:tcW w:w="0" w:type="dxa"/>
            <w:vAlign w:val="bottom"/>
          </w:tcPr>
          <w:p>
            <w:pPr>
              <w:spacing w:after="0"/>
              <w:rPr>
                <w:sz w:val="1"/>
                <w:szCs w:val="1"/>
                <w:color w:val="auto"/>
              </w:rPr>
            </w:pPr>
          </w:p>
        </w:tc>
      </w:tr>
      <w:tr>
        <w:trPr>
          <w:trHeight w:val="136"/>
        </w:trPr>
        <w:tc>
          <w:tcPr>
            <w:tcW w:w="2420" w:type="dxa"/>
            <w:vAlign w:val="bottom"/>
          </w:tcPr>
          <w:p>
            <w:pPr>
              <w:ind w:left="660"/>
              <w:spacing w:after="0" w:line="136" w:lineRule="exact"/>
              <w:rPr>
                <w:sz w:val="20"/>
                <w:szCs w:val="20"/>
                <w:color w:val="auto"/>
              </w:rPr>
            </w:pPr>
            <w:r>
              <w:rPr>
                <w:rFonts w:ascii="Times New Roman" w:cs="Times New Roman" w:eastAsia="Times New Roman" w:hAnsi="Times New Roman"/>
                <w:sz w:val="14"/>
                <w:szCs w:val="14"/>
                <w:color w:val="auto"/>
              </w:rPr>
              <w:t>Amortization of interest rate</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hedge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823</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823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Available-for-sale securities:</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080"/>
              <w:spacing w:after="0" w:line="149" w:lineRule="exact"/>
              <w:rPr>
                <w:sz w:val="20"/>
                <w:szCs w:val="20"/>
                <w:color w:val="auto"/>
              </w:rPr>
            </w:pPr>
            <w:r>
              <w:rPr>
                <w:rFonts w:ascii="Times New Roman" w:cs="Times New Roman" w:eastAsia="Times New Roman" w:hAnsi="Times New Roman"/>
                <w:sz w:val="14"/>
                <w:szCs w:val="14"/>
                <w:color w:val="auto"/>
              </w:rPr>
              <w:t>Net unrealized gain</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2,272</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2,272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0" w:type="dxa"/>
            <w:vAlign w:val="bottom"/>
          </w:tcPr>
          <w:p>
            <w:pPr>
              <w:spacing w:after="0"/>
              <w:rPr>
                <w:sz w:val="1"/>
                <w:szCs w:val="1"/>
                <w:color w:val="auto"/>
              </w:rPr>
            </w:pPr>
          </w:p>
        </w:tc>
      </w:tr>
      <w:tr>
        <w:trPr>
          <w:trHeight w:val="136"/>
        </w:trPr>
        <w:tc>
          <w:tcPr>
            <w:tcW w:w="2420" w:type="dxa"/>
            <w:vAlign w:val="bottom"/>
            <w:shd w:val="clear" w:color="auto" w:fill="CCEEFF"/>
          </w:tcPr>
          <w:p>
            <w:pPr>
              <w:ind w:left="1080"/>
              <w:spacing w:after="0" w:line="136" w:lineRule="exact"/>
              <w:rPr>
                <w:sz w:val="20"/>
                <w:szCs w:val="20"/>
                <w:color w:val="auto"/>
              </w:rPr>
            </w:pPr>
            <w:r>
              <w:rPr>
                <w:rFonts w:ascii="Times New Roman" w:cs="Times New Roman" w:eastAsia="Times New Roman" w:hAnsi="Times New Roman"/>
                <w:sz w:val="14"/>
                <w:szCs w:val="14"/>
                <w:color w:val="auto"/>
              </w:rPr>
              <w:t>Adjustments for items</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1300"/>
              <w:spacing w:after="0" w:line="149" w:lineRule="exact"/>
              <w:rPr>
                <w:sz w:val="20"/>
                <w:szCs w:val="20"/>
                <w:color w:val="auto"/>
              </w:rPr>
            </w:pPr>
            <w:r>
              <w:rPr>
                <w:rFonts w:ascii="Times New Roman" w:cs="Times New Roman" w:eastAsia="Times New Roman" w:hAnsi="Times New Roman"/>
                <w:sz w:val="14"/>
                <w:szCs w:val="14"/>
                <w:color w:val="auto"/>
              </w:rPr>
              <w:t>reclassified to</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earnings</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2,372</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2,372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2,591</w:t>
            </w:r>
          </w:p>
        </w:tc>
        <w:tc>
          <w:tcPr>
            <w:tcW w:w="0" w:type="dxa"/>
            <w:vAlign w:val="bottom"/>
          </w:tcPr>
          <w:p>
            <w:pPr>
              <w:spacing w:after="0"/>
              <w:rPr>
                <w:sz w:val="1"/>
                <w:szCs w:val="1"/>
                <w:color w:val="auto"/>
              </w:rPr>
            </w:pPr>
          </w:p>
        </w:tc>
      </w:tr>
      <w:tr>
        <w:trPr>
          <w:trHeight w:val="149"/>
        </w:trPr>
        <w:tc>
          <w:tcPr>
            <w:tcW w:w="242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Employee benefit plans: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1080"/>
              <w:spacing w:after="0" w:line="149" w:lineRule="exact"/>
              <w:rPr>
                <w:sz w:val="20"/>
                <w:szCs w:val="20"/>
                <w:color w:val="auto"/>
              </w:rPr>
            </w:pPr>
            <w:r>
              <w:rPr>
                <w:rFonts w:ascii="Times New Roman" w:cs="Times New Roman" w:eastAsia="Times New Roman" w:hAnsi="Times New Roman"/>
                <w:sz w:val="14"/>
                <w:szCs w:val="14"/>
                <w:color w:val="auto"/>
              </w:rPr>
              <w:t>Net actuarial loss</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(5,999)</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(5,999)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(6,555)</w:t>
            </w:r>
          </w:p>
        </w:tc>
        <w:tc>
          <w:tcPr>
            <w:tcW w:w="0" w:type="dxa"/>
            <w:vAlign w:val="bottom"/>
          </w:tcPr>
          <w:p>
            <w:pPr>
              <w:spacing w:after="0"/>
              <w:rPr>
                <w:sz w:val="1"/>
                <w:szCs w:val="1"/>
                <w:color w:val="auto"/>
              </w:rPr>
            </w:pPr>
          </w:p>
        </w:tc>
      </w:tr>
      <w:tr>
        <w:trPr>
          <w:trHeight w:val="136"/>
        </w:trPr>
        <w:tc>
          <w:tcPr>
            <w:tcW w:w="2420" w:type="dxa"/>
            <w:vAlign w:val="bottom"/>
          </w:tcPr>
          <w:p>
            <w:pPr>
              <w:ind w:left="1080"/>
              <w:spacing w:after="0" w:line="136" w:lineRule="exact"/>
              <w:rPr>
                <w:sz w:val="20"/>
                <w:szCs w:val="20"/>
                <w:color w:val="auto"/>
              </w:rPr>
            </w:pPr>
            <w:r>
              <w:rPr>
                <w:rFonts w:ascii="Times New Roman" w:cs="Times New Roman" w:eastAsia="Times New Roman" w:hAnsi="Times New Roman"/>
                <w:sz w:val="14"/>
                <w:szCs w:val="14"/>
                <w:color w:val="auto"/>
              </w:rPr>
              <w:t>Adjustments for items</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300"/>
              <w:spacing w:after="0" w:line="149" w:lineRule="exact"/>
              <w:rPr>
                <w:sz w:val="20"/>
                <w:szCs w:val="20"/>
                <w:color w:val="auto"/>
              </w:rPr>
            </w:pPr>
            <w:r>
              <w:rPr>
                <w:rFonts w:ascii="Times New Roman" w:cs="Times New Roman" w:eastAsia="Times New Roman" w:hAnsi="Times New Roman"/>
                <w:sz w:val="14"/>
                <w:szCs w:val="14"/>
                <w:color w:val="auto"/>
              </w:rPr>
              <w:t>reclassified to</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earnings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888</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71,656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7,599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79,255</w:t>
            </w:r>
          </w:p>
        </w:tc>
        <w:tc>
          <w:tcPr>
            <w:tcW w:w="0" w:type="dxa"/>
            <w:vAlign w:val="bottom"/>
          </w:tcPr>
          <w:p>
            <w:pPr>
              <w:spacing w:after="0"/>
              <w:rPr>
                <w:sz w:val="1"/>
                <w:szCs w:val="1"/>
                <w:color w:val="auto"/>
              </w:rPr>
            </w:pPr>
          </w:p>
        </w:tc>
      </w:tr>
      <w:tr>
        <w:trPr>
          <w:trHeight w:val="143"/>
        </w:trPr>
        <w:tc>
          <w:tcPr>
            <w:tcW w:w="24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Class A common stock issued/issuable in</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connection with business acquisitions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and LAM Merger and related</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315,617</w:t>
            </w:r>
          </w:p>
        </w:tc>
        <w:tc>
          <w:tcPr>
            <w:tcW w:w="12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2,067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2,119</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4,186</w:t>
            </w:r>
          </w:p>
        </w:tc>
        <w:tc>
          <w:tcPr>
            <w:tcW w:w="0" w:type="dxa"/>
            <w:vAlign w:val="bottom"/>
          </w:tcPr>
          <w:p>
            <w:pPr>
              <w:spacing w:after="0"/>
              <w:rPr>
                <w:sz w:val="1"/>
                <w:szCs w:val="1"/>
                <w:color w:val="auto"/>
              </w:rPr>
            </w:pPr>
          </w:p>
        </w:tc>
      </w:tr>
      <w:tr>
        <w:trPr>
          <w:trHeight w:val="136"/>
        </w:trPr>
        <w:tc>
          <w:tcPr>
            <w:tcW w:w="24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8"/>
              </w:rPr>
              <w:t>Conversion of Series A preferred stock into</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Class A common stock</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(4,862)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572,988</w:t>
            </w: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4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Amortization of share-based incentive</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compensation</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228,668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249,853</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Dividend-equivalents</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(7,793)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A common stock dividends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6"/>
              </w:rPr>
              <w:t>(36,714)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(36,714)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(36,714)</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Class A common stock</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3,466,178</w:t>
            </w:r>
          </w:p>
        </w:tc>
        <w:tc>
          <w:tcPr>
            <w:tcW w:w="700" w:type="dxa"/>
            <w:vAlign w:val="bottom"/>
            <w:gridSpan w:val="2"/>
            <w:shd w:val="clear" w:color="auto" w:fill="CCEEFF"/>
          </w:tcPr>
          <w:p>
            <w:pPr>
              <w:jc w:val="right"/>
              <w:ind w:right="61"/>
              <w:spacing w:after="0" w:line="149" w:lineRule="exact"/>
              <w:rPr>
                <w:sz w:val="20"/>
                <w:szCs w:val="20"/>
                <w:color w:val="auto"/>
              </w:rPr>
            </w:pPr>
            <w:r>
              <w:rPr>
                <w:rFonts w:ascii="Times New Roman" w:cs="Times New Roman" w:eastAsia="Times New Roman" w:hAnsi="Times New Roman"/>
                <w:sz w:val="14"/>
                <w:szCs w:val="14"/>
                <w:color w:val="auto"/>
              </w:rPr>
              <w:t>(106,316)</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(106,316)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(106,316)</w:t>
            </w:r>
          </w:p>
        </w:tc>
        <w:tc>
          <w:tcPr>
            <w:tcW w:w="0" w:type="dxa"/>
            <w:vAlign w:val="bottom"/>
          </w:tcPr>
          <w:p>
            <w:pPr>
              <w:spacing w:after="0"/>
              <w:rPr>
                <w:sz w:val="1"/>
                <w:szCs w:val="1"/>
                <w:color w:val="auto"/>
              </w:rPr>
            </w:pPr>
          </w:p>
        </w:tc>
      </w:tr>
      <w:tr>
        <w:trPr>
          <w:trHeight w:val="136"/>
        </w:trPr>
        <w:tc>
          <w:tcPr>
            <w:tcW w:w="24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Delivery of Class A common stock in</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connection with share-based incentive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compensation awards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(276,374)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(6,451,373)</w:t>
            </w:r>
          </w:p>
        </w:tc>
        <w:tc>
          <w:tcPr>
            <w:tcW w:w="700" w:type="dxa"/>
            <w:vAlign w:val="bottom"/>
            <w:gridSpan w:val="2"/>
          </w:tcPr>
          <w:p>
            <w:pPr>
              <w:jc w:val="right"/>
              <w:ind w:right="101"/>
              <w:spacing w:after="0"/>
              <w:rPr>
                <w:sz w:val="20"/>
                <w:szCs w:val="20"/>
                <w:color w:val="auto"/>
              </w:rPr>
            </w:pPr>
            <w:r>
              <w:rPr>
                <w:rFonts w:ascii="Times New Roman" w:cs="Times New Roman" w:eastAsia="Times New Roman" w:hAnsi="Times New Roman"/>
                <w:sz w:val="14"/>
                <w:szCs w:val="14"/>
                <w:color w:val="auto"/>
              </w:rPr>
              <w:t>221,427</w:t>
            </w:r>
          </w:p>
        </w:tc>
        <w:tc>
          <w:tcPr>
            <w:tcW w:w="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(54,947)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(54,947)</w:t>
            </w:r>
          </w:p>
        </w:tc>
        <w:tc>
          <w:tcPr>
            <w:tcW w:w="0" w:type="dxa"/>
            <w:vAlign w:val="bottom"/>
          </w:tcPr>
          <w:p>
            <w:pPr>
              <w:spacing w:after="0"/>
              <w:rPr>
                <w:sz w:val="1"/>
                <w:szCs w:val="1"/>
                <w:color w:val="auto"/>
              </w:rPr>
            </w:pPr>
          </w:p>
        </w:tc>
      </w:tr>
      <w:tr>
        <w:trPr>
          <w:trHeight w:val="136"/>
        </w:trPr>
        <w:tc>
          <w:tcPr>
            <w:tcW w:w="24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Repurchase of common membership</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interests from LAZ-MD Holdings</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(4,642)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(4,642)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(430)</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(5,072)</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12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116,070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700" w:type="dxa"/>
            <w:vAlign w:val="bottom"/>
            <w:gridSpan w:val="2"/>
          </w:tcPr>
          <w:p>
            <w:pPr>
              <w:jc w:val="right"/>
              <w:ind w:right="61"/>
              <w:spacing w:after="0" w:line="149" w:lineRule="exact"/>
              <w:rPr>
                <w:sz w:val="20"/>
                <w:szCs w:val="20"/>
                <w:color w:val="auto"/>
              </w:rPr>
            </w:pPr>
            <w:r>
              <w:rPr>
                <w:rFonts w:ascii="Times New Roman" w:cs="Times New Roman" w:eastAsia="Times New Roman" w:hAnsi="Times New Roman"/>
                <w:sz w:val="14"/>
                <w:szCs w:val="14"/>
                <w:color w:val="auto"/>
              </w:rPr>
              <w:t>(116,100)</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4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Class A common stock issued in exchange</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for Lazard Group common</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membership interests, including in</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connection with secondary offerings</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20,549,950</w:t>
            </w: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205</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(17,310)</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(17,310)</w:t>
            </w:r>
          </w:p>
        </w:tc>
        <w:tc>
          <w:tcPr>
            <w:tcW w:w="0" w:type="dxa"/>
            <w:vAlign w:val="bottom"/>
          </w:tcPr>
          <w:p>
            <w:pPr>
              <w:spacing w:after="0"/>
              <w:rPr>
                <w:sz w:val="1"/>
                <w:szCs w:val="1"/>
                <w:color w:val="auto"/>
              </w:rPr>
            </w:pPr>
          </w:p>
        </w:tc>
      </w:tr>
      <w:tr>
        <w:trPr>
          <w:trHeight w:val="136"/>
        </w:trPr>
        <w:tc>
          <w:tcPr>
            <w:tcW w:w="24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Adjustments related to noncontrolling</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interests</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(9,998)</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33,443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(33,443)</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4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 September 30, 2010</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22,021</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1"/>
              </w:rPr>
              <w:t>$ –</w:t>
            </w:r>
          </w:p>
        </w:tc>
        <w:tc>
          <w:tcPr>
            <w:tcW w:w="1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116,604,468</w:t>
            </w:r>
          </w:p>
        </w:tc>
        <w:tc>
          <w:tcPr>
            <w:tcW w:w="12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w w:val="93"/>
              </w:rPr>
              <w:t>$</w:t>
            </w:r>
            <w:r>
              <w:rPr>
                <w:rFonts w:ascii="Times New Roman" w:cs="Times New Roman" w:eastAsia="Times New Roman" w:hAnsi="Times New Roman"/>
                <w:sz w:val="14"/>
                <w:szCs w:val="14"/>
                <w:b w:val="1"/>
                <w:bCs w:val="1"/>
                <w:color w:val="auto"/>
                <w:w w:val="93"/>
              </w:rPr>
              <w:t>1,166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666,705</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83,348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(70,519)</w:t>
            </w:r>
          </w:p>
        </w:tc>
        <w:tc>
          <w:tcPr>
            <w:tcW w:w="1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5,865,580</w:t>
            </w:r>
          </w:p>
        </w:tc>
        <w:tc>
          <w:tcPr>
            <w:tcW w:w="1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w w:val="94"/>
              </w:rPr>
              <w:t>$</w:t>
            </w:r>
            <w:r>
              <w:rPr>
                <w:rFonts w:ascii="Times New Roman" w:cs="Times New Roman" w:eastAsia="Times New Roman" w:hAnsi="Times New Roman"/>
                <w:sz w:val="14"/>
                <w:szCs w:val="14"/>
                <w:b w:val="1"/>
                <w:bCs w:val="1"/>
                <w:color w:val="auto"/>
                <w:w w:val="94"/>
              </w:rPr>
              <w:t>(192,129</w:t>
            </w:r>
          </w:p>
        </w:tc>
        <w:tc>
          <w:tcPr>
            <w:tcW w:w="140" w:type="dxa"/>
            <w:vAlign w:val="bottom"/>
          </w:tcPr>
          <w:p>
            <w:pPr>
              <w:jc w:val="right"/>
              <w:ind w:right="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488,571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147,423</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635,994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340" w:right="320" w:hanging="332"/>
        <w:spacing w:after="0" w:line="187" w:lineRule="auto"/>
        <w:tabs>
          <w:tab w:leader="none" w:pos="34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Includes 92,165,912 and 116,604,467 shares of the Company’s Class A common stock issued at January 1, 2010 and September 30, 2010,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 PERIOD ENDED SEPTEMBER 30,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Series A</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164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4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80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640" w:type="dxa"/>
            <w:vAlign w:val="bottom"/>
            <w:gridSpan w:val="4"/>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64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800" w:type="dxa"/>
            <w:vAlign w:val="bottom"/>
            <w:gridSpan w:val="3"/>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4"/>
                <w:szCs w:val="4"/>
                <w:color w:val="auto"/>
              </w:rPr>
            </w:pPr>
          </w:p>
        </w:tc>
        <w:tc>
          <w:tcPr>
            <w:tcW w:w="1120" w:type="dxa"/>
            <w:vAlign w:val="bottom"/>
            <w:gridSpan w:val="3"/>
            <w:vMerge w:val="restart"/>
          </w:tcPr>
          <w:p>
            <w:pPr>
              <w:jc w:val="right"/>
              <w:ind w:right="52"/>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80" w:type="dxa"/>
            <w:vAlign w:val="bottom"/>
            <w:gridSpan w:val="3"/>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Held By A Subsidiary</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bottom w:val="single" w:sz="8" w:color="auto"/>
            </w:tcBorders>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95"/>
              </w:rPr>
              <w:t>Paid-in-</w:t>
            </w:r>
          </w:p>
        </w:tc>
        <w:tc>
          <w:tcPr>
            <w:tcW w:w="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96"/>
              </w:rPr>
              <w:t>Retained</w:t>
            </w:r>
          </w:p>
        </w:tc>
        <w:tc>
          <w:tcPr>
            <w:tcW w:w="40" w:type="dxa"/>
            <w:vAlign w:val="bottom"/>
          </w:tcPr>
          <w:p>
            <w:pPr>
              <w:spacing w:after="0"/>
              <w:rPr>
                <w:sz w:val="11"/>
                <w:szCs w:val="11"/>
                <w:color w:val="auto"/>
              </w:rPr>
            </w:pPr>
          </w:p>
        </w:tc>
        <w:tc>
          <w:tcPr>
            <w:tcW w:w="104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5"/>
              </w:rPr>
              <w:t>Income (Loss),</w:t>
            </w:r>
          </w:p>
        </w:tc>
        <w:tc>
          <w:tcPr>
            <w:tcW w:w="1480" w:type="dxa"/>
            <w:vAlign w:val="bottom"/>
            <w:tcBorders>
              <w:bottom w:val="single" w:sz="8" w:color="auto"/>
            </w:tcBorders>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5"/>
              </w:rPr>
              <w:t>Net of Tax</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Balance–January 1, 2009</w:t>
            </w:r>
          </w:p>
        </w:tc>
        <w:tc>
          <w:tcPr>
            <w:tcW w:w="5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31,745</w:t>
            </w:r>
          </w:p>
        </w:tc>
        <w:tc>
          <w:tcPr>
            <w:tcW w:w="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1"/>
              </w:rPr>
              <w:t>$ –</w:t>
            </w:r>
          </w:p>
        </w:tc>
        <w:tc>
          <w:tcPr>
            <w:tcW w:w="7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76,294,913</w:t>
            </w:r>
          </w:p>
        </w:tc>
        <w:tc>
          <w:tcPr>
            <w:tcW w:w="4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$ 763</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429,694</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$ 221,410</w:t>
            </w:r>
          </w:p>
        </w:tc>
        <w:tc>
          <w:tcPr>
            <w:tcW w:w="1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(79,435)</w:t>
            </w:r>
          </w:p>
        </w:tc>
        <w:tc>
          <w:tcPr>
            <w:tcW w:w="8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9,376,162</w:t>
            </w:r>
          </w:p>
        </w:tc>
        <w:tc>
          <w:tcPr>
            <w:tcW w:w="8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$(321,852)</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250,580</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61,172</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311,752</w:t>
            </w:r>
          </w:p>
        </w:tc>
        <w:tc>
          <w:tcPr>
            <w:tcW w:w="0" w:type="dxa"/>
            <w:vAlign w:val="bottom"/>
          </w:tcPr>
          <w:p>
            <w:pPr>
              <w:spacing w:after="0"/>
              <w:rPr>
                <w:sz w:val="1"/>
                <w:szCs w:val="1"/>
                <w:color w:val="auto"/>
              </w:rPr>
            </w:pPr>
          </w:p>
        </w:tc>
      </w:tr>
      <w:tr>
        <w:trPr>
          <w:trHeight w:val="156"/>
        </w:trPr>
        <w:tc>
          <w:tcPr>
            <w:tcW w:w="23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Comprehensive income (loss):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12,109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12,109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(2,079)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Other comprehensive income (loss) -</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of tax:</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48,074</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48,074</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16,450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64,524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Amortization of interest rate</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hedge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602</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206</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Available-for-sale securities:</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rPr>
              <w:t>Net unrealized gain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17,479</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17,479</w:t>
            </w: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5,983</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23,462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shd w:val="clear" w:color="auto" w:fill="CCEEFF"/>
          </w:tcPr>
          <w:p>
            <w:pPr>
              <w:ind w:left="640"/>
              <w:spacing w:after="0" w:line="136" w:lineRule="exact"/>
              <w:rPr>
                <w:sz w:val="20"/>
                <w:szCs w:val="20"/>
                <w:color w:val="auto"/>
              </w:rPr>
            </w:pPr>
            <w:r>
              <w:rPr>
                <w:rFonts w:ascii="Times New Roman" w:cs="Times New Roman" w:eastAsia="Times New Roman" w:hAnsi="Times New Roman"/>
                <w:sz w:val="14"/>
                <w:szCs w:val="14"/>
                <w:color w:val="auto"/>
              </w:rPr>
              <w:t>Adjustment for items</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reclassified to earnings</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894</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306</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Employee benefit plans: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Net actuarial gain</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841</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1,129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tcPr>
          <w:p>
            <w:pPr>
              <w:ind w:left="640"/>
              <w:spacing w:after="0" w:line="136" w:lineRule="exact"/>
              <w:rPr>
                <w:sz w:val="20"/>
                <w:szCs w:val="20"/>
                <w:color w:val="auto"/>
              </w:rPr>
            </w:pPr>
            <w:r>
              <w:rPr>
                <w:rFonts w:ascii="Times New Roman" w:cs="Times New Roman" w:eastAsia="Times New Roman" w:hAnsi="Times New Roman"/>
                <w:sz w:val="14"/>
                <w:szCs w:val="14"/>
                <w:color w:val="auto"/>
              </w:rPr>
              <w:t>Adjustment for items</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reclassified to earnings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(278)</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w:t>
            </w: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79,721</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21,059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100,780</w:t>
            </w:r>
          </w:p>
        </w:tc>
        <w:tc>
          <w:tcPr>
            <w:tcW w:w="0" w:type="dxa"/>
            <w:vAlign w:val="bottom"/>
          </w:tcPr>
          <w:p>
            <w:pPr>
              <w:spacing w:after="0"/>
              <w:rPr>
                <w:sz w:val="1"/>
                <w:szCs w:val="1"/>
                <w:color w:val="auto"/>
              </w:rPr>
            </w:pPr>
          </w:p>
        </w:tc>
      </w:tr>
      <w:tr>
        <w:trPr>
          <w:trHeight w:val="143"/>
        </w:trPr>
        <w:tc>
          <w:tcPr>
            <w:tcW w:w="23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Class A common stock issued/issuable in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w w:val="99"/>
              </w:rPr>
              <w:t>connection with business acquisitions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and LAM Merger and related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1,473,866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20,205</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10,531</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30,736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Conversion of Series A preferred stock</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into Class A common stock</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(4,862)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479,732</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Amortization of share-based incentive</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compensation</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162,318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162,318</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55,112</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217,430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Dividend-equivalents</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4,793</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(4,820)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A common stock dividends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(23,216)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(23,216)</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Class A common stock</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1,984,997</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(50,479)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(50,479)</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(50,479)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Delivery of Class A common stock in</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w w:val="98"/>
              </w:rPr>
              <w:t>connection with share-based incentive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compensation awards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(47,142)</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(1,030,960)</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34,851</w:t>
            </w:r>
          </w:p>
        </w:tc>
        <w:tc>
          <w:tcPr>
            <w:tcW w:w="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(12,291)</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(12,291)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Repurchase of common membership</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interests from LAZ-MD Holdings</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(9,898)</w:t>
            </w: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(9,898)</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(3,387)</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(13,285)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Class A common stock issued in</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exchange for Lazard Group common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membership interests, including in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connection with secondary offerings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13,907,140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(139)</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Acquisitions of and distributions to</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63,193</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63,193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Adjustments related to noncontrolling</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(14,678)</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10,757</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(10,757)</w:t>
            </w: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Balance–September 30, 2009</w:t>
            </w:r>
          </w:p>
        </w:tc>
        <w:tc>
          <w:tcPr>
            <w:tcW w:w="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26,883</w:t>
            </w: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1"/>
              </w:rPr>
              <w:t>$ –</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92,155,651</w:t>
            </w:r>
          </w:p>
        </w:tc>
        <w:tc>
          <w:tcPr>
            <w:tcW w:w="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$ 922</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585,246</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$ 205,483</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(26,501)</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10,330,199</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(337,480)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427,670</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196,923</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624,593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340" w:right="60" w:hanging="332"/>
        <w:spacing w:after="0" w:line="187" w:lineRule="auto"/>
        <w:tabs>
          <w:tab w:leader="none" w:pos="34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Includes 76,294,912 and 92,155,650 shares of the Company’s Class A common stock issued at January 1, 2009 and September 30, 2009,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1" w:lineRule="exact"/>
        <w:rPr>
          <w:sz w:val="20"/>
          <w:szCs w:val="20"/>
          <w:color w:val="auto"/>
        </w:rPr>
      </w:pPr>
    </w:p>
    <w:p>
      <w:pPr>
        <w:ind w:right="7020" w:firstLine="8"/>
        <w:spacing w:after="0" w:line="331" w:lineRule="auto"/>
        <w:tabs>
          <w:tab w:leader="none" w:pos="446"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ORGANIZATION AND BASIS OF PRESENTATION Organization</w:t>
      </w: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Lazard Ltd, a Bermuda holding company, and its subsidiaries (collectively referred to as “Lazard Ltd”, “Lazard”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5"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Lazard Ltd indirectly held approximately 91.5% and 74.5% of all outstanding Lazard Group common membership interests as of September 30, 2010 and December 31, 2009, respectively. Lazard Ltd, through its control of the managing members of Lazard Group, controls Lazard Group. Lazard Group is governed by an Operating Agreement dated as of May 10, 2005, as amended (the “Operating Agreement”).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sole operating asset is its indirect ownership of common membership interests of Lazard Group and its managing member interest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Lazard Group, whose principal operating activities are included in two business segments:</w:t>
      </w:r>
    </w:p>
    <w:p>
      <w:pPr>
        <w:spacing w:after="0" w:line="64" w:lineRule="exact"/>
        <w:rPr>
          <w:sz w:val="20"/>
          <w:szCs w:val="20"/>
          <w:color w:val="auto"/>
        </w:rPr>
      </w:pPr>
    </w:p>
    <w:p>
      <w:pPr>
        <w:ind w:left="780" w:right="160" w:hanging="326"/>
        <w:spacing w:after="0" w:line="275"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includes providing advice on mergers and acquisitions (“M&amp;A”) and strategic advisory matters, restructurings and capital structure advisory services, capital raising and other transactions, and</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includes the management of equity and fixed income securities, alternative investments and private equity funds.</w:t>
      </w:r>
    </w:p>
    <w:p>
      <w:pPr>
        <w:spacing w:after="0" w:line="18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1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also engages in underwritten offerings of securities in France.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8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Lazard Ltd have been prepared pursuant to the rules and regulations of the U.S.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2009 (the “Form 10-K”). The accompanying December 31, 2009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and nine month periods ended September 30, 2010 are not necessarily indicative of the results to be expected for any future period or the full fiscal year. Any material events or transactions that occurred subsequent to September 30, 2010 through the date of filing of this Quarterly Report on Form 10-Q were reviewed for purposes of determining whether any adjustments or additional disclosures were required to be made to the accompanying condensed consolidated financial statements.</w:t>
      </w:r>
    </w:p>
    <w:p>
      <w:pPr>
        <w:spacing w:after="0" w:line="12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its subsidiaries; and Lazard &amp; Co., Limited (“LCL”), through Lazard &amp; Co., Holdings Limited, an English private limited company (“LCH”), together with their jointly owned affiliates and subsidiaries.</w:t>
      </w:r>
    </w:p>
    <w:p>
      <w:pPr>
        <w:spacing w:after="0" w:line="12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manner of presentation in the current period.</w:t>
      </w:r>
    </w:p>
    <w:p>
      <w:pPr>
        <w:spacing w:after="0" w:line="15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2.</w:t>
      </w:r>
      <w:r>
        <w:rPr>
          <w:sz w:val="20"/>
          <w:szCs w:val="20"/>
          <w:color w:val="auto"/>
        </w:rPr>
        <w:tab/>
      </w:r>
      <w:r>
        <w:rPr>
          <w:rFonts w:ascii="Times New Roman" w:cs="Times New Roman" w:eastAsia="Times New Roman" w:hAnsi="Times New Roman"/>
          <w:sz w:val="16"/>
          <w:szCs w:val="16"/>
          <w:b w:val="1"/>
          <w:bCs w:val="1"/>
          <w:i w:val="1"/>
          <w:iCs w:val="1"/>
          <w:color w:val="auto"/>
        </w:rPr>
        <w:t>RECENT ACCOUNTING DEVELOPMENTS</w:t>
      </w:r>
    </w:p>
    <w:p>
      <w:pPr>
        <w:spacing w:after="0" w:line="79"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—On April 1, 2009, the Company adopted, on a prospective basis, additional accounting guidance issued by the FASB on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measurements. The additional accounting guidance assists in the determination of fair value for securities or other financial assets when the volume and level of activity for such items have significantly decreased when compared with normal market activity and there is no longer sufficient frequency or volume to provide pricing information on an ongoing basis. The additional accounting guidance also assists in determining whether or not a transaction is orderly and whether or not a transaction or quoted price can be considered in the determination of fair value. Accordingly, the additional accounting guidance does not apply to quoted prices for identical assets or liabilities in active markets categorized as Level 1 in the fair value measurement hierarchy, and also requires that additional fair value disclosures be included on an interim basis. See Note 5 of Notes to Condensed Consolidated Financial Statements for the additional disclosures provided pursuant to the additional accounting guidance. The adoption of additional guidance regarding fair value measurements did not materially impact the Company’s consolidated financial statements.</w:t>
      </w:r>
    </w:p>
    <w:p>
      <w:pPr>
        <w:spacing w:after="0" w:line="132"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In January 2010, the FASB amended its fair value measurement disclosure guidance to require disclosure of significant transfers into and out of the Level 1 and Level 2 categories in the fair value measurement hierarchy, as well as separate disclosures about purchases, sales, issuances and settlements relating to Level 3 fair value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6"/>
          <w:szCs w:val="16"/>
          <w:color w:val="auto"/>
        </w:rPr>
        <w:t>measurements. In addition, the FASB also clarified its existing fair value measurement disclosure guidance regarding the level of disaggregation required and disclosures about inputs and valuation techniques used to measure fair value. The new disclosure requirements and clarifications of existing fair value measurement disclosure guidance are effective for interim and annual reporting periods beginning after December 15, 2009, except for the requirement to provide disclosures about purchases, sales, issuances and settlements on a gross basis in the roll forward of activities in Level 3 fair value measurements, which becomes effective for interim and annual reporting periods beginning after December 15, 2010. On January 1, 2010, the Company adopted, on a prospective basis, the applicable new disclosure requirements and clarifications of existing fair value measurement disclosure guidance, which did not have a material impact on the Company’s consolidated financial statements. The Company does not anticipate that the adoption of the remaining new disclosure requirements that are effective for interim and annual reporting periods beginning after December 15, 2010 will have a material impact on its consolidated financial statements.</w:t>
      </w:r>
    </w:p>
    <w:p>
      <w:pPr>
        <w:spacing w:after="0" w:line="9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Other-Than-Temporary Impairments of Debt Securities</w:t>
      </w:r>
      <w:r>
        <w:rPr>
          <w:rFonts w:ascii="Times New Roman" w:cs="Times New Roman" w:eastAsia="Times New Roman" w:hAnsi="Times New Roman"/>
          <w:sz w:val="18"/>
          <w:szCs w:val="18"/>
          <w:color w:val="auto"/>
        </w:rPr>
        <w:t>—On April 1, 2009, the Company adopted, on a prospective basis, new accounting guidance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FASB with respect to the recognition and presentation of other-than-temporary impairments pertaining to debt securities. The new accounting guidance requires greater clarity about the credit and non-credit components of debt securities that are not expected to be sold and whose fair value is below amortized cost, and also requires increased disclosures regarding expected cash flows, credit losses and an aging of securities with unrealized losses. The adoption of the new accounting guidance did not materially impact the Company’s consolidated financial statements. See Note 4 of Notes to Condensed Consolidated Financial Statements.</w:t>
      </w:r>
    </w:p>
    <w:p>
      <w:pPr>
        <w:spacing w:after="0" w:line="12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VIEs</w:t>
      </w:r>
      <w:r>
        <w:rPr>
          <w:rFonts w:ascii="Times New Roman" w:cs="Times New Roman" w:eastAsia="Times New Roman" w:hAnsi="Times New Roman"/>
          <w:sz w:val="18"/>
          <w:szCs w:val="18"/>
          <w:color w:val="auto"/>
        </w:rPr>
        <w:t>—In June 2009, the FASB amended its guidance on VIEs, which changes how a company determines whether an entity in which it is involved with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insufficiently capitalized or is not controlled through voting (or similar rights) and whether or not such entity should be consolidated. It also requires a company to provide additional disclosures about its involvement with VIEs and any significant changes in risk exposure due to that involvement. The requirements of the amended accounting guidance were to be effective for interim and annual periods beginning after November 15, 2009. On January 27, 2010, the FASB voted to defer the application of its guidance on consolidation of a reporting enterprise’s interest in an entity when certain conditions are met. This deferral, which affects interests in mutual funds, hedge funds, private equity funds and other types of funds, is effective for interim and annual periods beginning after November 15, 2009. The adoption of the amended guidance for which the deferral provisions do not apply and related disclosures did not have a material impact on the Company’s consolidated financial statements.</w:t>
      </w:r>
    </w:p>
    <w:p>
      <w:pPr>
        <w:spacing w:after="0" w:line="123"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RECEIVABLES—NET</w:t>
      </w:r>
    </w:p>
    <w:p>
      <w:pPr>
        <w:spacing w:after="0" w:line="80"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Receivables—net is comprised of receivables from fees, banks, customers and other and related parties.</w:t>
      </w:r>
    </w:p>
    <w:p>
      <w:pPr>
        <w:spacing w:after="0" w:line="158" w:lineRule="exact"/>
        <w:rPr>
          <w:sz w:val="20"/>
          <w:szCs w:val="20"/>
          <w:color w:val="auto"/>
        </w:rPr>
      </w:pPr>
    </w:p>
    <w:p>
      <w:pPr>
        <w:jc w:val="both"/>
        <w:ind w:right="300" w:firstLine="456"/>
        <w:spacing w:after="0" w:line="262" w:lineRule="auto"/>
        <w:rPr>
          <w:sz w:val="20"/>
          <w:szCs w:val="20"/>
          <w:color w:val="auto"/>
        </w:rPr>
      </w:pPr>
      <w:r>
        <w:rPr>
          <w:rFonts w:ascii="Times New Roman" w:cs="Times New Roman" w:eastAsia="Times New Roman" w:hAnsi="Times New Roman"/>
          <w:sz w:val="18"/>
          <w:szCs w:val="18"/>
          <w:color w:val="auto"/>
        </w:rPr>
        <w:t>Receivables from banks represent those related to LFB’s short-term deposits in the inter-bank market and with the Banque de France. The level of these deposits may be driven by the level of LFB customer and bank-related interest-bearing time and demand deposits (which can fluctuate significantly on a daily basis) and by changes in asset allocation.</w:t>
      </w:r>
    </w:p>
    <w:p>
      <w:pPr>
        <w:spacing w:after="0" w:line="119"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Customers and other receivables at September 30, 2010 and December 31, 2009 include $2,175 and $4,466, respectively, of loans by LFB to managing directors and employees in France that are made in the ordinary course of business at market terms.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Receivables are stated net of an estimated allowance for doubtful accounts of $17,000 and $11,575 at September 30, 2010 and December 31, 2009, respectively, for past due amounts and for specific accounts deemed uncollectible, which may include situations where a fee is in dispute. The Company recorded bad debt expense of $226 and $9,416 for the three month and nine month periods ended September 30, 2010, respectively, and $1,148 and $4,770 for the three month and nine month periods ended September 30, 2009, respectively. In addition, the Company recorded charge-offs, foreign currency translation and other adjustments, which resulted in a net decrease to the allowance for doubtful accounts of $2,097 and $3,991 for the three month and nine month periods ended September 30, 2010 and $2,043 and $6,538 for the three month and nine month periods ended September 30, 2009, respectively. At September 30, 2010 and December 31, 2009, the Company had $21,224 and $14,150, respectively, of receivables deemed past due or uncollectible.</w:t>
      </w:r>
    </w:p>
    <w:p>
      <w:pPr>
        <w:spacing w:after="0" w:line="124"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INVESTMENTS</w:t>
      </w:r>
    </w:p>
    <w:p>
      <w:pPr>
        <w:spacing w:after="0" w:line="80"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investments and securities sold, not yet purchased, consist of the following at September 30, 2010 and December 31, 2009: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2010</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386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148,177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147,507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3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Non-U.S. Government and agencies</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 states and municipals</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Corporates</w:t>
            </w:r>
          </w:p>
        </w:tc>
        <w:tc>
          <w:tcPr>
            <w:tcW w:w="3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184,050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254,113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264,490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313,342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debt securities</w:t>
            </w:r>
          </w:p>
        </w:tc>
        <w:tc>
          <w:tcPr>
            <w:tcW w:w="3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412,667</w:t>
            </w: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460,849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Equities</w:t>
            </w:r>
          </w:p>
        </w:tc>
        <w:tc>
          <w:tcPr>
            <w:tcW w:w="3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85,215</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 LAM alternative asset management funds:</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General Partner (“GP”) interests owned</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GP interests consolidated but not owned</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Private equity:</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Investments owned</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Investments consolidated but not owned</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214,401</w:t>
            </w: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264,402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712,283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807,693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Debt at amortized cost</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136,630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563,386</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608,505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8"/>
              </w:rPr>
              <w:t>Securities sold, not yet purchased, at fair value (included in “other liabilities”)</w:t>
            </w:r>
          </w:p>
        </w:tc>
        <w:tc>
          <w:tcPr>
            <w:tcW w:w="3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gridSpan w:val="2"/>
            <w:vMerge w:val="continue"/>
          </w:tcPr>
          <w:p>
            <w:pPr>
              <w:spacing w:after="0"/>
              <w:rPr>
                <w:sz w:val="18"/>
                <w:szCs w:val="18"/>
                <w:color w:val="auto"/>
              </w:rPr>
            </w:pPr>
          </w:p>
        </w:tc>
        <w:tc>
          <w:tcPr>
            <w:tcW w:w="36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80" w:type="dxa"/>
            <w:vAlign w:val="bottom"/>
            <w:vMerge w:val="restart"/>
          </w:tcPr>
          <w:p>
            <w:pPr>
              <w:jc w:val="right"/>
              <w:ind w:right="3352"/>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investments at September 30, 2010 and December 31, 2009 were categorized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September 30,</w:t>
            </w:r>
          </w:p>
        </w:tc>
        <w:tc>
          <w:tcPr>
            <w:tcW w:w="74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2010</w:t>
            </w: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securities: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316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9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Non-U.S. Government and agencies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59,073</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states and municipals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Corporates</w:t>
            </w:r>
          </w:p>
        </w:tc>
        <w:tc>
          <w:tcPr>
            <w:tcW w:w="2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101,121</w:t>
            </w:r>
          </w:p>
        </w:tc>
        <w:tc>
          <w:tcPr>
            <w:tcW w:w="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Corporates</w:t>
            </w:r>
          </w:p>
        </w:tc>
        <w:tc>
          <w:tcPr>
            <w:tcW w:w="2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174,864</w:t>
            </w:r>
          </w:p>
        </w:tc>
        <w:tc>
          <w:tcPr>
            <w:tcW w:w="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960" w:type="dxa"/>
            <w:vAlign w:val="bottom"/>
          </w:tcPr>
          <w:p>
            <w:pPr>
              <w:spacing w:after="0"/>
              <w:rPr>
                <w:sz w:val="6"/>
                <w:szCs w:val="6"/>
                <w:color w:val="auto"/>
              </w:rPr>
            </w:pPr>
          </w:p>
        </w:tc>
        <w:tc>
          <w:tcPr>
            <w:tcW w:w="2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126,547</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Non-U.S. Government and agencies</w:t>
            </w:r>
          </w:p>
        </w:tc>
        <w:tc>
          <w:tcPr>
            <w:tcW w:w="2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136,682</w:t>
            </w:r>
          </w:p>
        </w:tc>
        <w:tc>
          <w:tcPr>
            <w:tcW w:w="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securities</w:t>
            </w:r>
          </w:p>
        </w:tc>
        <w:tc>
          <w:tcPr>
            <w:tcW w:w="3160" w:type="dxa"/>
            <w:vAlign w:val="bottom"/>
            <w:gridSpan w:val="2"/>
            <w:shd w:val="clear" w:color="auto" w:fill="CCEEFF"/>
          </w:tcPr>
          <w:p>
            <w:pPr>
              <w:ind w:left="29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412,667</w:t>
            </w:r>
          </w:p>
        </w:tc>
        <w:tc>
          <w:tcPr>
            <w:tcW w:w="9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Substantially all of the corporate and non-U.S. Government and agency debt securities are held by LFB and primarily consist of fixed and floating rate European corporate and French government debt securities.</w:t>
      </w:r>
    </w:p>
    <w:p>
      <w:pPr>
        <w:spacing w:after="0" w:line="106"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fair value and amortized cost basis pertaining to debt securities classified as “available-for-sale” at September 30, 2010, by maturity date/first call date, are as follows:</w:t>
      </w:r>
    </w:p>
    <w:p>
      <w:pPr>
        <w:spacing w:after="0" w:line="9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Cost</w:t>
            </w:r>
          </w:p>
        </w:tc>
        <w:tc>
          <w:tcPr>
            <w:tcW w:w="0" w:type="dxa"/>
            <w:vAlign w:val="bottom"/>
          </w:tcPr>
          <w:p>
            <w:pPr>
              <w:spacing w:after="0"/>
              <w:rPr>
                <w:sz w:val="1"/>
                <w:szCs w:val="1"/>
                <w:color w:val="auto"/>
              </w:rPr>
            </w:pPr>
          </w:p>
        </w:tc>
      </w:tr>
      <w:tr>
        <w:trPr>
          <w:trHeight w:val="165"/>
        </w:trPr>
        <w:tc>
          <w:tcPr>
            <w:tcW w:w="4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Maturity Date/First Call Date</w:t>
            </w:r>
          </w:p>
        </w:tc>
        <w:tc>
          <w:tcPr>
            <w:tcW w:w="24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280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99,418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105,503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10 years</w:t>
            </w:r>
          </w:p>
        </w:tc>
        <w:tc>
          <w:tcPr>
            <w:tcW w:w="2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174,864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186,448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Debt investments include corporate perpetual securities that are callable. Such securities are listed in the table above based on their respective first call dates. All other “available-for-sale” securities are listed in the table based on their contractual maturities.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securities classified as “available-for-sale” at September 30, 2010 and December 31, 2009 that are in an unrealized loss position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2010</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 2009</w:t>
            </w:r>
          </w:p>
        </w:tc>
        <w:tc>
          <w:tcPr>
            <w:tcW w:w="940" w:type="dxa"/>
            <w:vAlign w:val="bottom"/>
            <w:tcBorders>
              <w:bottom w:val="single" w:sz="8" w:color="auto"/>
            </w:tcBorders>
          </w:tcPr>
          <w:p>
            <w:pPr>
              <w:spacing w:after="0"/>
              <w:rPr>
                <w:sz w:val="15"/>
                <w:szCs w:val="15"/>
                <w:color w:val="auto"/>
              </w:rPr>
            </w:pPr>
          </w:p>
        </w:tc>
      </w:tr>
      <w:tr>
        <w:trPr>
          <w:trHeight w:val="126"/>
        </w:trPr>
        <w:tc>
          <w:tcPr>
            <w:tcW w:w="1800" w:type="dxa"/>
            <w:vAlign w:val="bottom"/>
            <w:gridSpan w:val="3"/>
          </w:tcPr>
          <w:p>
            <w:pPr>
              <w:jc w:val="center"/>
              <w:ind w:left="909"/>
              <w:spacing w:after="0" w:line="126" w:lineRule="exact"/>
              <w:rPr>
                <w:sz w:val="20"/>
                <w:szCs w:val="20"/>
                <w:color w:val="auto"/>
              </w:rPr>
            </w:pPr>
            <w:r>
              <w:rPr>
                <w:rFonts w:ascii="Times New Roman" w:cs="Times New Roman" w:eastAsia="Times New Roman" w:hAnsi="Times New Roman"/>
                <w:sz w:val="14"/>
                <w:szCs w:val="14"/>
                <w:b w:val="1"/>
                <w:bCs w:val="1"/>
                <w:color w:val="auto"/>
                <w:w w:val="97"/>
              </w:rPr>
              <w:t>Securities in a</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0" w:type="dxa"/>
            <w:vAlign w:val="bottom"/>
            <w:gridSpan w:val="3"/>
          </w:tcPr>
          <w:p>
            <w:pPr>
              <w:jc w:val="center"/>
              <w:ind w:right="686"/>
              <w:spacing w:after="0" w:line="126" w:lineRule="exact"/>
              <w:rPr>
                <w:sz w:val="20"/>
                <w:szCs w:val="20"/>
                <w:color w:val="auto"/>
              </w:rPr>
            </w:pPr>
            <w:r>
              <w:rPr>
                <w:rFonts w:ascii="Times New Roman" w:cs="Times New Roman" w:eastAsia="Times New Roman" w:hAnsi="Times New Roman"/>
                <w:sz w:val="14"/>
                <w:szCs w:val="14"/>
                <w:b w:val="1"/>
                <w:bCs w:val="1"/>
                <w:color w:val="auto"/>
                <w:w w:val="95"/>
              </w:rPr>
              <w:t>Securities in a</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80" w:type="dxa"/>
            <w:vAlign w:val="bottom"/>
            <w:gridSpan w:val="3"/>
          </w:tcPr>
          <w:p>
            <w:pPr>
              <w:jc w:val="center"/>
              <w:ind w:right="867"/>
              <w:spacing w:after="0" w:line="126" w:lineRule="exact"/>
              <w:rPr>
                <w:sz w:val="20"/>
                <w:szCs w:val="20"/>
                <w:color w:val="auto"/>
              </w:rPr>
            </w:pPr>
            <w:r>
              <w:rPr>
                <w:rFonts w:ascii="Times New Roman" w:cs="Times New Roman" w:eastAsia="Times New Roman" w:hAnsi="Times New Roman"/>
                <w:sz w:val="14"/>
                <w:szCs w:val="14"/>
                <w:b w:val="1"/>
                <w:bCs w:val="1"/>
                <w:color w:val="auto"/>
                <w:w w:val="95"/>
              </w:rPr>
              <w:t>Securities in a</w:t>
            </w:r>
          </w:p>
        </w:tc>
        <w:tc>
          <w:tcPr>
            <w:tcW w:w="100" w:type="dxa"/>
            <w:vAlign w:val="bottom"/>
          </w:tcPr>
          <w:p>
            <w:pPr>
              <w:spacing w:after="0"/>
              <w:rPr>
                <w:sz w:val="10"/>
                <w:szCs w:val="10"/>
                <w:color w:val="auto"/>
              </w:rPr>
            </w:pPr>
          </w:p>
        </w:tc>
        <w:tc>
          <w:tcPr>
            <w:tcW w:w="1780" w:type="dxa"/>
            <w:vAlign w:val="bottom"/>
            <w:gridSpan w:val="3"/>
          </w:tcPr>
          <w:p>
            <w:pPr>
              <w:jc w:val="center"/>
              <w:ind w:left="869"/>
              <w:spacing w:after="0" w:line="126" w:lineRule="exact"/>
              <w:rPr>
                <w:sz w:val="20"/>
                <w:szCs w:val="20"/>
                <w:color w:val="auto"/>
              </w:rPr>
            </w:pPr>
            <w:r>
              <w:rPr>
                <w:rFonts w:ascii="Times New Roman" w:cs="Times New Roman" w:eastAsia="Times New Roman" w:hAnsi="Times New Roman"/>
                <w:sz w:val="14"/>
                <w:szCs w:val="14"/>
                <w:b w:val="1"/>
                <w:bCs w:val="1"/>
                <w:color w:val="auto"/>
                <w:w w:val="95"/>
              </w:rPr>
              <w:t>Securities in a</w:t>
            </w:r>
          </w:p>
        </w:tc>
        <w:tc>
          <w:tcPr>
            <w:tcW w:w="940" w:type="dxa"/>
            <w:vAlign w:val="bottom"/>
          </w:tcPr>
          <w:p>
            <w:pPr>
              <w:spacing w:after="0"/>
              <w:rPr>
                <w:sz w:val="10"/>
                <w:szCs w:val="10"/>
                <w:color w:val="auto"/>
              </w:rPr>
            </w:pPr>
          </w:p>
        </w:tc>
      </w:tr>
      <w:tr>
        <w:trPr>
          <w:trHeight w:val="149"/>
        </w:trPr>
        <w:tc>
          <w:tcPr>
            <w:tcW w:w="27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Continuous Loss</w:t>
            </w:r>
          </w:p>
        </w:tc>
        <w:tc>
          <w:tcPr>
            <w:tcW w:w="120" w:type="dxa"/>
            <w:vAlign w:val="bottom"/>
          </w:tcPr>
          <w:p>
            <w:pPr>
              <w:spacing w:after="0"/>
              <w:rPr>
                <w:sz w:val="12"/>
                <w:szCs w:val="12"/>
                <w:color w:val="auto"/>
              </w:rPr>
            </w:pPr>
          </w:p>
        </w:tc>
        <w:tc>
          <w:tcPr>
            <w:tcW w:w="2620" w:type="dxa"/>
            <w:vAlign w:val="bottom"/>
            <w:gridSpan w:val="4"/>
          </w:tcPr>
          <w:p>
            <w:pPr>
              <w:jc w:val="center"/>
              <w:ind w:left="187"/>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Continuous Loss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Continuous Loss</w:t>
            </w:r>
          </w:p>
        </w:tc>
        <w:tc>
          <w:tcPr>
            <w:tcW w:w="10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Continuous Loss</w:t>
            </w:r>
          </w:p>
        </w:tc>
      </w:tr>
      <w:tr>
        <w:trPr>
          <w:trHeight w:val="149"/>
        </w:trPr>
        <w:tc>
          <w:tcPr>
            <w:tcW w:w="1800" w:type="dxa"/>
            <w:vAlign w:val="bottom"/>
            <w:gridSpan w:val="3"/>
          </w:tcPr>
          <w:p>
            <w:pPr>
              <w:jc w:val="center"/>
              <w:ind w:left="889"/>
              <w:spacing w:after="0" w:line="149" w:lineRule="exact"/>
              <w:rPr>
                <w:sz w:val="20"/>
                <w:szCs w:val="20"/>
                <w:color w:val="auto"/>
              </w:rPr>
            </w:pPr>
            <w:r>
              <w:rPr>
                <w:rFonts w:ascii="Times New Roman" w:cs="Times New Roman" w:eastAsia="Times New Roman" w:hAnsi="Times New Roman"/>
                <w:sz w:val="14"/>
                <w:szCs w:val="14"/>
                <w:b w:val="1"/>
                <w:bCs w:val="1"/>
                <w:color w:val="auto"/>
                <w:w w:val="97"/>
              </w:rPr>
              <w:t>Position for</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0" w:type="dxa"/>
            <w:vAlign w:val="bottom"/>
            <w:gridSpan w:val="3"/>
          </w:tcPr>
          <w:p>
            <w:pPr>
              <w:jc w:val="center"/>
              <w:ind w:right="686"/>
              <w:spacing w:after="0" w:line="149" w:lineRule="exact"/>
              <w:rPr>
                <w:sz w:val="20"/>
                <w:szCs w:val="20"/>
                <w:color w:val="auto"/>
              </w:rPr>
            </w:pPr>
            <w:r>
              <w:rPr>
                <w:rFonts w:ascii="Times New Roman" w:cs="Times New Roman" w:eastAsia="Times New Roman" w:hAnsi="Times New Roman"/>
                <w:sz w:val="14"/>
                <w:szCs w:val="14"/>
                <w:b w:val="1"/>
                <w:bCs w:val="1"/>
                <w:color w:val="auto"/>
                <w:w w:val="97"/>
              </w:rPr>
              <w:t>Position for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80" w:type="dxa"/>
            <w:vAlign w:val="bottom"/>
            <w:gridSpan w:val="3"/>
          </w:tcPr>
          <w:p>
            <w:pPr>
              <w:jc w:val="center"/>
              <w:ind w:right="867"/>
              <w:spacing w:after="0" w:line="149" w:lineRule="exact"/>
              <w:rPr>
                <w:sz w:val="20"/>
                <w:szCs w:val="20"/>
                <w:color w:val="auto"/>
              </w:rPr>
            </w:pPr>
            <w:r>
              <w:rPr>
                <w:rFonts w:ascii="Times New Roman" w:cs="Times New Roman" w:eastAsia="Times New Roman" w:hAnsi="Times New Roman"/>
                <w:sz w:val="14"/>
                <w:szCs w:val="14"/>
                <w:b w:val="1"/>
                <w:bCs w:val="1"/>
                <w:color w:val="auto"/>
                <w:w w:val="97"/>
              </w:rPr>
              <w:t>Position for</w:t>
            </w:r>
          </w:p>
        </w:tc>
        <w:tc>
          <w:tcPr>
            <w:tcW w:w="100" w:type="dxa"/>
            <w:vAlign w:val="bottom"/>
          </w:tcPr>
          <w:p>
            <w:pPr>
              <w:spacing w:after="0"/>
              <w:rPr>
                <w:sz w:val="12"/>
                <w:szCs w:val="12"/>
                <w:color w:val="auto"/>
              </w:rPr>
            </w:pPr>
          </w:p>
        </w:tc>
        <w:tc>
          <w:tcPr>
            <w:tcW w:w="1780" w:type="dxa"/>
            <w:vAlign w:val="bottom"/>
            <w:gridSpan w:val="3"/>
          </w:tcPr>
          <w:p>
            <w:pPr>
              <w:jc w:val="center"/>
              <w:ind w:left="869"/>
              <w:spacing w:after="0" w:line="149" w:lineRule="exact"/>
              <w:rPr>
                <w:sz w:val="20"/>
                <w:szCs w:val="20"/>
                <w:color w:val="auto"/>
              </w:rPr>
            </w:pPr>
            <w:r>
              <w:rPr>
                <w:rFonts w:ascii="Times New Roman" w:cs="Times New Roman" w:eastAsia="Times New Roman" w:hAnsi="Times New Roman"/>
                <w:sz w:val="14"/>
                <w:szCs w:val="14"/>
                <w:b w:val="1"/>
                <w:bCs w:val="1"/>
                <w:color w:val="auto"/>
                <w:w w:val="97"/>
              </w:rPr>
              <w:t>Position for</w:t>
            </w:r>
          </w:p>
        </w:tc>
        <w:tc>
          <w:tcPr>
            <w:tcW w:w="940" w:type="dxa"/>
            <w:vAlign w:val="bottom"/>
          </w:tcPr>
          <w:p>
            <w:pPr>
              <w:spacing w:after="0"/>
              <w:rPr>
                <w:sz w:val="12"/>
                <w:szCs w:val="12"/>
                <w:color w:val="auto"/>
              </w:rPr>
            </w:pPr>
          </w:p>
        </w:tc>
      </w:tr>
      <w:tr>
        <w:trPr>
          <w:trHeight w:val="179"/>
        </w:trPr>
        <w:tc>
          <w:tcPr>
            <w:tcW w:w="2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Less than 12 Months</w:t>
            </w:r>
          </w:p>
        </w:tc>
        <w:tc>
          <w:tcPr>
            <w:tcW w:w="120" w:type="dxa"/>
            <w:vAlign w:val="bottom"/>
          </w:tcPr>
          <w:p>
            <w:pPr>
              <w:spacing w:after="0"/>
              <w:rPr>
                <w:sz w:val="15"/>
                <w:szCs w:val="15"/>
                <w:color w:val="auto"/>
              </w:rPr>
            </w:pPr>
          </w:p>
        </w:tc>
        <w:tc>
          <w:tcPr>
            <w:tcW w:w="2620" w:type="dxa"/>
            <w:vAlign w:val="bottom"/>
            <w:tcBorders>
              <w:bottom w:val="single" w:sz="8" w:color="auto"/>
            </w:tcBorders>
            <w:gridSpan w:val="4"/>
          </w:tcPr>
          <w:p>
            <w:pPr>
              <w:jc w:val="center"/>
              <w:ind w:left="187"/>
              <w:spacing w:after="0"/>
              <w:rPr>
                <w:sz w:val="20"/>
                <w:szCs w:val="20"/>
                <w:color w:val="auto"/>
              </w:rPr>
            </w:pPr>
            <w:r>
              <w:rPr>
                <w:rFonts w:ascii="Times New Roman" w:cs="Times New Roman" w:eastAsia="Times New Roman" w:hAnsi="Times New Roman"/>
                <w:sz w:val="14"/>
                <w:szCs w:val="14"/>
                <w:b w:val="1"/>
                <w:bCs w:val="1"/>
                <w:color w:val="auto"/>
                <w:w w:val="97"/>
              </w:rPr>
              <w:t>12 Months or Longer</w:t>
            </w: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Less than 12 Months</w:t>
            </w:r>
          </w:p>
        </w:tc>
        <w:tc>
          <w:tcPr>
            <w:tcW w:w="10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12 Months or Longer</w:t>
            </w:r>
          </w:p>
        </w:tc>
      </w:tr>
      <w:tr>
        <w:trPr>
          <w:trHeight w:val="126"/>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jc w:val="center"/>
              <w:ind w:right="227"/>
              <w:spacing w:after="0" w:line="126"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left="186"/>
              <w:spacing w:after="0" w:line="126"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jc w:val="center"/>
              <w:ind w:right="226"/>
              <w:spacing w:after="0" w:line="126" w:lineRule="exact"/>
              <w:rPr>
                <w:sz w:val="20"/>
                <w:szCs w:val="20"/>
                <w:color w:val="auto"/>
              </w:rPr>
            </w:pPr>
            <w:r>
              <w:rPr>
                <w:rFonts w:ascii="Times New Roman" w:cs="Times New Roman" w:eastAsia="Times New Roman" w:hAnsi="Times New Roman"/>
                <w:sz w:val="14"/>
                <w:szCs w:val="14"/>
                <w:b w:val="1"/>
                <w:bCs w:val="1"/>
                <w:color w:val="auto"/>
                <w:w w:val="97"/>
              </w:rPr>
              <w:t>Unrealized</w:t>
            </w:r>
          </w:p>
        </w:tc>
      </w:tr>
      <w:tr>
        <w:trPr>
          <w:trHeight w:val="178"/>
        </w:trPr>
        <w:tc>
          <w:tcPr>
            <w:tcW w:w="18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960" w:type="dxa"/>
            <w:vAlign w:val="bottom"/>
          </w:tcPr>
          <w:p>
            <w:pPr>
              <w:jc w:val="center"/>
              <w:ind w:right="227"/>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20" w:type="dxa"/>
            <w:vAlign w:val="bottom"/>
          </w:tcPr>
          <w:p>
            <w:pPr>
              <w:spacing w:after="0"/>
              <w:rPr>
                <w:sz w:val="15"/>
                <w:szCs w:val="15"/>
                <w:color w:val="auto"/>
              </w:rPr>
            </w:pPr>
          </w:p>
        </w:tc>
        <w:tc>
          <w:tcPr>
            <w:tcW w:w="10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00" w:type="dxa"/>
            <w:vAlign w:val="bottom"/>
          </w:tcPr>
          <w:p>
            <w:pPr>
              <w:spacing w:after="0"/>
              <w:rPr>
                <w:sz w:val="15"/>
                <w:szCs w:val="15"/>
                <w:color w:val="auto"/>
              </w:rPr>
            </w:pPr>
          </w:p>
        </w:tc>
        <w:tc>
          <w:tcPr>
            <w:tcW w:w="17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940" w:type="dxa"/>
            <w:vAlign w:val="bottom"/>
          </w:tcPr>
          <w:p>
            <w:pPr>
              <w:jc w:val="center"/>
              <w:ind w:right="226"/>
              <w:spacing w:after="0"/>
              <w:rPr>
                <w:sz w:val="20"/>
                <w:szCs w:val="20"/>
                <w:color w:val="auto"/>
              </w:rPr>
            </w:pPr>
            <w:r>
              <w:rPr>
                <w:rFonts w:ascii="Times New Roman" w:cs="Times New Roman" w:eastAsia="Times New Roman" w:hAnsi="Times New Roman"/>
                <w:sz w:val="14"/>
                <w:szCs w:val="14"/>
                <w:b w:val="1"/>
                <w:bCs w:val="1"/>
                <w:color w:val="auto"/>
              </w:rPr>
              <w:t>Loss</w:t>
            </w:r>
          </w:p>
        </w:tc>
      </w:tr>
      <w:tr>
        <w:trPr>
          <w:trHeight w:val="210"/>
        </w:trPr>
        <w:tc>
          <w:tcPr>
            <w:tcW w:w="138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8"/>
                <w:szCs w:val="18"/>
                <w:color w:val="auto"/>
              </w:rPr>
              <w:t>$9,561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center"/>
              <w:ind w:right="207"/>
              <w:spacing w:after="0"/>
              <w:rPr>
                <w:sz w:val="20"/>
                <w:szCs w:val="20"/>
                <w:color w:val="auto"/>
              </w:rPr>
            </w:pPr>
            <w:r>
              <w:rPr>
                <w:rFonts w:ascii="Times New Roman" w:cs="Times New Roman" w:eastAsia="Times New Roman" w:hAnsi="Times New Roman"/>
                <w:sz w:val="18"/>
                <w:szCs w:val="18"/>
                <w:color w:val="auto"/>
                <w:w w:val="96"/>
              </w:rPr>
              <w:t>$1,026</w:t>
            </w:r>
          </w:p>
        </w:tc>
        <w:tc>
          <w:tcPr>
            <w:tcW w:w="120" w:type="dxa"/>
            <w:vAlign w:val="bottom"/>
          </w:tcPr>
          <w:p>
            <w:pPr>
              <w:spacing w:after="0"/>
              <w:rPr>
                <w:sz w:val="18"/>
                <w:szCs w:val="18"/>
                <w:color w:val="auto"/>
              </w:rPr>
            </w:pPr>
          </w:p>
        </w:tc>
        <w:tc>
          <w:tcPr>
            <w:tcW w:w="10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$77,757</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ind w:left="206"/>
              <w:spacing w:after="0"/>
              <w:rPr>
                <w:sz w:val="20"/>
                <w:szCs w:val="20"/>
                <w:color w:val="auto"/>
              </w:rPr>
            </w:pPr>
            <w:r>
              <w:rPr>
                <w:rFonts w:ascii="Times New Roman" w:cs="Times New Roman" w:eastAsia="Times New Roman" w:hAnsi="Times New Roman"/>
                <w:sz w:val="18"/>
                <w:szCs w:val="18"/>
                <w:color w:val="auto"/>
                <w:w w:val="95"/>
              </w:rPr>
              <w:t>$11,964</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8"/>
                <w:szCs w:val="18"/>
                <w:color w:val="auto"/>
              </w:rPr>
              <w:t>$166,094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226"/>
              <w:spacing w:after="0"/>
              <w:rPr>
                <w:sz w:val="20"/>
                <w:szCs w:val="20"/>
                <w:color w:val="auto"/>
              </w:rPr>
            </w:pPr>
            <w:r>
              <w:rPr>
                <w:rFonts w:ascii="Times New Roman" w:cs="Times New Roman" w:eastAsia="Times New Roman" w:hAnsi="Times New Roman"/>
                <w:sz w:val="18"/>
                <w:szCs w:val="18"/>
                <w:color w:val="auto"/>
                <w:w w:val="95"/>
              </w:rPr>
              <w:t>$21,381</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57"/>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LFB does not intend to sell its debt securities classified as “available-for-sale” that are in an unrealized loss position, nor is it more likely than not that LFB will be required to sell such debt securities before their anticipated recovery. In addition, no credit loss was required to be recognized for these debt securities during the three month and nine month periods ended September 30, 2010 based on the qualitative and quantitative analysis performed by the Company. During the three month and nine month periods ended September 30, 2009, other-than-temporary impairment charges of $528 and $1,444, respectively, were recognized in “other-revenue” on the condensed consolidated statements of operations, representing the credit loss component of debt securities whose fair value was below amortized cost.</w:t>
      </w:r>
    </w:p>
    <w:p>
      <w:pPr>
        <w:spacing w:after="0" w:line="126"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The fair value and amortized cost basis pertaining to debt securities classified as “held-to-maturity” at September 30, 2010, by maturity date, are as follows:</w:t>
      </w:r>
    </w:p>
    <w:p>
      <w:pPr>
        <w:spacing w:after="0" w:line="9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Cost</w:t>
            </w:r>
          </w:p>
        </w:tc>
        <w:tc>
          <w:tcPr>
            <w:tcW w:w="0" w:type="dxa"/>
            <w:vAlign w:val="bottom"/>
          </w:tcPr>
          <w:p>
            <w:pPr>
              <w:spacing w:after="0"/>
              <w:rPr>
                <w:sz w:val="1"/>
                <w:szCs w:val="1"/>
                <w:color w:val="auto"/>
              </w:rPr>
            </w:pPr>
          </w:p>
        </w:tc>
      </w:tr>
      <w:tr>
        <w:trPr>
          <w:trHeight w:val="165"/>
        </w:trPr>
        <w:tc>
          <w:tcPr>
            <w:tcW w:w="4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6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132,896</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143,144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There were no debt securities classified as “held-to-maturity” at September 30, 2010 and December 31, 2009 that were in an unrecognized loss position.</w:t>
      </w:r>
    </w:p>
    <w:p>
      <w:pPr>
        <w:spacing w:after="0" w:line="181"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w:t>
      </w:r>
    </w:p>
    <w:p>
      <w:pPr>
        <w:spacing w:after="0" w:line="11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2008, LFNY was a party to a Prime Brokerage Agreement with Lehman Brothers Inc. (“LBI”) for certain accounts involving investment strategies managed by LAM. On September 9, 2008, LAM requested a transfer of such accounts, of which $11,368 was not received. On September 15, 2008, Lehman Brothers Holdings, Inc., the ultimate parent company in the Lehman Group, filed for protection under Chapter 11 of the United States Bankruptcy Code and a number of Lehman Group entities in the UK entered into administration proceedings under the Insolvency Act 1986. In addition, the Securities Investor Protection Corporation (“SIPC”) commenced liquidation proceedings on September 19, 2008 pursuant to the Securities Investor Protection Act of 1970, as amended, with respect to LBI. The Chapter 11 filing, Insolvency Act Administration and SIPC proceedings exposed Lazard to possible loss due to counterparty credit and other risk. During 2008, the Company provided for the entire amount of such possible loss, and, through September 30, 2010, $649 has been recovered by the Company. We continue to actively seek recovery of all amounts.</w:t>
      </w:r>
    </w:p>
    <w:p>
      <w:pPr>
        <w:spacing w:after="0" w:line="125"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Noncontrolling interests are presented within “stockholders’ equity” on the condensed consolidated statements of financial condition (see Note 12 of Notes to Condensed Consolidated Financial Statements).</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 Senior Housing is managed by Lazard Alternative Investments Holdings LLC (“LAI”), a subsidiary of LFCM Holdings LLC (“LFCM Holdings”). LAI owns and operates the alternative investments of LFCM Holdings. CP II was managed by a subsidiary of LAI until February 16, 2009. Effective February 17, 2009, ownership and control of CP II was transferred to the investment professionals who manage CP II.</w:t>
      </w:r>
    </w:p>
    <w:p>
      <w:pPr>
        <w:spacing w:after="0" w:line="128"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Private equity investments consolidated but not owned by Lazard are related solely to Lazard’s establishment of a private equity business with the Edgewater Funds (“Edgewater”), a Chicago-based private equity firm, through the acquisition of Edgewater’s management vehicles on July 15, 2009. The acquisition was structured as a purchase by Lazard of interests in a holding company that owns interests in the general partner and management company entities of the current Edgewater private equity funds (the “Edgewater Acquisition”). Edgewater is focused on buyout and growth equity investments in middle market companies. The economic interests that the Company does not own are owned by the current leadership team and other investors in the Edgewater management vehicles. See Note 8 of Notes to Condensed Consolidated Financial Statements.</w:t>
      </w:r>
    </w:p>
    <w:p>
      <w:pPr>
        <w:spacing w:after="0" w:line="12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Equity method investments at December 31, 2009 primarily consisted of our investment in Sapphire Industrials Corp. (“Sapphire”). On January 24, 2008, Sapphire, a then newly-organized special purpose acquisition company formed by the Company, completed an initial public offering (the “Sapphire IPO”). Sapphire was formed for the purpose of effecting a business combination within a 24-month period (the “Business Combination”) and net proceeds from the Sapphire IPO were placed in a trust account by Sapphire (the “Trust Account”) pending consummation of the Business Combination. In connection with the Sapphire IPO, the Company purchased warrants from Sapphire for a total purchase price of $12,500 and Sapphire common stock for an aggregate purchase price of $50,000.</w:t>
      </w:r>
    </w:p>
    <w:p>
      <w:pPr>
        <w:spacing w:after="0" w:line="12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On January 6, 2010, Sapphire announced that it had not completed the Business Combination and it would dissolve and distribute the funds in the Trust Account to all its public shareholders, to the extent they were holders of shares issued in the Sapphire IPO. Pursuant to such dissolution, on January 26, 2010, Sapphire distributed an initial distribution to the Company aggregating $50,319. All Sapphire warrants expired without value. During the fourth quarter of 2009, the Company recognized a loss of approximately $13,000 principally related to its investment in warrants of Sapphire.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recognized gross investment gains and losses on investments measured at fair value for the three month and nine month periods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2010 and 2009, in “revenue-other” on its condensed consolidated statement of operations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 Period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Nine Month Period</w:t>
            </w:r>
          </w:p>
        </w:tc>
      </w:tr>
      <w:tr>
        <w:trPr>
          <w:trHeight w:val="165"/>
        </w:trPr>
        <w:tc>
          <w:tcPr>
            <w:tcW w:w="36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Ended September 30,</w:t>
            </w:r>
          </w:p>
        </w:tc>
      </w:tr>
      <w:tr>
        <w:trPr>
          <w:trHeight w:val="142"/>
        </w:trPr>
        <w:tc>
          <w:tcPr>
            <w:tcW w:w="36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2"/>
                <w:szCs w:val="12"/>
                <w:color w:val="auto"/>
              </w:rPr>
            </w:pP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gains</w:t>
            </w:r>
          </w:p>
        </w:tc>
        <w:tc>
          <w:tcPr>
            <w:tcW w:w="4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2"/>
              </w:rPr>
              <w:t>17,306</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20,489</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26,690</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41,419</w:t>
            </w:r>
          </w:p>
        </w:tc>
        <w:tc>
          <w:tcPr>
            <w:tcW w:w="20" w:type="dxa"/>
            <w:vAlign w:val="bottom"/>
          </w:tcPr>
          <w:p>
            <w:pPr>
              <w:spacing w:after="0"/>
              <w:rPr>
                <w:sz w:val="18"/>
                <w:szCs w:val="18"/>
                <w:color w:val="auto"/>
              </w:rPr>
            </w:pP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Gross investment losses</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0" w:type="dxa"/>
            <w:vAlign w:val="bottom"/>
          </w:tcPr>
          <w:p>
            <w:pPr>
              <w:spacing w:after="0"/>
              <w:rPr>
                <w:sz w:val="19"/>
                <w:szCs w:val="19"/>
                <w:color w:val="auto"/>
              </w:rPr>
            </w:pPr>
          </w:p>
        </w:tc>
      </w:tr>
      <w:tr>
        <w:trPr>
          <w:trHeight w:val="499"/>
        </w:trPr>
        <w:tc>
          <w:tcPr>
            <w:tcW w:w="3660" w:type="dxa"/>
            <w:vAlign w:val="bottom"/>
          </w:tcPr>
          <w:p>
            <w:pPr>
              <w:spacing w:after="0"/>
              <w:rPr>
                <w:sz w:val="24"/>
                <w:szCs w:val="24"/>
                <w:color w:val="auto"/>
              </w:rPr>
            </w:pPr>
          </w:p>
        </w:tc>
        <w:tc>
          <w:tcPr>
            <w:tcW w:w="4420" w:type="dxa"/>
            <w:vAlign w:val="bottom"/>
          </w:tcPr>
          <w:p>
            <w:pPr>
              <w:jc w:val="right"/>
              <w:ind w:right="219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above includes gross unrealized investment gains and losses pertaining to “trading” securities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5"/>
              </w:rPr>
              <w:t>Three Month Period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Nine Month</w:t>
            </w:r>
          </w:p>
        </w:tc>
      </w:tr>
      <w:tr>
        <w:trPr>
          <w:trHeight w:val="149"/>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 September</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Period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Ended September 30,</w:t>
            </w:r>
          </w:p>
        </w:tc>
      </w:tr>
      <w:tr>
        <w:trPr>
          <w:trHeight w:val="142"/>
        </w:trPr>
        <w:tc>
          <w:tcPr>
            <w:tcW w:w="7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2010</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2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100" w:type="dxa"/>
            <w:vAlign w:val="bottom"/>
          </w:tcPr>
          <w:p>
            <w:pPr>
              <w:spacing w:after="0"/>
              <w:rPr>
                <w:sz w:val="12"/>
                <w:szCs w:val="12"/>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unrealized investment gains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1,187</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shd w:val="clear" w:color="auto" w:fill="CCEEFF"/>
          </w:tcPr>
          <w:p>
            <w:pPr>
              <w:spacing w:after="0"/>
              <w:rPr>
                <w:sz w:val="18"/>
                <w:szCs w:val="18"/>
                <w:color w:val="auto"/>
              </w:rPr>
            </w:pPr>
          </w:p>
        </w:tc>
      </w:tr>
      <w:tr>
        <w:trPr>
          <w:trHeight w:val="228"/>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investment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138</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r>
    </w:tbl>
    <w:p>
      <w:pPr>
        <w:spacing w:after="0" w:line="12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addition, within “accumulated other comprehensive income (loss), net of tax” (“AOCI”), the Company recorded gross pre-tax unrealized investment gains of $8,672 and $41,281 during the nine month periods ended September 30, 2010 and 2009, respectively, and gross pre-tax unrealized investment losses of $1,950 and $364 during the nine month periods ended September 30, 2010 and 2009, respectively, pertaining to debt securities held at LFB that are designated as “available-for-sale.” With respect to adjustments for items reclassified to earnings, the average cost basis is utilized for purposes of calculating realized investment gains and losses.</w:t>
      </w:r>
    </w:p>
    <w:p>
      <w:pPr>
        <w:spacing w:after="0" w:line="121"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80"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Lazard categorizes its investments and certain other assets and liabilities recorded at fair value into a three-level fair value hierarchy as follows:</w:t>
      </w:r>
    </w:p>
    <w:p>
      <w:pPr>
        <w:spacing w:after="0" w:line="75" w:lineRule="exact"/>
        <w:rPr>
          <w:sz w:val="20"/>
          <w:szCs w:val="20"/>
          <w:color w:val="auto"/>
        </w:rPr>
      </w:pPr>
    </w:p>
    <w:p>
      <w:pPr>
        <w:ind w:left="920" w:right="360" w:hanging="904"/>
        <w:spacing w:after="0" w:line="275"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Assets and liabilities whose values are based on unadjusted quoted prices for identical assets or liabilities in an active market that Lazard has the ability to access.</w:t>
      </w:r>
    </w:p>
    <w:p>
      <w:pPr>
        <w:spacing w:after="0" w:line="25" w:lineRule="exact"/>
        <w:rPr>
          <w:sz w:val="20"/>
          <w:szCs w:val="20"/>
          <w:color w:val="auto"/>
        </w:rPr>
      </w:pPr>
    </w:p>
    <w:p>
      <w:pPr>
        <w:ind w:left="920" w:hanging="904"/>
        <w:spacing w:after="0" w:line="262"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38" w:lineRule="exact"/>
        <w:rPr>
          <w:sz w:val="20"/>
          <w:szCs w:val="20"/>
          <w:color w:val="auto"/>
        </w:rPr>
      </w:pPr>
    </w:p>
    <w:p>
      <w:pPr>
        <w:ind w:left="920" w:hanging="904"/>
        <w:spacing w:after="0" w:line="256"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127"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Most of the Company’s investments in corporate debt securities are considered Level 2 investments with such fair value based on observable data, principally broker quotes as provided by external pricing services. The Company’s other debt securities at fair value are considered Level 1 investments with such fair value based on unadjusted quoted prices in active markets.</w:t>
      </w:r>
    </w:p>
    <w:p>
      <w:pPr>
        <w:spacing w:after="0" w:line="119"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The fair value of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123"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interests in LAM alternative asset management funds is classified as Level 2 and is based on information provided by external pricing services.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2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private equity investments is classified as Level 3 and is based on financial statements provided by fund managers, appraisals and internal valuations.</w:t>
      </w:r>
    </w:p>
    <w:p>
      <w:pPr>
        <w:spacing w:after="0" w:line="106"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06"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the categorization of investments and certain other assets and liabilities measured at fair value on a recurring basis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2010 and December 31, 2009 into a three-level fair value hierarchy in accordance with fair value measurement disclosure requirements: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As of September 30, 2010</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100" w:type="dxa"/>
            <w:vAlign w:val="bottom"/>
          </w:tcPr>
          <w:p>
            <w:pPr>
              <w:spacing w:after="0"/>
              <w:rPr>
                <w:sz w:val="12"/>
                <w:szCs w:val="12"/>
                <w:color w:val="auto"/>
              </w:rPr>
            </w:pPr>
          </w:p>
        </w:tc>
        <w:tc>
          <w:tcPr>
            <w:tcW w:w="60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 (excluding securities at amortized cost)</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5"/>
              </w:rPr>
              <w:t>101,121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174,864</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275,985</w:t>
            </w: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69,206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rPr>
              <w:t>313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85,215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(excluding equity method investments):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Interest in LAM alternative asset management funds: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GP interests owned</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50,859</w:t>
            </w: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GP interests consolidated but not owned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Private equity:</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Investments owned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99,349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Investments consolidated but not owned</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44,464</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5"/>
              </w:rPr>
              <w:t>170,327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250,268</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144,126</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564,721</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2,868</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29,027</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29,027</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31,895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80" w:type="dxa"/>
            <w:vAlign w:val="bottom"/>
            <w:vMerge w:val="restart"/>
          </w:tcPr>
          <w:p>
            <w:pPr>
              <w:jc w:val="right"/>
              <w:ind w:right="131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As of December 31, 2009</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100" w:type="dxa"/>
            <w:vAlign w:val="bottom"/>
          </w:tcPr>
          <w:p>
            <w:pPr>
              <w:spacing w:after="0"/>
              <w:rPr>
                <w:sz w:val="12"/>
                <w:szCs w:val="12"/>
                <w:color w:val="auto"/>
              </w:rPr>
            </w:pPr>
          </w:p>
        </w:tc>
        <w:tc>
          <w:tcPr>
            <w:tcW w:w="60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 (excluding securities at amortized cost)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70,556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253,663</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324,219</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65,932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rPr>
              <w:t>305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82,442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(excluding equity method investments):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Interest in LAM alternative asset management funds: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GP interests owned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50,080</w:t>
            </w:r>
          </w:p>
        </w:tc>
        <w:tc>
          <w:tcPr>
            <w:tcW w:w="0" w:type="dxa"/>
            <w:vAlign w:val="bottom"/>
          </w:tcPr>
          <w:p>
            <w:pPr>
              <w:spacing w:after="0"/>
              <w:rPr>
                <w:sz w:val="1"/>
                <w:szCs w:val="1"/>
                <w:color w:val="auto"/>
              </w:rPr>
            </w:pPr>
          </w:p>
        </w:tc>
      </w:tr>
      <w:tr>
        <w:trPr>
          <w:trHeight w:val="216"/>
        </w:trPr>
        <w:tc>
          <w:tcPr>
            <w:tcW w:w="5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GP interests consolidated but not owned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Private equity:</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Investments owned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100,171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102,983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Investments consolidated but not owned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35,743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5"/>
              </w:rPr>
              <w:t>136,493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336,714</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136,219</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609,426</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5,179</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22,562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00" w:firstLine="456"/>
        <w:spacing w:after="0" w:line="275" w:lineRule="auto"/>
        <w:rPr>
          <w:sz w:val="20"/>
          <w:szCs w:val="20"/>
          <w:color w:val="auto"/>
        </w:rPr>
      </w:pPr>
      <w:r>
        <w:rPr>
          <w:rFonts w:ascii="Times New Roman" w:cs="Times New Roman" w:eastAsia="Times New Roman" w:hAnsi="Times New Roman"/>
          <w:sz w:val="18"/>
          <w:szCs w:val="18"/>
          <w:color w:val="auto"/>
        </w:rPr>
        <w:t>There were no transfers into and out of the Level 1, 2 and 3 categories in the fair value measurement hierarchy for the three month and nine month periods ended September 30, 2010.</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provide a summary of changes in fair value of the Company’s Level 3 assets for the three month and nine month periods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2010 and 2009: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2010</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700"/>
              <w:spacing w:after="0" w:line="125"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Net Unrealized/</w:t>
            </w:r>
          </w:p>
        </w:tc>
        <w:tc>
          <w:tcPr>
            <w:tcW w:w="440" w:type="dxa"/>
            <w:vAlign w:val="bottom"/>
          </w:tcPr>
          <w:p>
            <w:pPr>
              <w:spacing w:after="0"/>
              <w:rPr>
                <w:sz w:val="12"/>
                <w:szCs w:val="12"/>
                <w:color w:val="auto"/>
              </w:rPr>
            </w:pPr>
          </w:p>
        </w:tc>
        <w:tc>
          <w:tcPr>
            <w:tcW w:w="12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Purchases,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Realized</w:t>
            </w:r>
          </w:p>
        </w:tc>
        <w:tc>
          <w:tcPr>
            <w:tcW w:w="440" w:type="dxa"/>
            <w:vAlign w:val="bottom"/>
          </w:tcPr>
          <w:p>
            <w:pPr>
              <w:spacing w:after="0"/>
              <w:rPr>
                <w:sz w:val="12"/>
                <w:szCs w:val="12"/>
                <w:color w:val="auto"/>
              </w:rPr>
            </w:pPr>
          </w:p>
        </w:tc>
        <w:tc>
          <w:tcPr>
            <w:tcW w:w="12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Issuances</w:t>
            </w:r>
          </w:p>
        </w:tc>
        <w:tc>
          <w:tcPr>
            <w:tcW w:w="100" w:type="dxa"/>
            <w:vAlign w:val="bottom"/>
          </w:tcPr>
          <w:p>
            <w:pPr>
              <w:spacing w:after="0"/>
              <w:rPr>
                <w:sz w:val="12"/>
                <w:szCs w:val="12"/>
                <w:color w:val="auto"/>
              </w:rPr>
            </w:pPr>
          </w:p>
        </w:tc>
        <w:tc>
          <w:tcPr>
            <w:tcW w:w="12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 w:type="dxa"/>
            <w:vAlign w:val="bottom"/>
          </w:tcPr>
          <w:p>
            <w:pPr>
              <w:spacing w:after="0"/>
              <w:rPr>
                <w:sz w:val="12"/>
                <w:szCs w:val="12"/>
                <w:color w:val="auto"/>
              </w:rPr>
            </w:pPr>
          </w:p>
        </w:tc>
        <w:tc>
          <w:tcPr>
            <w:tcW w:w="12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Included In</w:t>
            </w:r>
          </w:p>
        </w:tc>
        <w:tc>
          <w:tcPr>
            <w:tcW w:w="440" w:type="dxa"/>
            <w:vAlign w:val="bottom"/>
          </w:tcPr>
          <w:p>
            <w:pPr>
              <w:spacing w:after="0"/>
              <w:rPr>
                <w:sz w:val="12"/>
                <w:szCs w:val="12"/>
                <w:color w:val="auto"/>
              </w:rPr>
            </w:pPr>
          </w:p>
        </w:tc>
        <w:tc>
          <w:tcPr>
            <w:tcW w:w="12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Settlements/</w:t>
            </w:r>
          </w:p>
        </w:tc>
        <w:tc>
          <w:tcPr>
            <w:tcW w:w="130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65"/>
        </w:trPr>
        <w:tc>
          <w:tcPr>
            <w:tcW w:w="4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52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Revenue-Other</w:t>
            </w:r>
          </w:p>
        </w:tc>
        <w:tc>
          <w:tcPr>
            <w:tcW w:w="440" w:type="dxa"/>
            <w:vAlign w:val="bottom"/>
          </w:tcPr>
          <w:p>
            <w:pPr>
              <w:spacing w:after="0"/>
              <w:rPr>
                <w:sz w:val="14"/>
                <w:szCs w:val="14"/>
                <w:color w:val="auto"/>
              </w:rPr>
            </w:pPr>
          </w:p>
        </w:tc>
        <w:tc>
          <w:tcPr>
            <w:tcW w:w="12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4"/>
              </w:rPr>
              <w:t>Acquisitions</w:t>
            </w:r>
          </w:p>
        </w:tc>
        <w:tc>
          <w:tcPr>
            <w:tcW w:w="13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Private equity:</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Investments owned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4,188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99,349</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Investments consolidated but not owned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44,464</w:t>
            </w:r>
          </w:p>
        </w:tc>
        <w:tc>
          <w:tcPr>
            <w:tcW w:w="100" w:type="dxa"/>
            <w:vAlign w:val="bottom"/>
            <w:shd w:val="clear" w:color="auto" w:fill="CCEEFF"/>
          </w:tcPr>
          <w:p>
            <w:pPr>
              <w:spacing w:after="0"/>
              <w:rPr>
                <w:sz w:val="18"/>
                <w:szCs w:val="18"/>
                <w:color w:val="auto"/>
              </w:rPr>
            </w:pPr>
          </w:p>
        </w:tc>
      </w:tr>
      <w:tr>
        <w:trPr>
          <w:trHeight w:val="223"/>
        </w:trPr>
        <w:tc>
          <w:tcPr>
            <w:tcW w:w="4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138,708</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144,126</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4"/>
          </w:tcPr>
          <w:p>
            <w:pPr>
              <w:jc w:val="center"/>
              <w:ind w:right="580"/>
              <w:spacing w:after="0" w:line="125" w:lineRule="exact"/>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5"/>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 Unrealized/</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5"/>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Realized</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5"/>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Issuances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5"/>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Included In</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5"/>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Settlements/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5"/>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65"/>
        </w:trPr>
        <w:tc>
          <w:tcPr>
            <w:tcW w:w="4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Revenue-Other</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Acquisitions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8"/>
                <w:szCs w:val="18"/>
                <w:color w:val="auto"/>
              </w:rPr>
            </w:pPr>
          </w:p>
        </w:tc>
        <w:tc>
          <w:tcPr>
            <w:tcW w:w="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Private equity:</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Investments owned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93,530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1,509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100,156</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Investments consolidated but not owned</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35,392</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$93,827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36,763</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135,852</w:t>
            </w:r>
          </w:p>
        </w:tc>
        <w:tc>
          <w:tcPr>
            <w:tcW w:w="10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5"/>
        </w:trPr>
        <w:tc>
          <w:tcPr>
            <w:tcW w:w="46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6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65"/>
        </w:trPr>
        <w:tc>
          <w:tcPr>
            <w:tcW w:w="4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2010</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4"/>
          </w:tcPr>
          <w:p>
            <w:pPr>
              <w:jc w:val="center"/>
              <w:ind w:right="6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7"/>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6"/>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Purchases,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Realized</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5"/>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Issuances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5"/>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gridSpan w:val="6"/>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Included In</w:t>
            </w:r>
          </w:p>
        </w:tc>
        <w:tc>
          <w:tcPr>
            <w:tcW w:w="360" w:type="dxa"/>
            <w:vAlign w:val="bottom"/>
          </w:tcPr>
          <w:p>
            <w:pPr>
              <w:spacing w:after="0"/>
              <w:rPr>
                <w:sz w:val="12"/>
                <w:szCs w:val="12"/>
                <w:color w:val="auto"/>
              </w:rPr>
            </w:pPr>
          </w:p>
        </w:tc>
        <w:tc>
          <w:tcPr>
            <w:tcW w:w="1200" w:type="dxa"/>
            <w:vAlign w:val="bottom"/>
            <w:gridSpan w:val="7"/>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Settlements/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65"/>
        </w:trPr>
        <w:tc>
          <w:tcPr>
            <w:tcW w:w="4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 w:type="dxa"/>
            <w:vAlign w:val="bottom"/>
          </w:tcPr>
          <w:p>
            <w:pPr>
              <w:spacing w:after="0"/>
              <w:rPr>
                <w:sz w:val="14"/>
                <w:szCs w:val="14"/>
                <w:color w:val="auto"/>
              </w:rPr>
            </w:pPr>
          </w:p>
        </w:tc>
        <w:tc>
          <w:tcPr>
            <w:tcW w:w="10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Revenue-Other</w:t>
            </w:r>
          </w:p>
        </w:tc>
        <w:tc>
          <w:tcPr>
            <w:tcW w:w="360" w:type="dxa"/>
            <w:vAlign w:val="bottom"/>
          </w:tcPr>
          <w:p>
            <w:pPr>
              <w:spacing w:after="0"/>
              <w:rPr>
                <w:sz w:val="14"/>
                <w:szCs w:val="14"/>
                <w:color w:val="auto"/>
              </w:rPr>
            </w:pPr>
          </w:p>
        </w:tc>
        <w:tc>
          <w:tcPr>
            <w:tcW w:w="120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Acquisitions</w:t>
            </w:r>
          </w:p>
        </w:tc>
        <w:tc>
          <w:tcPr>
            <w:tcW w:w="1240" w:type="dxa"/>
            <w:vAlign w:val="bottom"/>
            <w:gridSpan w:val="7"/>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4"/>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Investments owned</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100,171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99,349</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Investments consolidated but not owned</w:t>
            </w:r>
          </w:p>
        </w:tc>
        <w:tc>
          <w:tcPr>
            <w:tcW w:w="1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3,637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44,464</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98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136,219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5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144,126</w:t>
            </w:r>
          </w:p>
        </w:tc>
        <w:tc>
          <w:tcPr>
            <w:tcW w:w="10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5"/>
        </w:trPr>
        <w:tc>
          <w:tcPr>
            <w:tcW w:w="46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60" w:type="dxa"/>
            <w:vAlign w:val="bottom"/>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65"/>
        </w:trPr>
        <w:tc>
          <w:tcPr>
            <w:tcW w:w="4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4"/>
          </w:tcPr>
          <w:p>
            <w:pPr>
              <w:jc w:val="center"/>
              <w:ind w:right="6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6"/>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Net Unrealized/</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5"/>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Purchases,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Realized</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5"/>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Issuances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6"/>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5"/>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Included In</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6"/>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Settlements/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5"/>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65"/>
        </w:trPr>
        <w:tc>
          <w:tcPr>
            <w:tcW w:w="4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 w:type="dxa"/>
            <w:vAlign w:val="bottom"/>
          </w:tcPr>
          <w:p>
            <w:pPr>
              <w:spacing w:after="0"/>
              <w:rPr>
                <w:sz w:val="14"/>
                <w:szCs w:val="14"/>
                <w:color w:val="auto"/>
              </w:rPr>
            </w:pPr>
          </w:p>
        </w:tc>
        <w:tc>
          <w:tcPr>
            <w:tcW w:w="10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Revenue-Other</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0" w:type="dxa"/>
            <w:vAlign w:val="bottom"/>
          </w:tcPr>
          <w:p>
            <w:pPr>
              <w:spacing w:after="0"/>
              <w:rPr>
                <w:sz w:val="14"/>
                <w:szCs w:val="1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2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3"/>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(2,053)</w:t>
            </w:r>
          </w:p>
        </w:tc>
        <w:tc>
          <w:tcPr>
            <w:tcW w:w="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Private equity:</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Investments owned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83,931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1,665</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100,156</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Investments consolidated but not owned</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1,976</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35,392</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110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8"/>
              </w:rPr>
              <w:t>$ 86,384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43,320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135,852</w:t>
            </w:r>
          </w:p>
        </w:tc>
        <w:tc>
          <w:tcPr>
            <w:tcW w:w="10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There were no realized gains or losses included in income for the three month and nine month periods ended September 30, 2010 with respect to Level 3 assets. There were net realized gains of $595 and $616 included in income for the three month and nine month periods ended September 30, 2009, respectively, with respect to such Level 3 assets.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98"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DERIVATIVES</w:t>
      </w:r>
    </w:p>
    <w:p>
      <w:pPr>
        <w:spacing w:after="0" w:line="81"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The Company enters into forward foreign currency exchange rate contracts, interest rate swaps, interest rate futures, equity swaps and other derivative contracts to hedge exposures to fluctuations in interest rates, currency exchange rates and equity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Except for derivatives hedging “available-for-sale” securities, the Company elected to not apply hedge accounting to its other derivative instruments held. Gains and losses on the Company’s derivatives not designated as hedging instruments, as well as gains and losses on derivatives accounted for as fair value hedges, are included in “interest income” and “interest expense”, respectively, or “revenue-other”, depending on the nature of the underlying item, on the consolidated statements of operations. Furthermore, with respect to derivatives designated as fair value hedges, the hedged item is required to be adjusted for changes in fair value of the risk being hedged, with such adjustment accounted for in the consolidated statements of operations.</w:t>
      </w:r>
    </w:p>
    <w:p>
      <w:pPr>
        <w:spacing w:after="0" w:line="130"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The table below presents the fair values of the Company’s derivative assets and liabilities reported within “other assets” and “other liabilities” on the accompanying condensed consolidated statements of financial condition as of September 30, 2010 and December 31, 2009:</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Designated</w:t>
            </w: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w w:val="98"/>
              </w:rPr>
              <w:t>Not Designated</w:t>
            </w: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240" w:type="dxa"/>
            <w:vAlign w:val="bottom"/>
          </w:tcPr>
          <w:p>
            <w:pPr>
              <w:spacing w:after="0"/>
              <w:rPr>
                <w:sz w:val="10"/>
                <w:szCs w:val="10"/>
                <w:color w:val="auto"/>
              </w:rPr>
            </w:pPr>
          </w:p>
        </w:tc>
        <w:tc>
          <w:tcPr>
            <w:tcW w:w="8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20" w:type="dxa"/>
            <w:vAlign w:val="bottom"/>
          </w:tcPr>
          <w:p>
            <w:pPr>
              <w:spacing w:after="0"/>
              <w:rPr>
                <w:sz w:val="10"/>
                <w:szCs w:val="10"/>
                <w:color w:val="auto"/>
              </w:rPr>
            </w:pPr>
          </w:p>
        </w:tc>
        <w:tc>
          <w:tcPr>
            <w:tcW w:w="8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440" w:type="dxa"/>
            <w:vAlign w:val="bottom"/>
          </w:tcPr>
          <w:p>
            <w:pPr>
              <w:spacing w:after="0"/>
              <w:rPr>
                <w:sz w:val="10"/>
                <w:szCs w:val="10"/>
                <w:color w:val="auto"/>
              </w:rPr>
            </w:pPr>
          </w:p>
        </w:tc>
        <w:tc>
          <w:tcPr>
            <w:tcW w:w="10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0"/>
                <w:szCs w:val="10"/>
                <w:color w:val="auto"/>
              </w:rPr>
            </w:pPr>
          </w:p>
        </w:tc>
        <w:tc>
          <w:tcPr>
            <w:tcW w:w="80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440" w:type="dxa"/>
            <w:vAlign w:val="bottom"/>
          </w:tcPr>
          <w:p>
            <w:pPr>
              <w:spacing w:after="0"/>
              <w:rPr>
                <w:sz w:val="10"/>
                <w:szCs w:val="10"/>
                <w:color w:val="auto"/>
              </w:rPr>
            </w:pPr>
          </w:p>
        </w:tc>
        <w:tc>
          <w:tcPr>
            <w:tcW w:w="8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0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2009</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2010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2010</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4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Forward foreign currency exchange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rate contracts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Equity swaps and other</w:t>
            </w:r>
          </w:p>
        </w:tc>
        <w:tc>
          <w:tcPr>
            <w:tcW w:w="18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rPr>
              <w:t>Forward foreign currency exchange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rate contracts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10,547</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10,547</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6"/>
              </w:rPr>
              <w:t>15,283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15,285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Equity swaps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2"/>
              </w:rPr>
              <w:t>15,283</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56"/>
        <w:spacing w:after="0" w:line="324" w:lineRule="auto"/>
        <w:rPr>
          <w:sz w:val="20"/>
          <w:szCs w:val="20"/>
          <w:color w:val="auto"/>
        </w:rPr>
      </w:pPr>
      <w:r>
        <w:rPr>
          <w:rFonts w:ascii="Times New Roman" w:cs="Times New Roman" w:eastAsia="Times New Roman" w:hAnsi="Times New Roman"/>
          <w:sz w:val="16"/>
          <w:szCs w:val="16"/>
          <w:color w:val="auto"/>
        </w:rPr>
        <w:t>Gains (losses) with respect to derivatives not designated as hedging instruments on the accompanying condensed consolidated statements of operations for the three month and nine month periods ended September 30, 2010 and 2009 (predominantly reflected in “revenue-other”), by type of derivative, were as follows:</w:t>
      </w: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80" w:type="dxa"/>
            <w:vAlign w:val="bottom"/>
            <w:gridSpan w:val="6"/>
          </w:tcPr>
          <w:p>
            <w:pPr>
              <w:jc w:val="right"/>
              <w:ind w:right="358"/>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right"/>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4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6"/>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396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 (11,884)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2,951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swaps and other</w:t>
            </w:r>
          </w:p>
        </w:tc>
        <w:tc>
          <w:tcPr>
            <w:tcW w:w="396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5"/>
              </w:rPr>
              <w:t>(7,847)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95"/>
              </w:rPr>
              <w:t>(2,850)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(11,110)</w:t>
            </w:r>
          </w:p>
        </w:tc>
        <w:tc>
          <w:tcPr>
            <w:tcW w:w="0" w:type="dxa"/>
            <w:vAlign w:val="bottom"/>
          </w:tcPr>
          <w:p>
            <w:pPr>
              <w:spacing w:after="0"/>
              <w:rPr>
                <w:sz w:val="1"/>
                <w:szCs w:val="1"/>
                <w:color w:val="auto"/>
              </w:rPr>
            </w:pPr>
          </w:p>
        </w:tc>
      </w:tr>
      <w:tr>
        <w:trPr>
          <w:trHeight w:val="222"/>
        </w:trPr>
        <w:tc>
          <w:tcPr>
            <w:tcW w:w="4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 xml:space="preserve"> (18,782</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(8,464</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(2,347</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060" w:type="dxa"/>
            <w:vAlign w:val="bottom"/>
            <w:vMerge w:val="restart"/>
          </w:tcPr>
          <w:p>
            <w:pPr>
              <w:jc w:val="right"/>
              <w:ind w:right="1732"/>
              <w:spacing w:after="0"/>
              <w:rPr>
                <w:sz w:val="20"/>
                <w:szCs w:val="20"/>
                <w:color w:val="auto"/>
              </w:rPr>
            </w:pPr>
            <w:r>
              <w:rPr>
                <w:rFonts w:ascii="Times New Roman" w:cs="Times New Roman" w:eastAsia="Times New Roman" w:hAnsi="Times New Roman"/>
                <w:sz w:val="18"/>
                <w:szCs w:val="18"/>
                <w:color w:val="auto"/>
              </w:rPr>
              <w:t>19</w:t>
            </w: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Derivatives designated as hedging instruments relate to interest rate swaps that hedge “available-for-sale” securities and are being accounted for as fair value hedges. For the three month and nine month periods ended September 30, 2010, the Company recognized net pre-tax losses pertaining to interest rate swaps of $332 and $4,088, respectively, and for the three month and nine month periods ended September 30, 2009, recognized net pre-tax losses pertaining to interest rate swaps of $1,597 and $1,787, respectively. These losses were substantially offset by amounts recognized on the hedged risk portion of such “available-for-sale” securities.</w:t>
      </w:r>
    </w:p>
    <w:p>
      <w:pPr>
        <w:spacing w:after="0" w:line="121"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LAM MERGER TRANSACTION</w:t>
      </w:r>
    </w:p>
    <w:p>
      <w:pPr>
        <w:spacing w:after="0" w:line="8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w:t>
      </w:r>
    </w:p>
    <w:p>
      <w:pPr>
        <w:spacing w:after="0" w:line="123"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aggregate non-contingent consideration relating to the equity interests of LAM held by present and former employees of LAM and its subsidiaries (the “Transaction Consideration”) consists of (i) cash payments made from the closing of the LAM Merger through January 2, 2009 of approximately $60,100, (ii) a cash payment on October 31, 2011 of approximately $90,300 and (iii) an issuance on October 31, 2011 of 2,201,457 shares of Lazard Ltd’s Class A common stock (“Class A common stock”) (plus additional shares of Class A common stock in an amount determined by reference to the cash dividends paid on Class A common stock since the closing of the LAM Merger), subject, in the case of clauses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the Company or a sale of LAM, any and all of the Transaction Consideration will be payable as of the date of such change in control. The related liabilities for the present value of the unpaid cash consideration have been recorded in the accompanying condensed consolidated statements of financial condition in “accrued compensation and benefits” and “other liabilities”, and amounted to $14,929 and $70,215, respectively, as of September 30, 2010 and $14,252 and $65,308, respectively, as of December 31, 2009.</w:t>
      </w:r>
    </w:p>
    <w:p>
      <w:pPr>
        <w:spacing w:after="0" w:line="121"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ACQUISITIONS</w:t>
      </w:r>
    </w:p>
    <w:p>
      <w:pPr>
        <w:spacing w:after="0" w:line="81"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On July 15, 2009, the Company established a private equity business with Edgewater, a private equity firm based in Chicago, Illinois, through the Edgewater Acquisition. Following such acquisition, Edgewater’s current leadership team retained a substantial economic interest in such entities. Edgewater primarily manages two middle market funds, Edgewater Growth Capital Partners, L.P. and Edgewater Growth Capital Partners II, L.P. (the “underlying funds”), with an aggregate of approximately $700,000 of capital raised. The acquisition was structured as a purchase by Lazard Group of interests in a holding company that in turn owns interests in the general partner and management company entities of the current Edgewater private equity funds.</w:t>
      </w:r>
    </w:p>
    <w:p>
      <w:pPr>
        <w:spacing w:after="0" w:line="94"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earnout criteria and payable over time (the “Earnout Shares”). The Initial Shares are subject to transfer restrictions and forfeiture provisions that lapse only upon the achievement of certain performance thresholds for</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next Edgewater fund that must be met by July 15, 2011. The Earnout Shares will be issued only if certain performance thresholds for the next two Edgewater funds are met.</w:t>
      </w:r>
    </w:p>
    <w:p>
      <w:pPr>
        <w:spacing w:after="0" w:line="11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Edgewater Acquisition was accounted for under the acquisition method of accounting, whereby the results of the acquired business are included in our consolidated financial results from July 15, 2009, the effective date of the acquisition. As a result of the acquisition, we recorded net tangible assets, identifiable intangible assets and goodwill of $53,635 (consisting primarily of Edgewater’s investments in their underlying funds and cash), $56,200 and $61,630, respectively, which include amounts for Edgewater’s noncontrolling interests held (whose economic interests approximate 50%) aggregating $109,841. Goodwill pertaining to this acquisition is deductible for income tax purposes. See Note 9 of Notes to Condensed Consolidated Financial Statements for additional information relating to goodwill and other intangible assets. The operating results relating to Edgewater are included in the Company’s Asset Management segment.</w:t>
      </w:r>
    </w:p>
    <w:p>
      <w:pPr>
        <w:spacing w:after="0" w:line="128" w:lineRule="exact"/>
        <w:rPr>
          <w:sz w:val="20"/>
          <w:szCs w:val="20"/>
          <w:color w:val="auto"/>
        </w:rPr>
      </w:pPr>
    </w:p>
    <w:p>
      <w:pPr>
        <w:ind w:right="60" w:firstLine="456"/>
        <w:spacing w:after="0" w:line="288" w:lineRule="auto"/>
        <w:rPr>
          <w:sz w:val="20"/>
          <w:szCs w:val="20"/>
          <w:color w:val="auto"/>
        </w:rPr>
      </w:pPr>
      <w:r>
        <w:rPr>
          <w:rFonts w:ascii="Times New Roman" w:cs="Times New Roman" w:eastAsia="Times New Roman" w:hAnsi="Times New Roman"/>
          <w:sz w:val="16"/>
          <w:szCs w:val="16"/>
          <w:color w:val="auto"/>
        </w:rPr>
        <w:t>In 2007, the Company acquired Goldsmith, Agio, Helms &amp; Lynner, LLC (“GAHL”), a Minneapolis-based investment bank specializing in financial advisory services to mid-sized private companies, and Carnegie, Wylie &amp; Company (Holdings) PTY LTD (“CWC”), an Australia-based financial advisory firm. These purchases were affected through an exchange of a combination of cash, Class A common stock, and by Lazard Ltd issuing shares of non-participating convertible Series A and Series B preferred stock, which are or were each convertible into Class A common stock. In connection with such acquisitions, as of September 30, 2010 and December 31, 2009, 346,398 and 662,015 shares of Class A common stock were issuable on a non-contingent basis, respectively. Additionally, at September 30, 2010 and December 31, 2009, 2,431 and 7,293 shares of Series A preferred stock, respectively, were convertible into Class A common shares on a non-contingent basis, with the number of Class A common shares dependent, in part, upon future prices of the Class A common stock. At both September 30, 2010 and December 31, 2009, 948,631 shares of Class A common stock were contingently issuable and, at both such dates, 19,590 shares of Series A preferred stock were contingently convertible into shares of Class A common stock, dependent upon the future performance of GAHL and CWC. The Class A common stock described above related to the GAHL and CWC acquisitions is issuable over multi-year periods.</w:t>
      </w:r>
    </w:p>
    <w:p>
      <w:pPr>
        <w:spacing w:after="0" w:line="3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9.</w:t>
      </w:r>
      <w:r>
        <w:rPr>
          <w:sz w:val="20"/>
          <w:szCs w:val="20"/>
          <w:color w:val="auto"/>
        </w:rPr>
        <w:tab/>
      </w:r>
      <w:r>
        <w:rPr>
          <w:rFonts w:ascii="Times New Roman" w:cs="Times New Roman" w:eastAsia="Times New Roman" w:hAnsi="Times New Roman"/>
          <w:sz w:val="16"/>
          <w:szCs w:val="16"/>
          <w:b w:val="1"/>
          <w:bCs w:val="1"/>
          <w:i w:val="1"/>
          <w:iCs w:val="1"/>
          <w:color w:val="auto"/>
        </w:rPr>
        <w:t>GOODWILL AND OTHER INTANGIBLE ASSETS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goodwill and other intangible assets at September 30, 2010 and December 31, 2009 are presented below:</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340" w:type="dxa"/>
            <w:vAlign w:val="bottom"/>
            <w:gridSpan w:val="3"/>
          </w:tcPr>
          <w:p>
            <w:pPr>
              <w:ind w:left="1520"/>
              <w:spacing w:after="0"/>
              <w:rPr>
                <w:sz w:val="20"/>
                <w:szCs w:val="20"/>
                <w:color w:val="auto"/>
              </w:rPr>
            </w:pPr>
            <w:r>
              <w:rPr>
                <w:rFonts w:ascii="Times New Roman" w:cs="Times New Roman" w:eastAsia="Times New Roman" w:hAnsi="Times New Roman"/>
                <w:sz w:val="14"/>
                <w:szCs w:val="14"/>
                <w:b w:val="1"/>
                <w:bCs w:val="1"/>
                <w:color w:val="auto"/>
                <w:w w:val="93"/>
              </w:rPr>
              <w:t>September 30,</w:t>
            </w:r>
          </w:p>
        </w:tc>
        <w:tc>
          <w:tcPr>
            <w:tcW w:w="12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2010</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2009</w:t>
            </w: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267,722</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261,703</w:t>
            </w: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1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50,819</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56,077</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318,541</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317,780</w:t>
            </w: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At September 30, 2010 and December 31, 2009, goodwill of $206,092 and $200,073, respectively, was attributable to the Company’s Financial Advisory segment and, at each such date, $61,630 of goodwill was attributable to the Company’s Asset Management segment.</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455" w:right="2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carrying amount of goodwill for the nine month periods ended September 30, 2010 and 2009 are as follows: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r>
      <w:tr>
        <w:trPr>
          <w:trHeight w:val="165"/>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$261,703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acquisitions, including additional contingent consideration earned</w:t>
            </w:r>
          </w:p>
        </w:tc>
        <w:tc>
          <w:tcPr>
            <w:tcW w:w="20" w:type="dxa"/>
            <w:vAlign w:val="bottom"/>
          </w:tcPr>
          <w:p>
            <w:pPr>
              <w:spacing w:after="0"/>
              <w:rPr>
                <w:sz w:val="18"/>
                <w:szCs w:val="18"/>
                <w:color w:val="auto"/>
              </w:rPr>
            </w:pP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62,693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8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September 30</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267,722</w:t>
            </w: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252,258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The gross cost and accumulated amortization of other intangible assets as of September 30, 2010 and December 31, 2009, by major intangible asset category,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September 30, 2010</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2009</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5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0"/>
                <w:szCs w:val="10"/>
                <w:color w:val="auto"/>
              </w:rPr>
            </w:pPr>
          </w:p>
        </w:tc>
      </w:tr>
      <w:tr>
        <w:trPr>
          <w:trHeight w:val="149"/>
        </w:trPr>
        <w:tc>
          <w:tcPr>
            <w:tcW w:w="5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32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r>
      <w:tr>
        <w:trPr>
          <w:trHeight w:val="165"/>
        </w:trPr>
        <w:tc>
          <w:tcPr>
            <w:tcW w:w="5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4"/>
                <w:szCs w:val="14"/>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Success/performance fees</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$30,740</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$30,740</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$30,740</w:t>
            </w: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$30,740</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customer relationships and non-compete agreements</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20,079</w:t>
            </w:r>
          </w:p>
        </w:tc>
        <w:tc>
          <w:tcPr>
            <w:tcW w:w="3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25,337</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63,217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50,819</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63,217</w:t>
            </w: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56,077</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80" w:firstLine="456"/>
        <w:spacing w:after="0" w:line="339" w:lineRule="auto"/>
        <w:rPr>
          <w:sz w:val="20"/>
          <w:szCs w:val="20"/>
          <w:color w:val="auto"/>
        </w:rPr>
      </w:pPr>
      <w:r>
        <w:rPr>
          <w:rFonts w:ascii="Times New Roman" w:cs="Times New Roman" w:eastAsia="Times New Roman" w:hAnsi="Times New Roman"/>
          <w:sz w:val="16"/>
          <w:szCs w:val="16"/>
          <w:color w:val="auto"/>
        </w:rPr>
        <w:t>Amortization expense of intangible assets for the three month and nine month periods ended September 30, 2010 was $1,719 and $5,258, respectively, and for the three month and nine month periods ended September 30, 2009 was $2,032 and $2,720, respectively. Estimated future amortization expense is as follows:</w:t>
      </w:r>
    </w:p>
    <w:p>
      <w:pPr>
        <w:spacing w:after="0" w:line="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3620" w:type="dxa"/>
            <w:vAlign w:val="bottom"/>
            <w:gridSpan w:val="4"/>
          </w:tcPr>
          <w:p>
            <w:pPr>
              <w:ind w:left="27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65"/>
        </w:trPr>
        <w:tc>
          <w:tcPr>
            <w:tcW w:w="57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74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vMerge w:val="continue"/>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 (October 1 through December 31)</w:t>
            </w:r>
          </w:p>
        </w:tc>
        <w:tc>
          <w:tcPr>
            <w:tcW w:w="2940" w:type="dxa"/>
            <w:vAlign w:val="bottom"/>
            <w:gridSpan w:val="2"/>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7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7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940" w:type="dxa"/>
            <w:vAlign w:val="bottom"/>
            <w:gridSpan w:val="2"/>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620" w:right="3260" w:hanging="4707"/>
        <w:spacing w:after="0" w:line="447" w:lineRule="auto"/>
        <w:tabs>
          <w:tab w:leader="none" w:pos="14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47% of intangible asset amortization is attributable to a noncontrolling interest. 22</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98"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SENIOR AND SUBORDINATED DEBT</w:t>
      </w:r>
    </w:p>
    <w:p>
      <w:pPr>
        <w:spacing w:after="0" w:line="76"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Senior Debt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Senior debt is comprised of the following as of September 30, 2010 and December 31,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4"/>
              </w:rPr>
              <w:t>Annual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Outstanding As Of</w:t>
            </w:r>
          </w:p>
        </w:tc>
      </w:tr>
      <w:tr>
        <w:trPr>
          <w:trHeight w:val="125"/>
        </w:trPr>
        <w:tc>
          <w:tcPr>
            <w:tcW w:w="11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gridSpan w:val="2"/>
          </w:tcPr>
          <w:p>
            <w:pPr>
              <w:jc w:val="center"/>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Principal</w:t>
            </w:r>
          </w:p>
        </w:tc>
        <w:tc>
          <w:tcPr>
            <w:tcW w:w="1020" w:type="dxa"/>
            <w:vAlign w:val="bottom"/>
            <w:gridSpan w:val="2"/>
          </w:tcPr>
          <w:p>
            <w:pPr>
              <w:jc w:val="center"/>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9"/>
              </w:rPr>
              <w:t>Maturity</w:t>
            </w:r>
          </w:p>
        </w:tc>
        <w:tc>
          <w:tcPr>
            <w:tcW w:w="1100" w:type="dxa"/>
            <w:vAlign w:val="bottom"/>
            <w:gridSpan w:val="2"/>
          </w:tcPr>
          <w:p>
            <w:pPr>
              <w:jc w:val="center"/>
              <w:ind w:right="6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20" w:type="dxa"/>
            <w:vAlign w:val="bottom"/>
          </w:tcPr>
          <w:p>
            <w:pPr>
              <w:spacing w:after="0"/>
              <w:rPr>
                <w:sz w:val="10"/>
                <w:szCs w:val="10"/>
                <w:color w:val="auto"/>
              </w:rPr>
            </w:pP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1"/>
              </w:rPr>
              <w:t>September 30,</w:t>
            </w:r>
          </w:p>
        </w:tc>
        <w:tc>
          <w:tcPr>
            <w:tcW w:w="4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100" w:type="dxa"/>
            <w:vAlign w:val="bottom"/>
          </w:tcPr>
          <w:p>
            <w:pPr>
              <w:spacing w:after="0"/>
              <w:rPr>
                <w:sz w:val="10"/>
                <w:szCs w:val="10"/>
                <w:color w:val="auto"/>
              </w:rPr>
            </w:pPr>
          </w:p>
        </w:tc>
      </w:tr>
      <w:tr>
        <w:trPr>
          <w:trHeight w:val="165"/>
        </w:trPr>
        <w:tc>
          <w:tcPr>
            <w:tcW w:w="11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4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Rate</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Lazard Group 7.125% Senior Notes (a)</w:t>
            </w:r>
          </w:p>
        </w:tc>
        <w:tc>
          <w:tcPr>
            <w:tcW w:w="27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$550,000</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5/15/15</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7.125%</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528,500</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538,500</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Lazard Group 6.85% Senior Notes (b)</w:t>
            </w:r>
          </w:p>
        </w:tc>
        <w:tc>
          <w:tcPr>
            <w:tcW w:w="27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600,000</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6/15/17</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548,350</w:t>
            </w:r>
          </w:p>
        </w:tc>
        <w:tc>
          <w:tcPr>
            <w:tcW w:w="10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Lazard Group Credit Facility</w:t>
            </w:r>
          </w:p>
        </w:tc>
        <w:tc>
          <w:tcPr>
            <w:tcW w:w="27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150,000</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4/29/13</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1,076,850</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1,086,850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line="257"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2010, the Company repurchased $10,000 principal amount of the 7.125% Senior Notes at a cost, excluding accrued interest, of $10,375 and, after the write-off of applicable unamortized debt issuance costs of $49, the Company recognized a pre-tax loss of $424.</w:t>
      </w:r>
    </w:p>
    <w:p>
      <w:pPr>
        <w:spacing w:after="0" w:line="1" w:lineRule="exact"/>
        <w:rPr>
          <w:rFonts w:ascii="Times New Roman" w:cs="Times New Roman" w:eastAsia="Times New Roman" w:hAnsi="Times New Roman"/>
          <w:sz w:val="18"/>
          <w:szCs w:val="18"/>
          <w:color w:val="auto"/>
        </w:rPr>
      </w:pPr>
    </w:p>
    <w:p>
      <w:pPr>
        <w:ind w:left="460" w:right="120" w:hanging="452"/>
        <w:spacing w:after="0" w:line="261"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2009, the Company repurchased $900 principal amount of the 6.85% Senior Notes at a cost, excluding accrued interest, of $635 and, after the write-off of unamortized debt issuance costs of $7, recognized a pre-tax gain of $258.</w:t>
      </w:r>
    </w:p>
    <w:p>
      <w:pPr>
        <w:spacing w:after="0" w:line="114" w:lineRule="exact"/>
        <w:rPr>
          <w:sz w:val="20"/>
          <w:szCs w:val="20"/>
          <w:color w:val="auto"/>
        </w:rPr>
      </w:pPr>
    </w:p>
    <w:p>
      <w:pPr>
        <w:jc w:val="both"/>
        <w:ind w:right="80" w:firstLine="45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Subordinated Debt—</w:t>
      </w:r>
      <w:r>
        <w:rPr>
          <w:rFonts w:ascii="Times New Roman" w:cs="Times New Roman" w:eastAsia="Times New Roman" w:hAnsi="Times New Roman"/>
          <w:sz w:val="16"/>
          <w:szCs w:val="16"/>
          <w:color w:val="auto"/>
        </w:rPr>
        <w:t>Subordinated debt at September 30, 2010 and December 31, 2009 amounted to $150,000 at each date and represents a note which 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convertible into a maximum of 2,631,570 shares of Class A common stock at an effective conversion price of $57 per share. The note matures on September 30, 2016 and has a fixed interest rate of 3.25% per annum. One-third in principal amount became convertible on and after each of July 1, 2008, July 1, 2009 and July 1, 2010, and no principal amount is convertible after June 30, 2011. As of September 30, 2010, there have been no conversions of the note.</w:t>
      </w:r>
    </w:p>
    <w:p>
      <w:pPr>
        <w:spacing w:after="0" w:line="91"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On April 29, 2010, Lazard Group entered into a $150,000, three-year senior revolving credit facility with a group of lenders (the “Credit Facility”). The Credit Facility replaced the prior revolving credit facility, which was terminated as a condition to effectiveness of the Credit Facility. Interest rates under the Credit Facility vary and are based on either a Federal Funds rate or a Eurodollar rate, in each case plus an applicable margin. As of September 30, 2010, the annual interest rate for a loan accruing interest (based on the Federal Funds overnight rate), including the applicable margin, was 2.23%. The Credit Facility contains customary terms and conditions substantially similar to the prior revolving credit facility, including certain financial covenants. In addition, the Credit Facility, the indenture and supplemental indentures relating to Lazard Group’s senior notes as well as its subordinated convertible note contain certain covenants (none of which relate to financial condition), events of default and other customary provisions, including a customary make-whole provision in the event of early redemption where applicable. As of September 30, 2010, the Company was in compliance with all of these provisions. All of the Company’s senior and subordinated debt obligations are unsecured.</w:t>
      </w:r>
    </w:p>
    <w:p>
      <w:pPr>
        <w:spacing w:after="0" w:line="130" w:lineRule="exact"/>
        <w:rPr>
          <w:sz w:val="20"/>
          <w:szCs w:val="20"/>
          <w:color w:val="auto"/>
        </w:rPr>
      </w:pPr>
    </w:p>
    <w:p>
      <w:pPr>
        <w:ind w:right="560" w:firstLine="456"/>
        <w:spacing w:after="0" w:line="262" w:lineRule="auto"/>
        <w:rPr>
          <w:sz w:val="20"/>
          <w:szCs w:val="20"/>
          <w:color w:val="auto"/>
        </w:rPr>
      </w:pPr>
      <w:r>
        <w:rPr>
          <w:rFonts w:ascii="Times New Roman" w:cs="Times New Roman" w:eastAsia="Times New Roman" w:hAnsi="Times New Roman"/>
          <w:sz w:val="18"/>
          <w:szCs w:val="18"/>
          <w:color w:val="auto"/>
        </w:rPr>
        <w:t>As of September 30, 2010, the Company had approximately $235,000 in unused lines of credit available to it, including the Credit Facility and approximately $40,000 and $23,000 of unused lines of credit available to LFB and Edgewater, respectively. In addition, LFB has access to the Eurosystem Covered Bond Purchase Program of the Banque de France.</w:t>
      </w:r>
    </w:p>
    <w:p>
      <w:pPr>
        <w:spacing w:after="0" w:line="119"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Company’s senior and subordinated debt are recorded at historical amounts. At September 30, 2010 and December 31, 2009, the fair value of the Company’s senior and subordinated debt was $1,294,732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jc w:val="both"/>
        <w:ind w:right="820"/>
        <w:spacing w:after="0" w:line="262" w:lineRule="auto"/>
        <w:rPr>
          <w:sz w:val="20"/>
          <w:szCs w:val="20"/>
          <w:color w:val="auto"/>
        </w:rPr>
      </w:pPr>
      <w:r>
        <w:rPr>
          <w:rFonts w:ascii="Times New Roman" w:cs="Times New Roman" w:eastAsia="Times New Roman" w:hAnsi="Times New Roman"/>
          <w:sz w:val="18"/>
          <w:szCs w:val="18"/>
          <w:color w:val="auto"/>
        </w:rPr>
        <w:t>$1,255,254, respectively, and exceeded the aggregate carrying value by $67,882 and $18,404, respectively.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115"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77" w:lineRule="exact"/>
        <w:rPr>
          <w:sz w:val="20"/>
          <w:szCs w:val="20"/>
          <w:color w:val="auto"/>
        </w:rPr>
      </w:pPr>
    </w:p>
    <w:p>
      <w:pPr>
        <w:ind w:right="3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color w:val="auto"/>
        </w:rPr>
        <w:t>Lazard has various leases and other contractual commitments arising in the ordinary course of business. In the opinion of management,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fulfillment of such commitments, in accordance with their terms, will not have a material adverse effect on Lazard’s consolidated financial position, results of operations or cash flows.</w:t>
      </w:r>
    </w:p>
    <w:p>
      <w:pPr>
        <w:spacing w:after="0" w:line="111" w:lineRule="exact"/>
        <w:rPr>
          <w:sz w:val="20"/>
          <w:szCs w:val="20"/>
          <w:color w:val="auto"/>
        </w:rPr>
      </w:pPr>
    </w:p>
    <w:p>
      <w:pPr>
        <w:ind w:right="3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In the normal course of business, LFB provides indemnifications to third parties to protect them in the event of non-performance by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clients. At September 30, 2010, LFB had $6,807 of such indemnifications and held $5,337 of collateral/counter-guarantees to secure these commitments. The Company believes the likelihood of loss with respect to these indemnities is remote. Accordingly, no liability is recorded in the consolidated statement of financial condition.</w:t>
      </w:r>
    </w:p>
    <w:p>
      <w:pPr>
        <w:spacing w:after="0" w:line="116" w:lineRule="exact"/>
        <w:rPr>
          <w:sz w:val="20"/>
          <w:szCs w:val="20"/>
          <w:color w:val="auto"/>
        </w:rPr>
      </w:pPr>
    </w:p>
    <w:p>
      <w:pPr>
        <w:jc w:val="both"/>
        <w:ind w:right="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Private Equity Funding Commitments</w:t>
      </w:r>
      <w:r>
        <w:rPr>
          <w:rFonts w:ascii="Times New Roman" w:cs="Times New Roman" w:eastAsia="Times New Roman" w:hAnsi="Times New Roman"/>
          <w:sz w:val="18"/>
          <w:szCs w:val="18"/>
          <w:color w:val="auto"/>
        </w:rPr>
        <w:t>—At September 30, 2010, the principal unfunded commitments by the Company for capital contributions to private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investment funds related to CP II, in an amount not to exceed $6,694 for potential “follow-on investments” and/or for CP II expenses through the earlier of (i) February 25, 2017 or (ii) the liquidation of the fund.</w:t>
      </w:r>
    </w:p>
    <w:p>
      <w:pPr>
        <w:spacing w:after="0" w:line="111" w:lineRule="exact"/>
        <w:rPr>
          <w:sz w:val="20"/>
          <w:szCs w:val="20"/>
          <w:color w:val="auto"/>
        </w:rPr>
      </w:pPr>
    </w:p>
    <w:p>
      <w:pPr>
        <w:ind w:right="2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Other Commitments</w:t>
      </w:r>
      <w:r>
        <w:rPr>
          <w:rFonts w:ascii="Times New Roman" w:cs="Times New Roman" w:eastAsia="Times New Roman" w:hAnsi="Times New Roman"/>
          <w:sz w:val="18"/>
          <w:szCs w:val="18"/>
          <w:color w:val="auto"/>
        </w:rPr>
        <w:t>—In the normal course of business, LFB enters into commitments to extend credit, predominantly at variable interest 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commitments at September 30, 2010 were $9,693. Such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20"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See Notes 7, 8 and 14 of Notes to Condensed Consolidated Financial Statements for information regarding commitments relating to the LAM Merger, business acquisitions and obligations to fund our pension plans, respectively.</w:t>
      </w:r>
    </w:p>
    <w:p>
      <w:pPr>
        <w:spacing w:after="0" w:line="106"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Company has various other contractual commitments arising in the ordinary course of business. In the opinion of management, the consummation of such commitments will not have a material adverse effect on the Company’s consolidated financial position or results of operations.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119" w:lineRule="exact"/>
        <w:rPr>
          <w:sz w:val="20"/>
          <w:szCs w:val="20"/>
          <w:color w:val="auto"/>
        </w:rPr>
      </w:pPr>
    </w:p>
    <w:p>
      <w:pPr>
        <w:ind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Legal</w:t>
      </w:r>
      <w:r>
        <w:rPr>
          <w:rFonts w:ascii="Times New Roman" w:cs="Times New Roman" w:eastAsia="Times New Roman" w:hAnsi="Times New Roman"/>
          <w:sz w:val="18"/>
          <w:szCs w:val="18"/>
          <w:color w:val="auto"/>
        </w:rPr>
        <w:t>—The Company’s businesses, as well as the financial services industry generally, are subject to extensive regulation throughout the world.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involved from time to time in a number of judicial, regulatory and arbitration proceedings and inquiries concerning matters arising in connection with the conduct of our businesses, including proceedings initiated by former employees alleging wrongful termination. The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Company reviews such matters on a case-by-case basis and establishes any required reserves if a loss is probable and the amount of such loss can be reasonably estimated. Management believes, based on currently available information, that the results of such matters, in the aggregate, will not have a material adverse effect on its financial condition but might be material to its operating results or cash flows for any particular period, depending upon the operating results for such period.</w:t>
      </w:r>
    </w:p>
    <w:p>
      <w:pPr>
        <w:spacing w:after="0" w:line="119"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STOCKHOLDERS’ EQUITY</w:t>
      </w:r>
    </w:p>
    <w:p>
      <w:pPr>
        <w:spacing w:after="0" w:line="81" w:lineRule="exact"/>
        <w:rPr>
          <w:sz w:val="20"/>
          <w:szCs w:val="20"/>
          <w:color w:val="auto"/>
        </w:rPr>
      </w:pPr>
    </w:p>
    <w:p>
      <w:pPr>
        <w:ind w:right="120" w:firstLine="456"/>
        <w:spacing w:after="0" w:line="287" w:lineRule="auto"/>
        <w:rPr>
          <w:sz w:val="20"/>
          <w:szCs w:val="20"/>
          <w:color w:val="auto"/>
        </w:rPr>
      </w:pPr>
      <w:r>
        <w:rPr>
          <w:rFonts w:ascii="Times New Roman" w:cs="Times New Roman" w:eastAsia="Times New Roman" w:hAnsi="Times New Roman"/>
          <w:sz w:val="16"/>
          <w:szCs w:val="16"/>
          <w:color w:val="auto"/>
        </w:rPr>
        <w:t>At September 30, 2010 and 2009, Lazard Group common membership interests held by subsidiaries of Lazard Ltd amounted to 91.5% and 74.5%, respectively, and by LAZ-MD Holdings LLC, an entity owned by Lazard Group’s current and former managing directors (“LAZ-MD Holdings”), amounted to 8.5% and 25.5%, respectively. Pursuant to provisions of its Operating Agreement, Lazard Group distributions in respect of its common membership interests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allocated to the holders of such interests on a pro rata basis. Such distributions represent amounts necessary to fund (i) any dividends Lazard Ltd may declare 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its Class A common stock and (ii) tax distributions in respect of income taxes that Lazard Ltd’s subsidiaries and the members of LAZ-MD Holdings incur as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holding Lazard Group common membership interests. During the nine month periods ended September 30, 2010 and 2009, Lazard Group distributed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$8,453 and $13,462, respectively, to LAZ-MD Holdings and $36,714 and $23,216, respectively, to the subsidiaries of Lazard Ltd, which latter amounts were used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Lazard Ltd to pay dividends to third-party stockholders of its Class A common stock. In addition, during the nine month period ended September 30, 2009,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Lazard Group made tax distributions of $67,360, including $25,316 paid to LAZ-MD Holdings and $42,044 paid to subsidiaries of Lazard Ltd. During the nine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 period ended September 30, 2010, Lazard Group made no such tax distributions.</w:t>
      </w:r>
    </w:p>
    <w:p>
      <w:pPr>
        <w:spacing w:after="0" w:line="145"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On October 26, 2010, the Board of Directors of Lazard Ltd declared a quarterly dividend of $0.125 per share on its Class A common stock, totaling $14,576, payable on November 26, 2010 to stockholders of record on November 3, 2010.</w:t>
      </w:r>
    </w:p>
    <w:p>
      <w:pPr>
        <w:spacing w:after="0" w:line="102"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Issuance of Class A Common Shares</w:t>
      </w:r>
      <w:r>
        <w:rPr>
          <w:rFonts w:ascii="Times New Roman" w:cs="Times New Roman" w:eastAsia="Times New Roman" w:hAnsi="Times New Roman"/>
          <w:sz w:val="18"/>
          <w:szCs w:val="18"/>
          <w:color w:val="auto"/>
        </w:rPr>
        <w:t>—During the first quarter of 2010, 3,000,000 shares of Class A common stock were newly issued to Lazard Group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settlement of vested restricted stock unit grants (“RSUs”). Such shares were authorized as part of the 25,000,000 shares of Class A common stock that may be issued under the Lazard Ltd 2005 Equity Incentive Plan (the “2005 Plan”). In addition, during the third quarter of 2010, the Company issued an aggregate of 888,605 shares of Class A common stock in connection with the GAHL and CWC acquisitions (see Note 8 of Notes to Condensed Consolidated Financial Statements).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Secondary Offerings</w:t>
      </w:r>
      <w:r>
        <w:rPr>
          <w:rFonts w:ascii="Times New Roman" w:cs="Times New Roman" w:eastAsia="Times New Roman" w:hAnsi="Times New Roman"/>
          <w:sz w:val="18"/>
          <w:szCs w:val="18"/>
          <w:color w:val="auto"/>
        </w:rPr>
        <w:t>—In March 2010, pursuant to a Prospectus Supplement dated March 16, 2010, certain selling shareholders of Lazard Ltd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current and former managing directors of Lazard and a former executive officer) and their permitted transferees, sold 7,869,311 shares of Class A common stock (including (i) 7,262 shares of Class A common stock 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(collectively, the “March 2010 Secondary Offering”).</w:t>
      </w:r>
    </w:p>
    <w:p>
      <w:pPr>
        <w:spacing w:after="0" w:line="12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August 2010, pursuant to a Prospectus Supplement dated August 3, 2010, certain selling shareholders of Lazard Ltd (which include current and former managing directors of Lazard) and their permitted transferees (the “August 2010 Selling Shareholders”) sold 7,397,837 shares of Class A common stock at a price of $30.32 per share (the “August 2010 Secondary Offering”, and together with the March 2010 Secondary Offering, the “2010</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Secondary Offerings”). Separately, in connection with the August 2010 Secondary Offering, Lazard Group agreed to purchase from the August 2010 Selling Shareholders 2,500,000 shares of Class A common stock for an aggregate cost of $75,800 ($30.32 per share), with such purchase being part of the share repurchase program in effect during 2010. In the aggregate, the August 2010 Selling Shareholders sold a total of 9,897,837 shares of Class A common stock (including 7,194,144 shares of Class A common stock previously received upon the exchange of a like number of LAZ-MD Holdings exchangeable interests and 2,703,693 shares of Class A common stock received upon a simultaneous exchange of a like number of LAZ-MD Holdings exchangeable interests).</w:t>
      </w:r>
    </w:p>
    <w:p>
      <w:pPr>
        <w:spacing w:after="0" w:line="1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June 2009, pursuant to a Prospectus Supplement dated June 2, 2009, certain selling shareholders of Lazard Ltd (which include current and former managing directors of Lazard (including certain of our executive officers)) and their permitted transferees (the “June 2009 Selling Shareholders”) sold 4,000,000 shares of Class A common stock at a price of $26.00 per share (the “June 2009 Secondary Offering”). Separately, in connection with the June 2009 Secondary Offering, Lazard Group agreed to purchase from the June 2009 Selling Shareholders 1,700,000 shares of Class A common stock for an aggregate cost of $44,200 ($26.00 per share), with such purchase being part of the share repurchase program in effect during 2009. In the aggregate, the June 2009 Selling Shareholders sold a total of 5,700,000 shares of Class A common stock (including 2,110,754 shares of Class A common stock previously received upon the exchange of a like number of LAZ-MD Holdings exchangeable interests and 3,589,246 shares of Class A common stock received upon a simultaneous exchange of a like number of LAZ-MD Holdings exchangeable interests).</w:t>
      </w:r>
    </w:p>
    <w:p>
      <w:pPr>
        <w:spacing w:after="0" w:line="1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September 2009, pursuant to a Prospectus Supplement dated September 8, 2009, certain selling shareholders of Lazard Ltd (which include current and former managing directors of Lazard (including certain of our executive officers)) and their permitted transferees (the “September 2009 Selling Shareholders”) sold 5,215,921 shares of Class A common stock (including 2,411,001 shares of Class A common stock previously received upon the exchange of a like number of LAZ-MD Holdings exchangeable interests and 2,804,920 shares of Class A common stock received upon a simultaneous exchange of a like number of LAZ-MD Holdings exchangeable interests) at a price of $37.00 per share (the “September 2009 Secondary Offering”, and together with the June 2009 Secondary Offering, the “2009 Secondary Offerings”).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Lazard Ltd did not receive any net proceeds from the sales of Class A common stock from the 2010 Secondary Offerings or the 2009 Secondary Offerings.</w:t>
      </w:r>
    </w:p>
    <w:p>
      <w:pPr>
        <w:spacing w:after="0" w:line="177" w:lineRule="exact"/>
        <w:rPr>
          <w:sz w:val="20"/>
          <w:szCs w:val="20"/>
          <w:color w:val="auto"/>
        </w:rPr>
      </w:pPr>
    </w:p>
    <w:p>
      <w:pPr>
        <w:ind w:right="1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Exchanges of Lazard Group Common Membership Interests</w:t>
      </w:r>
      <w:r>
        <w:rPr>
          <w:rFonts w:ascii="Times New Roman" w:cs="Times New Roman" w:eastAsia="Times New Roman" w:hAnsi="Times New Roman"/>
          <w:sz w:val="18"/>
          <w:szCs w:val="18"/>
          <w:color w:val="auto"/>
        </w:rPr>
        <w:t>—In addition to the simultaneous exchanges that occurred in connection with the secondary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discussed above, during the nine month periods ended September 30, 2010 and 2009, Lazard Ltd issued 11,665,618 and 7,512,974 shares of Class A common stock, respectively, in connection with the exchange of a like number of common membership interests of Lazard Group (received from members of LAZ-MD Holdings in exchange for a like number of LAZ-MD Holdings exchangeable interests).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“Noncontrolling Interests” below for additional information regarding Lazard Ltd’s and LAZ-MD Holdings’ ownership interests in Lazard Group.</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—On January 27, 2010, the Board of Directors of Lazard Ltd authorized, on a cumulative basis, the repurchase of up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$200,000 in aggregate cost of its Class A common stock and Lazard Group common membership interests through December 31, 2011. The Company expects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share repurchase program, with respect to the Class A common stock, will continue to be used primarily to offset a</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portion of the shares that have been or will be issued under the 2005 Plan and the Lazard Ltd 2008 Incentive Compensation Plan (the “2008 Plan”). The Company’s prior share repurchase program expired on December 31, 2009, with $62,542 of the initial $500,000 repurchase authorization unused. Pursuant to such authorizations, purchases have been made in the open market or through privately negotiated transactions, and since inception of the program in February 2006 through September 30, 2010, Lazard Group purchased an aggregate of 15,552,945 shares of Class A common stock at an average price of $32.54 per share, and an aggregate of 1,323,961 Lazard Group common membership interests at an average price of $32.29 per common membership interest. As a result of (i) Lazard Group’s delivery of shares of Class A common stock for the settlement of vested RSUs and deferred stock unit grants (“DSUs”) during the three year period ended December 31, 2009 and the nine month period ended September 30, 2010, (ii) the incentive plan share award of shares of restricted Class A common stock granted during the second quarter of 2010, and (iii) the issuance of shares of restricted Class A common stock in exchange for RSUs during the third quarter of 2010, there were 5,865,580 and 5,850,775 shares of Class A common stock held by Lazard Group at September 30, 2010 and December 31, 2009, respectively. Such Class A common shares are reported, at cost, as “Class A common stock held by a subsidiary” on the condensed consolidated statements of financial condition.</w:t>
      </w:r>
    </w:p>
    <w:p>
      <w:pPr>
        <w:spacing w:after="0" w:line="125"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As of September 30, 2010, $88,612 of the $200,000 share repurchase authorization remained available under the share repurchase program. In addition, under the terms of the 2005 Plan and the 2008 Plan, upon the vesting of RSUs, shares of Class A common stock may be withheld by the Company to cover estimated income taxes. During the nine month period ended September 30, 2010, the Company withheld 1,602,999 shares to cover estimated taxes upon the vesting of 7,938,606 RSUs (see Note 13 of Notes to Condensed Consolidated Financial Statements).</w:t>
      </w:r>
    </w:p>
    <w:p>
      <w:pPr>
        <w:spacing w:after="0" w:line="119" w:lineRule="exact"/>
        <w:rPr>
          <w:sz w:val="20"/>
          <w:szCs w:val="20"/>
          <w:color w:val="auto"/>
        </w:rPr>
      </w:pPr>
    </w:p>
    <w:p>
      <w:pPr>
        <w:ind w:right="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—Lazard Ltd has 15,000,000 authorized shares of preferred stock, par value $0.01 per share, inclusive of its Series A preferred stock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B preferred stock. The Series A and Series B preferred shares are each non- participating securities that are or were each convertible into Class A common stock, and have no voting or dividend rights. As of September 30, 2010 and December 31, 2009, 22,021 and 26,883 shares of Series A preferred stock were outstanding, respectively, and no shares of Series B preferred stock were outstanding at such respective dates.</w:t>
      </w:r>
    </w:p>
    <w:p>
      <w:pPr>
        <w:spacing w:after="0" w:line="12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At September 30, 2010 and December 31, 2009, 2,431 and 7,293 shares of the Series A preferred shares outstanding, respectively, were convertible into shares of Class A common stock. The remaining 19,590 shares of Series A preferred stock outstanding at September 30, 2010 and December 31, 2009, may become convertible into shares of Class A common stock upon completion or satisfaction of specified obligations in the CWC acquisition agreement (see Note 8 of Notes to Condensed Consolidated Financial Statements). The initial conversion rate, at the time of the acquisition of CWC, was 100 shares of Class A common stock to one share of Series A preferred stock, with the ultimate conversion rate dependent on certain variables, including the value of the Class A common stock, as defined, and the currency exchange rate on the date of conversion.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Accumulated Other Comprehensive Income (Loss), Net of Tax</w:t>
      </w:r>
      <w:r>
        <w:rPr>
          <w:rFonts w:ascii="Times New Roman" w:cs="Times New Roman" w:eastAsia="Times New Roman" w:hAnsi="Times New Roman"/>
          <w:sz w:val="16"/>
          <w:szCs w:val="16"/>
          <w:color w:val="auto"/>
        </w:rPr>
        <w:t>—The components of AOCI at September 30, 2010 and December 31, 2009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20" w:type="dxa"/>
            <w:vAlign w:val="bottom"/>
          </w:tcPr>
          <w:p>
            <w:pPr>
              <w:spacing w:after="0"/>
              <w:rPr>
                <w:sz w:val="13"/>
                <w:szCs w:val="13"/>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2010</w:t>
            </w: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hedge</w:t>
            </w:r>
          </w:p>
        </w:tc>
        <w:tc>
          <w:tcPr>
            <w:tcW w:w="1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(4,875)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(7,556)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 plans</w:t>
            </w:r>
          </w:p>
        </w:tc>
        <w:tc>
          <w:tcPr>
            <w:tcW w:w="1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(81,664)</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AOCI</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(75,566)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Less amount attributable to noncontrolling interests</w:t>
            </w:r>
          </w:p>
        </w:tc>
        <w:tc>
          <w:tcPr>
            <w:tcW w:w="1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(5,047)</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Lazard Ltd AOCI</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(70,519)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620" w:firstLine="456"/>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Noncontrolling Interests</w:t>
      </w:r>
      <w:r>
        <w:rPr>
          <w:rFonts w:ascii="Times New Roman" w:cs="Times New Roman" w:eastAsia="Times New Roman" w:hAnsi="Times New Roman"/>
          <w:sz w:val="16"/>
          <w:szCs w:val="16"/>
          <w:color w:val="auto"/>
        </w:rPr>
        <w:t>—Noncontrolling interests principally represent interests held in Lazard Group by LAZ-MD Holdings and noncontrolling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interests in various LAM-related GP interests and Edgewater’s management vehicles that the Company is deemed to control but does not own.</w:t>
      </w:r>
    </w:p>
    <w:p>
      <w:pPr>
        <w:spacing w:after="0" w:line="5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As of September 30, 2010 and December 31, 2009, LAZ-MD Holdings held approximately 8.5% and 25.5%, respectively, of the outstanding Lazard Group common membership interests. Additionally, LAZ-MD Holdings was the sole owner of the one issued and outstanding share of Lazard Ltd’s Class B common stock, which provided LAZ-MD Holdings with approximately 8.5% and 25.5%, of the voting power but no economic rights in the Company as of September 30, 2010 and December 31, 2009, respectively. Subject to certain limitations, LAZ-MD Holdings’ interests in Lazard Group are exchangeable for Class A common stock.</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21"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tables summarize the changes in ownership interests in Lazard Group held by Lazard Ltd and LAZ-MD Holdings during the nine month periods ended September 30, 2010 and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30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Lazard Ltd</w:t>
            </w:r>
          </w:p>
        </w:tc>
        <w:tc>
          <w:tcPr>
            <w:tcW w:w="226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LAZ-MD Holdings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gridSpan w:val="2"/>
            <w:vMerge w:val="restart"/>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w w:val="96"/>
              </w:rPr>
              <w:t>Lazard Group</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Membership</w:t>
            </w:r>
          </w:p>
        </w:tc>
        <w:tc>
          <w:tcPr>
            <w:tcW w:w="940" w:type="dxa"/>
            <w:vAlign w:val="bottom"/>
            <w:gridSpan w:val="2"/>
          </w:tcPr>
          <w:p>
            <w:pPr>
              <w:jc w:val="right"/>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2"/>
                <w:szCs w:val="12"/>
                <w:color w:val="auto"/>
              </w:rPr>
            </w:pPr>
          </w:p>
        </w:tc>
        <w:tc>
          <w:tcPr>
            <w:tcW w:w="12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Membership</w:t>
            </w:r>
          </w:p>
        </w:tc>
        <w:tc>
          <w:tcPr>
            <w:tcW w:w="660" w:type="dxa"/>
            <w:vAlign w:val="bottom"/>
          </w:tcPr>
          <w:p>
            <w:pPr>
              <w:jc w:val="right"/>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Membership</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Interests</w:t>
            </w:r>
          </w:p>
        </w:tc>
        <w:tc>
          <w:tcPr>
            <w:tcW w:w="3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3"/>
              </w:rPr>
              <w:t>Ownership</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3"/>
              </w:rPr>
              <w:t>Ownership</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Interests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2009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76,294,912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45,938,752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122,233,664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Activity January 1, 2009 to September 30, 2009:</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membership interest activity in connection with:</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2009 Secondary Offerings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6,394,166</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(6,394,166)</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Exchanges for Class A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7,512,974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(7,512,974)</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Business acquisitions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1,953,598</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1,953,598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Repurchase of common membership interests from LAZ-MD Holdings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(500,924)</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(500,924)</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September 30, 2009</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92,155,650</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74.5%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31,530,688</w:t>
            </w:r>
          </w:p>
        </w:tc>
        <w:tc>
          <w:tcPr>
            <w:tcW w:w="3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123,686,338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92,165,912</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31,520,426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25.5%</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123,686,338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Activity January 1, 2010 to September 30, 2010:</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membership interest activity in connection with:</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Equity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2010 Secondary Offerings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8,884,332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(8,884,332)</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Exchanges for Class A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11,665,618</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(11,665,618)</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Business acquisitions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888,605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888,605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Repurchase of common membership interests from LAZ-MD Holdings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(167,286)</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2010</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116,604,467</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91.5%</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10,803,190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127,407,657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change in Lazard Ltd’s ownership in Lazard Group in the nine month periods ended September 30, 2010 and 2009 did not materially impact Lazard Ltd’s stockholders’ equity.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tables below summarize net income (loss) attributable to noncontrolling interests for the three month and nine month periods ended September 30,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2010 and 2009 and noncontrolling interests as of September 30, 2010 and December 31, 2009 in the Company’s condensed consolidated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gridSpan w:val="8"/>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8"/>
              </w:rPr>
              <w:t>Net Income (Loss) Attributable To</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20" w:type="dxa"/>
            <w:vAlign w:val="bottom"/>
            <w:gridSpan w:val="5"/>
          </w:tcPr>
          <w:p>
            <w:pPr>
              <w:jc w:val="center"/>
              <w:ind w:right="12"/>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380" w:type="dxa"/>
            <w:vAlign w:val="bottom"/>
            <w:gridSpan w:val="5"/>
          </w:tcPr>
          <w:p>
            <w:pPr>
              <w:jc w:val="center"/>
              <w:ind w:left="47"/>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6"/>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80" w:type="dxa"/>
            <w:vAlign w:val="bottom"/>
            <w:gridSpan w:val="5"/>
          </w:tcPr>
          <w:p>
            <w:pPr>
              <w:jc w:val="center"/>
              <w:ind w:left="47"/>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LAZ-MD Holdings</w:t>
            </w:r>
          </w:p>
        </w:tc>
        <w:tc>
          <w:tcPr>
            <w:tcW w:w="3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$6,152</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LAM GPs</w:t>
            </w:r>
          </w:p>
        </w:tc>
        <w:tc>
          <w:tcPr>
            <w:tcW w:w="3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879</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Edgewater</w:t>
            </w:r>
          </w:p>
        </w:tc>
        <w:tc>
          <w:tcPr>
            <w:tcW w:w="3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5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8"/>
                <w:szCs w:val="18"/>
                <w:color w:val="auto"/>
              </w:rPr>
            </w:pPr>
          </w:p>
        </w:tc>
        <w:tc>
          <w:tcPr>
            <w:tcW w:w="6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(712)</w:t>
            </w:r>
          </w:p>
        </w:tc>
        <w:tc>
          <w:tcPr>
            <w:tcW w:w="1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6,263</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15,779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7,859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gridSpan w:val="8"/>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8"/>
              </w:rPr>
              <w:t>Noncontrolling Interests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4"/>
          </w:tcPr>
          <w:p>
            <w:pPr>
              <w:jc w:val="right"/>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LAZ-MD Holdings</w:t>
            </w:r>
          </w:p>
        </w:tc>
        <w:tc>
          <w:tcPr>
            <w:tcW w:w="3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24,969</w:t>
            </w:r>
          </w:p>
        </w:tc>
        <w:tc>
          <w:tcPr>
            <w:tcW w:w="78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LAM GPs</w:t>
            </w:r>
          </w:p>
        </w:tc>
        <w:tc>
          <w:tcPr>
            <w:tcW w:w="3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Edgewater</w:t>
            </w:r>
          </w:p>
        </w:tc>
        <w:tc>
          <w:tcPr>
            <w:tcW w:w="3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112,932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147,423</w:t>
            </w:r>
          </w:p>
        </w:tc>
        <w:tc>
          <w:tcPr>
            <w:tcW w:w="78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167,706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Share-Based Incentive Compensation Awards</w:t>
      </w:r>
    </w:p>
    <w:p>
      <w:pPr>
        <w:spacing w:after="0" w:line="81"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A description of Lazard Ltd’s 2005 Plan and 2008 Plan, and activity with respect thereto during the nine month periods ended September 30, 2010 and 2009, is presented below.</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2005 Plan and 2008 Plan</w:t>
      </w:r>
    </w:p>
    <w:p>
      <w:pPr>
        <w:spacing w:after="0" w:line="8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2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addition to the shares available under the 2005 Plan, additional shares of Class A common stock are available under the 2008 Plan, which was approved by the stockholders of Lazard Ltd on May 6, 2008.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Restricted and Deferred Stock Units</w:t>
      </w:r>
    </w:p>
    <w:p>
      <w:pPr>
        <w:spacing w:after="0" w:line="8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RSUs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and, for purposes of calculating diluted net income per share, are included in the diluted weighted average shares of Class A common stock outstanding using the treasury stock method. Expense relating to RSUs is charged to “compensation and benefits” expense (and, as applicable, in “restructuring” expense, with respect to the expense associated with the acceleration of unrecognized expense pertaining to RSUs granted previously to individuals who were terminated in the restructuring programs during 2009 and 2010) as follows within the Company’s condensed consolidated statements of operations: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r>
      <w:tr>
        <w:trPr>
          <w:trHeight w:val="165"/>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r>
      <w:tr>
        <w:trPr>
          <w:trHeight w:val="223"/>
        </w:trPr>
        <w:tc>
          <w:tcPr>
            <w:tcW w:w="11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1020" w:type="dxa"/>
            <w:vAlign w:val="bottom"/>
            <w:tcBorders>
              <w:top w:val="single" w:sz="8" w:color="auto"/>
            </w:tcBorders>
            <w:gridSpan w:val="2"/>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2010</w:t>
            </w:r>
          </w:p>
        </w:tc>
        <w:tc>
          <w:tcPr>
            <w:tcW w:w="4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9"/>
                <w:szCs w:val="19"/>
                <w:color w:val="auto"/>
              </w:rPr>
            </w:pPr>
          </w:p>
        </w:tc>
      </w:tr>
      <w:tr>
        <w:trPr>
          <w:trHeight w:val="195"/>
        </w:trPr>
        <w:tc>
          <w:tcPr>
            <w:tcW w:w="75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Compensation and benefits (including $24,860 in the nine month period ended September 30, 2010</w:t>
            </w: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7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relating to the amendment of the Company’s retirement policy(a))</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$46,814</w:t>
            </w:r>
          </w:p>
        </w:tc>
        <w:tc>
          <w:tcPr>
            <w:tcW w:w="14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$63,392</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$201,157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$191,951</w:t>
            </w:r>
          </w:p>
        </w:tc>
        <w:tc>
          <w:tcPr>
            <w:tcW w:w="100" w:type="dxa"/>
            <w:vAlign w:val="bottom"/>
            <w:shd w:val="clear" w:color="auto" w:fill="CCEEFF"/>
          </w:tcPr>
          <w:p>
            <w:pPr>
              <w:spacing w:after="0"/>
              <w:rPr>
                <w:sz w:val="20"/>
                <w:szCs w:val="20"/>
                <w:color w:val="auto"/>
              </w:rPr>
            </w:pPr>
          </w:p>
        </w:tc>
      </w:tr>
      <w:tr>
        <w:trPr>
          <w:trHeight w:val="223"/>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46,880</w:t>
            </w: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24,239</w:t>
            </w:r>
          </w:p>
        </w:tc>
        <w:tc>
          <w:tcPr>
            <w:tcW w:w="100" w:type="dxa"/>
            <w:vAlign w:val="bottom"/>
          </w:tcPr>
          <w:p>
            <w:pPr>
              <w:spacing w:after="0"/>
              <w:rPr>
                <w:sz w:val="19"/>
                <w:szCs w:val="19"/>
                <w:color w:val="auto"/>
              </w:rPr>
            </w:pPr>
          </w:p>
        </w:tc>
      </w:tr>
      <w:tr>
        <w:trPr>
          <w:trHeight w:val="216"/>
        </w:trPr>
        <w:tc>
          <w:tcPr>
            <w:tcW w:w="7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46,814</w:t>
            </w:r>
          </w:p>
        </w:tc>
        <w:tc>
          <w:tcPr>
            <w:tcW w:w="14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63,392</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248,037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216,190</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280" w:hanging="452"/>
        <w:spacing w:after="0" w:line="275"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below, the Company amended its retirement policy during the first quarter of 2010 to modify the retirement eligibility vesting requirement with respect to RSU awards.</w:t>
      </w:r>
    </w:p>
    <w:p>
      <w:pPr>
        <w:spacing w:after="0" w:line="106" w:lineRule="exact"/>
        <w:rPr>
          <w:sz w:val="20"/>
          <w:szCs w:val="20"/>
          <w:color w:val="auto"/>
        </w:rPr>
      </w:pPr>
    </w:p>
    <w:p>
      <w:pPr>
        <w:ind w:right="300" w:firstLine="456"/>
        <w:spacing w:after="0" w:line="256" w:lineRule="auto"/>
        <w:rPr>
          <w:sz w:val="20"/>
          <w:szCs w:val="20"/>
          <w:color w:val="auto"/>
        </w:rPr>
      </w:pPr>
      <w:r>
        <w:rPr>
          <w:rFonts w:ascii="Times New Roman" w:cs="Times New Roman" w:eastAsia="Times New Roman" w:hAnsi="Times New Roman"/>
          <w:sz w:val="18"/>
          <w:szCs w:val="18"/>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nine month periods ended September 30, 2010 and 2009, dividend participation rights required the issuance of 244,754 and 249,048 RSUs, respectively, and resulted in a charge to “retained earnings” and a credit to “additional paid-in-capital,” net of estimated forfeitures, of $6,963 and $4,793 during the respective periods.</w:t>
      </w:r>
    </w:p>
    <w:p>
      <w:pPr>
        <w:spacing w:after="0" w:line="12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January 2010, the Company amended its retirement policy with respect to RSU awards. Such amendment served to modify the retirement eligibility vesting requirements of existing and future RSU awards, and, as noted above, Lazard accelerated the recognition of compensation expense for the affected RSU awards. Accordingly, the Company recorded a non-cash charge to compensation and benefits expense of $24,860 in the first quarter of 2010 relating to prior years’ awards.</w:t>
      </w:r>
    </w:p>
    <w:p>
      <w:pPr>
        <w:spacing w:after="0" w:line="123"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Non-executive members of the Board of Directors receive approximately 55% of their annual compensation for service on the Board of Directors and its committees in the form of DSUs which resulted in 31,588 and 36,627 DSUs granted during the nine month periods ended September 30, 2010 and 2009,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and resulted in nominal cash payments for the nine month periods ended September 30, 2010 and 2009. DSU awards are expensed at their fair value on their date of grant, which, inclusive of amounts related to the Directors’ Fee Deferral Unit Plan, totaled $58 and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$1,173 during the three month and nine month periods ended September 30, 2010, respectively, and $157 and $1,240 during the three month and nine month periods ended September 30, 2009, respectively.</w:t>
      </w:r>
    </w:p>
    <w:p>
      <w:pPr>
        <w:spacing w:after="0" w:line="10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nine month periods ended September 30, 2010 and 2009, 5,912 and 6,963 DSUs, respectively, had been granted pursuant such Plan.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activity relating to RSUs and DSUs during the nine month periods ended September 30, 2010 and 2009:</w:t>
      </w:r>
    </w:p>
    <w:p>
      <w:pPr>
        <w:spacing w:after="0" w:line="74"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DSUs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5"/>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380" w:type="dxa"/>
            <w:vAlign w:val="bottom"/>
          </w:tcPr>
          <w:p>
            <w:pPr>
              <w:spacing w:after="0"/>
              <w:rPr>
                <w:sz w:val="14"/>
                <w:szCs w:val="14"/>
                <w:color w:val="auto"/>
              </w:rPr>
            </w:pPr>
          </w:p>
        </w:tc>
        <w:tc>
          <w:tcPr>
            <w:tcW w:w="6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23,367,813</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103,146</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Granted (including 244,754 RSUs relating to dividend participation)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7,730,444</w:t>
            </w:r>
          </w:p>
        </w:tc>
        <w:tc>
          <w:tcPr>
            <w:tcW w:w="3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3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(726,948)</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Vested/Converted/Exchanged</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(7,979,501)</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38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color w:val="auto"/>
              </w:rPr>
              <w:t>(20,435)</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2010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22,391,808</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120,211</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DSUs</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5"/>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380" w:type="dxa"/>
            <w:vAlign w:val="bottom"/>
          </w:tcPr>
          <w:p>
            <w:pPr>
              <w:spacing w:after="0"/>
              <w:rPr>
                <w:sz w:val="14"/>
                <w:szCs w:val="14"/>
                <w:color w:val="auto"/>
              </w:rPr>
            </w:pPr>
          </w:p>
        </w:tc>
        <w:tc>
          <w:tcPr>
            <w:tcW w:w="6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2009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22,141,468</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65,256</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Granted (including 249,048 RSUs relating to dividend participation)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7,504,232</w:t>
            </w:r>
          </w:p>
        </w:tc>
        <w:tc>
          <w:tcPr>
            <w:tcW w:w="3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43,590</w:t>
            </w:r>
          </w:p>
        </w:tc>
        <w:tc>
          <w:tcPr>
            <w:tcW w:w="3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(805,721)</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(1,446,827)</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380" w:type="dxa"/>
            <w:vAlign w:val="bottom"/>
          </w:tcPr>
          <w:p>
            <w:pPr>
              <w:spacing w:after="0"/>
              <w:rPr>
                <w:sz w:val="19"/>
                <w:szCs w:val="19"/>
                <w:color w:val="auto"/>
              </w:rPr>
            </w:pPr>
          </w:p>
        </w:tc>
        <w:tc>
          <w:tcPr>
            <w:tcW w:w="100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2009</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27,393,152</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108,846</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the vested RSUs above, and after considering the withholding tax obligations pertaining thereto, 6,335,607 and 1,030,960 shares of Class A common stock held by Lazard Group were delivered during the nine month periods ended September 30, 2010 and 2009, respectively.</w:t>
      </w:r>
    </w:p>
    <w:p>
      <w:pPr>
        <w:spacing w:after="0" w:line="10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As of September 30, 2010, unrecognized RSU compensation expense, adjusted for estimated forfeitures, was approximately $286,000, with such unrecognized compensation expense expected to be recognized over a weighted average period of approximately 1.6 years subsequent to September 30, 2010.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second quarter of 2010, 54,437 shares of restricted Class A common stock were awarded under the 2008 Plan at a grant date fair value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$38.78 per share. Such award will vest and will no longer be subject to any restrictions on August 31, 2012. The aggregate grant date fair value of the award 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amortized over the vesting period.</w:t>
      </w:r>
    </w:p>
    <w:p>
      <w:pPr>
        <w:spacing w:after="0" w:line="145"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During the third quarter of 2010, 40,895 shares of restricted Class A common stock were issued in exchange for 40,895 RSUs previously granted on February 11, 2010 at a grant date fair value of $36.10 per share. The vesting terms of such restricted Class A common stock issued are the same as that of the original award exchanged. There was no incremental compensation cost incurred as a result of the exchange.</w:t>
      </w:r>
    </w:p>
    <w:p>
      <w:pPr>
        <w:spacing w:after="0" w:line="11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At September 30, 2010, unrecognized restricted stock expense was approximately $2,500, with such unrecognized compensation expense to be recognized over a weighted average period of approximately 2.0 years.</w:t>
      </w:r>
    </w:p>
    <w:p>
      <w:pPr>
        <w:spacing w:after="0" w:line="10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For purposes of calculating diluted net income per share, such awards are included in the diluted weighted average shares of Class A common stock outstanding using the “treasury stock” method. Expense relating to such restricted stock awards is charged to “compensation and benefits” expense within the Company’s condensed consolidated statements of operations, and amounted to $483 and $643 for the three month and nine month periods ended September 30, 2010, respectively. The awards include a cash dividend participation right equivalent to any ordinary quarterly dividends paid on Class A common stock during the period, which will vest concurrently with the underlying restricted stock award.</w:t>
      </w:r>
    </w:p>
    <w:p>
      <w:pPr>
        <w:spacing w:after="0" w:line="121"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 PLANS</w:t>
      </w:r>
    </w:p>
    <w:p>
      <w:pPr>
        <w:spacing w:after="0" w:line="8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 related to the Company’s employee benefit plans are included in “compensation and benefits” expense on the consolidated statements of operations. The Company uses December 31 as the measurement date for its employee benefit plans.</w:t>
      </w:r>
    </w:p>
    <w:p>
      <w:pPr>
        <w:spacing w:after="0" w:line="119"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Employer Contributions to Pension Plans—</w:t>
      </w:r>
      <w:r>
        <w:rPr>
          <w:rFonts w:ascii="Times New Roman" w:cs="Times New Roman" w:eastAsia="Times New Roman" w:hAnsi="Times New Roman"/>
          <w:sz w:val="18"/>
          <w:szCs w:val="18"/>
          <w:color w:val="auto"/>
        </w:rPr>
        <w:t>In accordance with agreements reached with the Trustees of certain non-U.S. pension plans in 2005,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obligated to make further contributions to such pension plans based upon the cumulative performance of the plans’ assets against specific benchmarks as measured on June 1, 2009 (the “measurement date”) and subsequently remeasured on June 1, 2010 (the “remeasurement date”). As of September 30, 2010, the remaining obligation related to the cumulative underperformance of the plans’ assets (the “underperformance obligation”) was approximately 3.7 million British pounds ($5,868 at September 30, 2010 exchange rates) which is payable in equal monthly installments through May 2013.</w:t>
      </w:r>
    </w:p>
    <w:p>
      <w:pPr>
        <w:spacing w:after="0" w:line="125"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In addition, on June 30, 2009 the Company and Trustees concluded the December 31, 2007 triennial valuation of the non-U.S. pension plans discussed above, pursuant to which: (i) the Company agreed to contribute, in addition to amounts to cover administrative expenses under the plans, 2.3 million British pounds ($3,650 at September 30, 2010 exchange rates), during each year from 2011 to 2018 inclusive, subject to adjustment resulting from the December 31, 2010 triennial valuation, which the Company expects to have concluded prior to the contribution payment scheduled for 2011, and (ii) to secure the Company’s obligations thereunder, on July 15, 2009 the Company placed in escrow 12.5 million British pounds, with a final redemption</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240" w:top="455" w:right="3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date of December 31, 2018. This amount is subject to adjustment based on the results of the December 31, 2010 triennial valuation and subsequent triennial valuations. The escrow balance has been recorded in “cash deposited with clearing organizations and other segregated cash” and “investments: debt-other” in the amounts of 6.25 million British pounds and 6.25 million British pounds, respectively, at each of September 30, 2010 and December 31, 2009 ($9,919 and $9,919 at September 30, 2010 exchange rates and $10,138 and $10,138 at December 31, 2009 exchange rates), respectively, on the accompanying condensed consolidated statements of financial condition. Income on the escrow balance accretes to the Company and is recorded in interest income.</w:t>
      </w:r>
    </w:p>
    <w:p>
      <w:pPr>
        <w:spacing w:after="0" w:line="125"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During the nine month period ended September 30, 2010, the Company contributed approximately $2,900 primarily with respect to the underperformance obligation discussed above, and during such period there were no other contributions made to other pension plans.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components of total benefit cost (credit) for the three month and nine month periods ended September 30, 2010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2009:</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Post-Retirement</w:t>
            </w:r>
          </w:p>
        </w:tc>
      </w:tr>
      <w:tr>
        <w:trPr>
          <w:trHeight w:val="165"/>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w w:val="97"/>
              </w:rPr>
              <w:t>Medical Plans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600" w:type="dxa"/>
            <w:vAlign w:val="bottom"/>
            <w:tcBorders>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Ended</w:t>
            </w:r>
          </w:p>
        </w:tc>
        <w:tc>
          <w:tcPr>
            <w:tcW w:w="114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2010</w:t>
            </w: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100" w:type="dxa"/>
            <w:vAlign w:val="bottom"/>
          </w:tcPr>
          <w:p>
            <w:pPr>
              <w:spacing w:after="0"/>
              <w:rPr>
                <w:sz w:val="12"/>
                <w:szCs w:val="12"/>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(Credit):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2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(7,372)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w w:val="95"/>
              </w:rPr>
              <w:t>(6,922)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7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actuarial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20" w:type="dxa"/>
            <w:vAlign w:val="bottom"/>
          </w:tcPr>
          <w:p>
            <w:pPr>
              <w:jc w:val="right"/>
              <w:ind w:right="185"/>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6"/>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Post-Retirement</w:t>
            </w:r>
          </w:p>
        </w:tc>
      </w:tr>
      <w:tr>
        <w:trPr>
          <w:trHeight w:val="165"/>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Medical Plans</w:t>
            </w:r>
          </w:p>
        </w:tc>
      </w:tr>
      <w:tr>
        <w:trPr>
          <w:trHeight w:val="142"/>
        </w:trPr>
        <w:tc>
          <w:tcPr>
            <w:tcW w:w="7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3"/>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5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Ended</w:t>
            </w:r>
          </w:p>
        </w:tc>
        <w:tc>
          <w:tcPr>
            <w:tcW w:w="860" w:type="dxa"/>
            <w:vAlign w:val="bottom"/>
            <w:tcBorders>
              <w:top w:val="single" w:sz="8" w:color="auto"/>
              <w:bottom w:val="single" w:sz="8" w:color="auto"/>
            </w:tcBorders>
            <w:gridSpan w:val="3"/>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w w:val="74"/>
              </w:rPr>
              <w:t>September 30,</w:t>
            </w: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(Credit):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17,652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(21,801)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w w:val="97"/>
              </w:rPr>
              <w:t>(19,622)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w w:val="95"/>
              </w:rPr>
              <w:t>(1,023)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(1,036)</w:t>
            </w:r>
          </w:p>
        </w:tc>
      </w:tr>
      <w:tr>
        <w:trPr>
          <w:trHeight w:val="216"/>
        </w:trPr>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actuarial loss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663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RESTRUCTURING PLANS</w:t>
      </w:r>
    </w:p>
    <w:p>
      <w:pPr>
        <w:spacing w:after="0" w:line="81"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In each of the first quarters of 2010 and 2009, the Company announced a restructuring plan which included certain staff reductions and realignments of personnel (the “2010 Restructuring Plan” and the “2009</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Restructuring Plan”, respectively, and collectively the “2010 and 2009 Restructuring Plans”). In connection with the 2010 Restructuring Plan, the Company recorded a pre-tax charge in the first quarter of 2010 of $87,108, inclusive of $46,880 relating to the acceleration of RSUs (in aggregate, the “2010 Restructuring Charge”), with this charge partially offset by associated income tax benefits and noncontrolling interest credits of $9,276 and $18,400, respectively, and, in connection with the 2009 Restructuring Plan, the Company recorded a charge in the first quarter of 2009 of $62,550, inclusive of $24,239 relating to the acceleration of RSUs (in aggregate, the “2009 Restructuring Charge”), with this charge partially offset by associated income tax benefits and noncontrolling interest credits of $6,401 and $21,075, respectively (collectively, the “2010 and 2009 Restructuring Charges”).</w:t>
      </w:r>
    </w:p>
    <w:p>
      <w:pPr>
        <w:spacing w:after="0" w:line="12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2010 and 2009 Restructuring Charges primarily consisted of compensation-related expenses, including the acceleration of unrecognized expenses pertaining to RSUs previously granted to individuals who were terminated pursuant to the restructuring, severance and benefit payments and other costs. As of September 30, 2010, the remaining liability associated with the 2010 Restructuring Plan was $21,561 and, as of September 30, 2010 and December 31, 2009, the remaining liability associated with the 2009 Restructuring Plan was $5,579 and $11,500, respectively. During the nine month period ended September 30, 2010, other than cash payments of $18,667 and $5,921 for the 2010 Restructuring Plan and the 2009 Restructuring Plan, respectively, and an adjustment of $3,596 to the estimated tax benefit relating to the 2010 Restructuring Charge, there were no adjustments to the amounts relating to the 2010 and 2009 Restructuring Plans. Liabilities relating to the 2010 and 2009 Restructuring Plans are reported within “accrued compensation and benefits” and “other liabilities” on the accompanying condensed consolidated statements of financial condition.</w:t>
      </w:r>
    </w:p>
    <w:p>
      <w:pPr>
        <w:spacing w:after="0" w:line="121"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8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Lazard Ltd is subject to U.S. federal income taxes on its portion of Lazard Group’s operating income.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25" w:lineRule="exact"/>
        <w:rPr>
          <w:sz w:val="20"/>
          <w:szCs w:val="20"/>
          <w:color w:val="auto"/>
        </w:rPr>
      </w:pPr>
    </w:p>
    <w:p>
      <w:pPr>
        <w:jc w:val="both"/>
        <w:ind w:right="80" w:firstLine="456"/>
        <w:spacing w:after="0" w:line="287" w:lineRule="auto"/>
        <w:rPr>
          <w:sz w:val="20"/>
          <w:szCs w:val="20"/>
          <w:color w:val="auto"/>
        </w:rPr>
      </w:pPr>
      <w:r>
        <w:rPr>
          <w:rFonts w:ascii="Times New Roman" w:cs="Times New Roman" w:eastAsia="Times New Roman" w:hAnsi="Times New Roman"/>
          <w:sz w:val="16"/>
          <w:szCs w:val="16"/>
          <w:color w:val="auto"/>
        </w:rPr>
        <w:t>The Company recorded income tax provisions of $9,113 and $29,049 for the three month and nine month periods ended September 30, 2010, respectively, and $19,968 and $29,312 for the three month and nine month periods ended September 30, 2009, respectively, representing effective tax rates of 11.5%, 25.9%, 27.3% and 74.5%, respectively. Excluding (i) the income tax benefits of $3,596 and $9,276 for the three month and nine month periods ended September 30,</w:t>
      </w:r>
    </w:p>
    <w:p>
      <w:pPr>
        <w:spacing w:after="0" w:line="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2010 related to the 2010 Restructuring Charge and $3,472 and $4,835 for the three month and nine month periods ended September 30, 2010 related to the charge incurred in connection with the amendment of Lazard’s retirement policy with respect to RSU awards, and (ii) the income tax benefit of $6,401 related to the 2009 Restructuring Charge, the Company had income tax provisions of $16,181 and $43,160 for the three month and nine month periods ended September 30, 2010, respectively, and $19,968 and $35,713 for the three month and nine month periods ended September 30, 2009, respectively, representing effective tax rates of 20.4%, 19.3%, 27.3% and 35.0%, respectively. The effective tax rates herein for the nine month period ended September 30, 2010 reflect a benefit from reductions in unrecognized tax benefits of $6,629 relating to settlements with taxing authorities and other adjustments pertaining to certain prior years.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difference between the U.S. federal statutory rate of 35.0% and the effective tax rates described above principally relates to (i) Lazard Group primarily operating as a limited liability company in the U.S., (ii) foreign source income (loss) not subject to U.S. income taxes, (iii) Lazard Group’s income from U.S. operations attributable to noncontrolling interests, (iv) valuation allowance changes affecting the provision for income taxes and (v) U.S. state and local taxes, which are incremental to the U.S. federal statutory tax rate.</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81"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color w:val="auto"/>
        </w:rPr>
        <w:t>The redemption of historical partner interests in connection with the Company’s separation and recapitalization that occurred in May 2005 and subsequent exchanges of LAZ-MD Holdings exchangeable interests for shares of Class A common stock have resulted, and future exchanges of LAZ-MD Holdings exchangeable interests for shares of Class A common stock may result, in increases in the tax basis of the tangible and/or intangible assets of Lazard Group. The tax receivable agreement dated as of May 10, 2005 with LFCM Holdings requires the Company to pay LFCM Holdings 85% of the cash savings, if any, in U.S. federal, state and local income tax or franchise tax that the Company actually realizes as a result of the above-mentioned increases in tax basis. The Company calculates this provision annually and includes such amounts in operating expenses on its consolidated statements of operations once the results of operations for the full year are known. As a result, there is no provision for such payments in the three month and nine month periods ended September 30, 2010 and 2009. If any provision is required pursuant to the tax receivable agreement, such amount would be fully offset by a reduction in the Company’s income tax expense.</w:t>
      </w:r>
    </w:p>
    <w:p>
      <w:pPr>
        <w:spacing w:after="0" w:line="95"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INCOME PER SHARE OF CLASS A COMMON STOCK</w:t>
      </w:r>
    </w:p>
    <w:p>
      <w:pPr>
        <w:spacing w:after="0" w:line="8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Company’s basic and diluted net income per share calculations for the three month and nine month periods ended September 30, 2010 and 2009 are computed as described below.</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Basic Net Income Per Share</w:t>
      </w:r>
    </w:p>
    <w:p>
      <w:pPr>
        <w:spacing w:after="0" w:line="79" w:lineRule="exact"/>
        <w:rPr>
          <w:sz w:val="20"/>
          <w:szCs w:val="20"/>
          <w:color w:val="auto"/>
        </w:rPr>
      </w:pPr>
    </w:p>
    <w:p>
      <w:pPr>
        <w:ind w:right="70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Numerator</w:t>
      </w:r>
      <w:r>
        <w:rPr>
          <w:rFonts w:ascii="Times New Roman" w:cs="Times New Roman" w:eastAsia="Times New Roman" w:hAnsi="Times New Roman"/>
          <w:sz w:val="16"/>
          <w:szCs w:val="16"/>
          <w:color w:val="auto"/>
        </w:rPr>
        <w:t>—utilizes net income attributable to Lazard Ltd for the three month and nine month periods ended September 30, 2010 and 2009, plus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applicable adjustments to such net income associated with the inclusion of shares of Class A common stock issuable on a non-contingent basis.</w:t>
      </w:r>
    </w:p>
    <w:p>
      <w:pPr>
        <w:spacing w:after="0" w:line="56" w:lineRule="exact"/>
        <w:rPr>
          <w:sz w:val="20"/>
          <w:szCs w:val="20"/>
          <w:color w:val="auto"/>
        </w:rPr>
      </w:pPr>
    </w:p>
    <w:p>
      <w:pPr>
        <w:jc w:val="both"/>
        <w:ind w:right="22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Denominator</w:t>
      </w:r>
      <w:r>
        <w:rPr>
          <w:rFonts w:ascii="Times New Roman" w:cs="Times New Roman" w:eastAsia="Times New Roman" w:hAnsi="Times New Roman"/>
          <w:sz w:val="16"/>
          <w:szCs w:val="16"/>
          <w:color w:val="auto"/>
        </w:rPr>
        <w:t>—utilizes the weighted average number of shares of Class A common stock outstanding for the three month and nine month periods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September 30, 2010 and 2009, plus applicable adjustments to such shares associated with shares of Class A common stock issuable on a non-contingent basis.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Diluted Net Income Per Share</w:t>
      </w:r>
    </w:p>
    <w:p>
      <w:pPr>
        <w:spacing w:after="0" w:line="79"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Numerator</w:t>
      </w:r>
      <w:r>
        <w:rPr>
          <w:rFonts w:ascii="Times New Roman" w:cs="Times New Roman" w:eastAsia="Times New Roman" w:hAnsi="Times New Roman"/>
          <w:sz w:val="18"/>
          <w:szCs w:val="18"/>
          <w:color w:val="auto"/>
        </w:rPr>
        <w:t>—utilizes net income attributable to Lazard Ltd for the three month and nine month periods ended September 30, 2010 and 2009 as in the basic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income per share calculation described above, plus, to the extent applicable and dilutive, (i) interest expense on convertible debt, (ii) changes in net income (loss) attributable to noncontrolling interests resulting from assumed Class A common stock issuances in connection with share-based incentive compensation, convertible debt and convertible preferred stock and, on an “as-if-exchanged” basis, amounts applicable to LAZ-MD Holdings exchangeable interests and (iii) income tax related to (i) and (ii) above.</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60"/>
          </w:cols>
          <w:pgMar w:left="240" w:top="455" w:right="2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19"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Denominator</w:t>
      </w:r>
      <w:r>
        <w:rPr>
          <w:rFonts w:ascii="Times New Roman" w:cs="Times New Roman" w:eastAsia="Times New Roman" w:hAnsi="Times New Roman"/>
          <w:sz w:val="18"/>
          <w:szCs w:val="18"/>
          <w:color w:val="auto"/>
        </w:rPr>
        <w:t>—utilizes the weighted average number of shares of Class A common stock outstanding for the three month and nine month periods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2010 and 2009 as in the basic net income per share calculation described above, plus, to the extent dilutive, the incremental number of shares of Class A common stock to settle share-based incentive compensation, convertible debt, convertible preferred stock and LAZ-MD Holdings exchangeable interests, using the “treasury stock” method, the “if converted” method or the “as-if-exchanged” basis, as applicable.</w:t>
      </w:r>
    </w:p>
    <w:p>
      <w:pPr>
        <w:spacing w:after="0" w:line="12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calculations of the Company’s basic and diluted net income per share and weighted average shares outstanding for the three month and nine month periods ended September 30, 2010 and 2009 are presented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6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4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6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48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0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Lazard Ltd</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$64,091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$37,418</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$75,129</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Add - adjustment associated with Class A common stock issuable on a non-</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basis</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Lazard Ltd - basic</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64,207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37,767</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75,224</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Add - dilutive effect, as applicable, of:</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Adjustments to income relating to interest expense and changes in net income</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attributable to noncontrolling interests resulting from assumed Class A</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common stock issuances in connection with share-based incentive</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compensation, convertible debt, convertible preferred stock and</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exchangeable interests, net of tax</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5,992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15,518</w:t>
            </w:r>
          </w:p>
        </w:tc>
        <w:tc>
          <w:tcPr>
            <w:tcW w:w="3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3,988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Lazard Ltd - diluted</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$70,199</w:t>
            </w:r>
          </w:p>
        </w:tc>
        <w:tc>
          <w:tcPr>
            <w:tcW w:w="3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$53,285</w:t>
            </w:r>
          </w:p>
        </w:tc>
        <w:tc>
          <w:tcPr>
            <w:tcW w:w="3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$79,212</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outstanding</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108,302,438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77,707,395</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98,579,076</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72,124,816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Add - adjustment for shares of Class A common stock issuable on a non-contingent</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basis</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2,756,633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3,049,323</w:t>
            </w:r>
          </w:p>
        </w:tc>
        <w:tc>
          <w:tcPr>
            <w:tcW w:w="3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2,861,665</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3,154,089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outstanding - basic</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111,059,071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80,756,718</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101,440,741</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75,278,905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Add - dilutive effect, as applicable, of:</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Weighted average number of incremental shares of Class A common stock</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issuable from share-based incentive compensation, convertible debt,</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convertible preferred stock and exchangeable interests</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27,035,030</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50,711,367</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34,113,390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outstanding - diluted</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138,094,101</w:t>
            </w:r>
          </w:p>
        </w:tc>
        <w:tc>
          <w:tcPr>
            <w:tcW w:w="3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131,468,085</w:t>
            </w:r>
          </w:p>
        </w:tc>
        <w:tc>
          <w:tcPr>
            <w:tcW w:w="3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135,554,131</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75,278,905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Lazard Ltd per share of Class A common stock:</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$0.74</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$0.58</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jc w:val="right"/>
              <w:ind w:right="372"/>
              <w:spacing w:after="0"/>
              <w:rPr>
                <w:sz w:val="20"/>
                <w:szCs w:val="20"/>
                <w:color w:val="auto"/>
              </w:rPr>
            </w:pPr>
            <w:r>
              <w:rPr>
                <w:rFonts w:ascii="Times New Roman" w:cs="Times New Roman" w:eastAsia="Times New Roman" w:hAnsi="Times New Roman"/>
                <w:sz w:val="18"/>
                <w:szCs w:val="18"/>
                <w:color w:val="auto"/>
              </w:rPr>
              <w:t>37</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2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98"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 PARTIES</w:t>
      </w:r>
    </w:p>
    <w:p>
      <w:pPr>
        <w:spacing w:after="0" w:line="80"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Amounts receivable from, and payable to, related parties as of September 30, 2010 and December 31, 2009 are set forth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September</w:t>
            </w:r>
          </w:p>
        </w:tc>
        <w:tc>
          <w:tcPr>
            <w:tcW w:w="8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w:t>
            </w:r>
          </w:p>
        </w:tc>
      </w:tr>
      <w:tr>
        <w:trPr>
          <w:trHeight w:val="149"/>
        </w:trPr>
        <w:tc>
          <w:tcPr>
            <w:tcW w:w="9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48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2"/>
                <w:szCs w:val="12"/>
                <w:color w:val="auto"/>
              </w:rPr>
            </w:pPr>
          </w:p>
        </w:tc>
      </w:tr>
      <w:tr>
        <w:trPr>
          <w:trHeight w:val="165"/>
        </w:trPr>
        <w:tc>
          <w:tcPr>
            <w:tcW w:w="9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2010</w:t>
            </w:r>
          </w:p>
        </w:tc>
        <w:tc>
          <w:tcPr>
            <w:tcW w:w="148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LFCM Holdings</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$ 14,212</w:t>
            </w:r>
          </w:p>
        </w:tc>
        <w:tc>
          <w:tcPr>
            <w:tcW w:w="100" w:type="dxa"/>
            <w:vAlign w:val="bottom"/>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8"/>
                <w:szCs w:val="18"/>
                <w:color w:val="auto"/>
              </w:rPr>
            </w:pPr>
          </w:p>
        </w:tc>
      </w:tr>
      <w:tr>
        <w:trPr>
          <w:trHeight w:val="223"/>
        </w:trPr>
        <w:tc>
          <w:tcPr>
            <w:tcW w:w="9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8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$ 14,415</w:t>
            </w:r>
          </w:p>
        </w:tc>
        <w:tc>
          <w:tcPr>
            <w:tcW w:w="10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LFCM Holdings</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$ 17,431</w:t>
            </w:r>
          </w:p>
        </w:tc>
        <w:tc>
          <w:tcPr>
            <w:tcW w:w="100" w:type="dxa"/>
            <w:vAlign w:val="bottom"/>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r>
      <w:tr>
        <w:trPr>
          <w:trHeight w:val="223"/>
        </w:trPr>
        <w:tc>
          <w:tcPr>
            <w:tcW w:w="9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$ 17,450</w:t>
            </w:r>
          </w:p>
        </w:tc>
        <w:tc>
          <w:tcPr>
            <w:tcW w:w="10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LFCM Holdings</w:t>
      </w:r>
    </w:p>
    <w:p>
      <w:pPr>
        <w:spacing w:after="0" w:line="79" w:lineRule="exact"/>
        <w:rPr>
          <w:sz w:val="20"/>
          <w:szCs w:val="20"/>
          <w:color w:val="auto"/>
        </w:rPr>
      </w:pPr>
    </w:p>
    <w:p>
      <w:pPr>
        <w:ind w:right="240" w:firstLine="456"/>
        <w:spacing w:after="0" w:line="291" w:lineRule="auto"/>
        <w:rPr>
          <w:sz w:val="20"/>
          <w:szCs w:val="20"/>
          <w:color w:val="auto"/>
        </w:rPr>
      </w:pPr>
      <w:r>
        <w:rPr>
          <w:rFonts w:ascii="Times New Roman" w:cs="Times New Roman" w:eastAsia="Times New Roman" w:hAnsi="Times New Roman"/>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our executive officers) who are also members of LAZ-MD Holdings. In addition to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Certain of these agreements are described in more detail in the Company’s Form 10-K.</w:t>
      </w:r>
    </w:p>
    <w:p>
      <w:pPr>
        <w:spacing w:after="0" w:line="100"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For the three month and nine month periods ended September 30, 2010, amounts recorded by Lazard Group relating to the administrative services agreement amounted to $557 and $1,616, respectively, and net referral fees for underwriting, private placement, M&amp;A and restructuring transactions under the business alliance agreement amounted to $2,779 and $9,508, respectively. For the three month and nine month periods ended September 30, 2009, amounts recorded by Lazard Group relating to the administrative services agreement amounted to $1,287 and $3,779, respectively, and net referral fees for underwriting, private placement, M&amp;A and restructuring transactions under the business alliance agreement amounted to $3,077 and $9,665,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25"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Receivables from LFCM Holdings and its subsidiaries as of September 30, 2010 and December 31, 2009 primarily include $890 and $5,891, respectively, related to administrative and support services and reimbursement of expenses incurred on behalf of LFCM Holdings and $4,530 and $6,202, respectively, related to referral fees for underwriting and private placement transactions. Payables to LFCM Holdings and its subsidiaries at December 31, 2009 relate primarily to obligations pursuant to the tax receivable agreement of $15,684 (see Note 16 of 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4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LAZ-MD Holdings</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and nine month periods ended September 30, 2010, such charges amounted to $188 and $563, respectively. For the three month and nine month periods ended September 30, 2009, such charges amounted to $188 and $563, respectively.</w:t>
      </w:r>
    </w:p>
    <w:p>
      <w:pPr>
        <w:spacing w:after="0" w:line="121"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REGULATORY AUTHORITIES</w:t>
      </w:r>
    </w:p>
    <w:p>
      <w:pPr>
        <w:spacing w:after="0" w:line="8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LFNY is a U.S. registered broker-dealer and is subject to the net capital requirements of Rule 15c3-1 under the Securities Exchange Act of 1934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September 30, 2010, LFNY’s regulatory net capital was $130,748, which exceeded the minimum requirement by $123,348.</w:t>
      </w:r>
    </w:p>
    <w:p>
      <w:pPr>
        <w:spacing w:after="0" w:line="125" w:lineRule="exact"/>
        <w:rPr>
          <w:sz w:val="20"/>
          <w:szCs w:val="20"/>
          <w:color w:val="auto"/>
        </w:rPr>
      </w:pPr>
    </w:p>
    <w:p>
      <w:pPr>
        <w:ind w:right="580" w:firstLine="456"/>
        <w:spacing w:after="0" w:line="262" w:lineRule="auto"/>
        <w:rPr>
          <w:sz w:val="20"/>
          <w:szCs w:val="20"/>
          <w:color w:val="auto"/>
        </w:rPr>
      </w:pPr>
      <w:r>
        <w:rPr>
          <w:rFonts w:ascii="Times New Roman" w:cs="Times New Roman" w:eastAsia="Times New Roman" w:hAnsi="Times New Roman"/>
          <w:sz w:val="18"/>
          <w:szCs w:val="18"/>
          <w:color w:val="auto"/>
        </w:rPr>
        <w:t>Certain U.K. subsidiaries of the Company, including LCL, Lazard Fund Managers Limited and Lazard Asset Management Limited (the “U.K. Subsidiaries”) are regulated by the Financial Services Authority. At September 30, 2010, the aggregate regulatory net capital of the U.K. Subsidiaries was $147,248, which exceeded the minimum requirement by $103,865.</w:t>
      </w:r>
    </w:p>
    <w:p>
      <w:pPr>
        <w:spacing w:after="0" w:line="119"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CFLF, through which non-corporate finance advisory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September 30, 2010, the consolidated regulatory net capital of CFLF was $199,284, which exceeded the minimum requirement set for regulatory capital levels by $99,414.</w:t>
      </w:r>
    </w:p>
    <w:p>
      <w:pPr>
        <w:spacing w:after="0" w:line="90"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Certain other U.S. and non-U.S. subsidiaries are subject to various capital adequacy requirements promulgated by various regulatory and exchange authorities in the countries in which they operate. At September 30, 2010, for those subsidiaries with regulatory capital requirements, their aggregate net capital was $91,255, which exceeded the minimum required capital by $68,349.</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September 30, 2010, each of these subsidiaries individually was in compliance with its regulatory capital requirements.</w:t>
      </w:r>
    </w:p>
    <w:p>
      <w:pPr>
        <w:spacing w:after="0" w:line="158" w:lineRule="exact"/>
        <w:rPr>
          <w:sz w:val="20"/>
          <w:szCs w:val="20"/>
          <w:color w:val="auto"/>
        </w:rPr>
      </w:pPr>
    </w:p>
    <w:p>
      <w:pPr>
        <w:jc w:val="both"/>
        <w:ind w:right="240" w:firstLine="456"/>
        <w:spacing w:after="0" w:line="296" w:lineRule="auto"/>
        <w:rPr>
          <w:sz w:val="20"/>
          <w:szCs w:val="20"/>
          <w:color w:val="auto"/>
        </w:rPr>
      </w:pPr>
      <w:r>
        <w:rPr>
          <w:rFonts w:ascii="Times New Roman" w:cs="Times New Roman" w:eastAsia="Times New Roman" w:hAnsi="Times New Roman"/>
          <w:sz w:val="16"/>
          <w:szCs w:val="16"/>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However, the Dodd-Frank Wall Street Reform and Consumer Protection Act (the “Dodd-Frank Act”), which was signed into law on July 21, 2010, provides for the eventual elimination of the SEC’s SIBHC program. The Dodd-Frank Act also allows entities seeking consolidated supervision to elect to be regulated by the Federal Reserve. The Dodd-Frank Act could have other impacts on us, which we are currently in the process of examining, including the impact of the elimination of the SIBHC program.</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1"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INFORMATION</w:t>
      </w:r>
    </w:p>
    <w:p>
      <w:pPr>
        <w:spacing w:after="0" w:line="8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Financial Advisory (which includes providing general strategic and transaction-specific advice on M&amp;A and other strategic matters, restructurings, capital structure, capital raising and various other corporate finance matters), and Asset Management (which includes the management of equity and fixed income securities and alternative investment and private equity funds). In addition, the Company records selected other activities in its Corporate segment, including management of cash, certain investments and the commercial banking activities of LFB. The Company also allocates outstanding indebtedness to its Corporate segment.</w:t>
      </w:r>
    </w:p>
    <w:p>
      <w:pPr>
        <w:spacing w:after="0" w:line="128"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The Company’s segment information for the three month and nine month periods ended September 30, 2010 and 2009 is prepared using the following methodology:</w:t>
      </w:r>
    </w:p>
    <w:p>
      <w:pPr>
        <w:spacing w:after="0" w:line="25" w:lineRule="exact"/>
        <w:rPr>
          <w:sz w:val="20"/>
          <w:szCs w:val="20"/>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expenses directly associated with each segment are included in determining operating income.</w:t>
      </w:r>
    </w:p>
    <w:p>
      <w:pPr>
        <w:spacing w:after="0" w:line="103" w:lineRule="exact"/>
        <w:rPr>
          <w:rFonts w:ascii="Times New Roman" w:cs="Times New Roman" w:eastAsia="Times New Roman" w:hAnsi="Times New Roman"/>
          <w:sz w:val="18"/>
          <w:szCs w:val="18"/>
          <w:color w:val="auto"/>
        </w:rPr>
      </w:pPr>
    </w:p>
    <w:p>
      <w:pPr>
        <w:ind w:left="780" w:right="320" w:hanging="326"/>
        <w:spacing w:after="0" w:line="275"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not directly associated with specific segments are allocated based on the most relevant measures applicable, including headcount, square footage and other factors.</w:t>
      </w:r>
    </w:p>
    <w:p>
      <w:pPr>
        <w:spacing w:after="0" w:line="25"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06"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Company allocates investment gains and losses, interest income and interest expense among the various segments based on the segment in which the underlying asset or liability is reported.</w:t>
      </w:r>
    </w:p>
    <w:p>
      <w:pPr>
        <w:spacing w:after="0" w:line="106"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9"/>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tc>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Revenue</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254,012</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$259,221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768,481</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215,838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212,543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667,538</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 (a)</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100,943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26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20" w:type="dxa"/>
            <w:vAlign w:val="bottom"/>
            <w:gridSpan w:val="2"/>
            <w:vMerge w:val="continue"/>
          </w:tcPr>
          <w:p>
            <w:pPr>
              <w:spacing w:after="0"/>
              <w:rPr>
                <w:sz w:val="24"/>
                <w:szCs w:val="24"/>
                <w:color w:val="auto"/>
              </w:rPr>
            </w:pPr>
          </w:p>
        </w:tc>
        <w:tc>
          <w:tcPr>
            <w:tcW w:w="2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210,132</w:t>
            </w:r>
          </w:p>
        </w:tc>
        <w:tc>
          <w:tcPr>
            <w:tcW w:w="3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$160,744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587,299</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393,810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150,515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117,728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416,841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(a)</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170,458</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0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Revenue</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(10,907)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(8,250)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(45,297)</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114,067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Loss (a)</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(18,324)</w:t>
            </w:r>
          </w:p>
        </w:tc>
        <w:tc>
          <w:tcPr>
            <w:tcW w:w="880" w:type="dxa"/>
            <w:vAlign w:val="bottom"/>
            <w:gridSpan w:val="4"/>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3"/>
              </w:rPr>
              <w:t>$ (16,529)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(159,364)</w:t>
            </w:r>
          </w:p>
        </w:tc>
        <w:tc>
          <w:tcPr>
            <w:tcW w:w="9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(120,900)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20" w:type="dxa"/>
            <w:vAlign w:val="bottom"/>
            <w:gridSpan w:val="2"/>
            <w:vMerge w:val="continue"/>
          </w:tcPr>
          <w:p>
            <w:pPr>
              <w:spacing w:after="0"/>
              <w:rPr>
                <w:sz w:val="24"/>
                <w:szCs w:val="24"/>
                <w:color w:val="auto"/>
              </w:rPr>
            </w:pPr>
          </w:p>
        </w:tc>
        <w:tc>
          <w:tcPr>
            <w:tcW w:w="2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453,237</w:t>
            </w:r>
          </w:p>
        </w:tc>
        <w:tc>
          <w:tcPr>
            <w:tcW w:w="3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1"/>
              </w:rPr>
              <w:t>$ 411,715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7"/>
              </w:rPr>
              <w:t>1,310,483</w:t>
            </w:r>
          </w:p>
        </w:tc>
        <w:tc>
          <w:tcPr>
            <w:tcW w:w="9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$1,035,735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373,770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338,550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1,198,446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(a)</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79,467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112,037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6"/>
          </w:tcPr>
          <w:p>
            <w:pPr>
              <w:jc w:val="right"/>
              <w:ind w:right="460"/>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tcPr>
          <w:p>
            <w:pPr>
              <w:jc w:val="right"/>
              <w:ind w:right="60"/>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Financial Advisory</w:t>
            </w:r>
          </w:p>
        </w:tc>
        <w:tc>
          <w:tcPr>
            <w:tcW w:w="26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w w:val="95"/>
              </w:rPr>
              <w:t>728,215</w:t>
            </w:r>
          </w:p>
        </w:tc>
        <w:tc>
          <w:tcPr>
            <w:tcW w:w="260" w:type="dxa"/>
            <w:vAlign w:val="bottom"/>
          </w:tcPr>
          <w:p>
            <w:pPr>
              <w:spacing w:after="0"/>
              <w:rPr>
                <w:sz w:val="18"/>
                <w:szCs w:val="18"/>
                <w:color w:val="auto"/>
              </w:rPr>
            </w:pPr>
          </w:p>
        </w:tc>
        <w:tc>
          <w:tcPr>
            <w:tcW w:w="200" w:type="dxa"/>
            <w:vAlign w:val="bottom"/>
            <w:gridSpan w:val="3"/>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Asset Management</w:t>
            </w:r>
          </w:p>
        </w:tc>
        <w:tc>
          <w:tcPr>
            <w:tcW w:w="26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5"/>
              </w:rPr>
              <w:t>768,029</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w:t>
            </w:r>
          </w:p>
        </w:tc>
        <w:tc>
          <w:tcPr>
            <w:tcW w:w="26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1,627,454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1,738,202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3,123,698</w:t>
            </w:r>
          </w:p>
        </w:tc>
        <w:tc>
          <w:tcPr>
            <w:tcW w:w="2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00" w:type="dxa"/>
            <w:vAlign w:val="bottom"/>
            <w:vMerge w:val="restart"/>
          </w:tcPr>
          <w:p>
            <w:pPr>
              <w:jc w:val="right"/>
              <w:ind w:right="151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4" w:lineRule="exact"/>
        <w:rPr>
          <w:sz w:val="20"/>
          <w:szCs w:val="20"/>
          <w:color w:val="auto"/>
        </w:rPr>
      </w:pPr>
    </w:p>
    <w:p>
      <w:pPr>
        <w:ind w:left="460" w:right="180" w:hanging="452"/>
        <w:spacing w:after="0" w:line="262"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(loss) for the nine month periods ended September 30, 2010 and 2009 was significantly impacted by certain special items related to the three month periods ended March 31, 2010 and 2009, respectively. Such impact, including the amounts attributable to each of the Company’s business segments, is described in the table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as reported above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100,943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78,573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Acceleration of amortization expense pertaining to the amendment of Lazard’s retirement policy with respect to RSU</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awards</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excluding impact of special item</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120,514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78,573</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0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as reported above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4"/>
              </w:rPr>
              <w:t>$170,458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Special item: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Acceleration of amortization expense pertaining to the amendment of Lazard’s retirement policy with respect to RSU</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awards</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2,902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excluding impact of special item</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as reported above</w:t>
            </w:r>
          </w:p>
        </w:tc>
        <w:tc>
          <w:tcPr>
            <w:tcW w:w="1360" w:type="dxa"/>
            <w:vAlign w:val="bottom"/>
            <w:gridSpan w:val="4"/>
          </w:tcPr>
          <w:p>
            <w:pPr>
              <w:jc w:val="right"/>
              <w:ind w:right="98"/>
              <w:spacing w:after="0"/>
              <w:rPr>
                <w:sz w:val="20"/>
                <w:szCs w:val="20"/>
                <w:color w:val="auto"/>
              </w:rPr>
            </w:pPr>
            <w:r>
              <w:rPr>
                <w:rFonts w:ascii="Times New Roman" w:cs="Times New Roman" w:eastAsia="Times New Roman" w:hAnsi="Times New Roman"/>
                <w:sz w:val="18"/>
                <w:szCs w:val="18"/>
                <w:color w:val="auto"/>
              </w:rPr>
              <w:t>$ (159,364)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(120,900)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Restructuring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87,108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62,550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Acceleration of amortization expense pertaining to the amendment of Lazard’s retirement policy with respect to RSU</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awards</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2,387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 excluding impact of special items</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(69,869</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as reported above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112,037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39,342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Restructuring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87,108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62,550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Acceleration of amortization expense pertaining to the amendment of Lazard’s retirement policy with respect to RSU</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awards</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24,860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excluding impact of special items</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ind w:left="562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0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7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(the “MD&amp;A”) included in our Annual Report on Form 10-K for the year ended December 31, 2009 (the “Form 10-K”). All references to “2010”, “2009”, “third quarter”, “nine months”, or “the period” refer to, as the context requires, the three month and nine month periods ended September 30, 2010 and September 30, 2009.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Certain Factors that May Affect Our Business</w:t>
      </w:r>
    </w:p>
    <w:p>
      <w:pPr>
        <w:spacing w:after="0" w:line="7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44" w:lineRule="exact"/>
        <w:rPr>
          <w:sz w:val="20"/>
          <w:szCs w:val="20"/>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general economic conditions or the global financial markets,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caused by financial or other problems experienced by third parties,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unidentified or unanticipated risks,</w:t>
      </w:r>
    </w:p>
    <w:p>
      <w:pPr>
        <w:spacing w:after="0" w:line="10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lack of liquidity,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ready access to funds, for use in our businesses, and</w:t>
      </w:r>
    </w:p>
    <w:p>
      <w:pPr>
        <w:spacing w:after="0" w:line="10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 on our businesses and on our ability to retain our employees.</w:t>
      </w:r>
    </w:p>
    <w:p>
      <w:pPr>
        <w:spacing w:after="0" w:line="185"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0" w:lineRule="exact"/>
        <w:rPr>
          <w:sz w:val="20"/>
          <w:szCs w:val="20"/>
          <w:color w:val="auto"/>
        </w:rPr>
      </w:pPr>
    </w:p>
    <w:p>
      <w:pPr>
        <w:ind w:right="240" w:firstLine="456"/>
        <w:spacing w:after="0" w:line="301" w:lineRule="auto"/>
        <w:rPr>
          <w:sz w:val="20"/>
          <w:szCs w:val="20"/>
          <w:color w:val="auto"/>
        </w:rPr>
      </w:pPr>
      <w:r>
        <w:rPr>
          <w:rFonts w:ascii="Times New Roman" w:cs="Times New Roman" w:eastAsia="Times New Roman" w:hAnsi="Times New Roman"/>
          <w:sz w:val="16"/>
          <w:szCs w:val="16"/>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possible or assumed future results of operations and operating cash flows,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strategies and investment policies,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financing plans and the availability of short-term borrowing,</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competitive position,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including the consideration to be paid and the timing of consummation,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opportunities available to our businesses,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our managing directors and employees,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levels of compensation expense,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potential operating performance, achievements, productivity improvements, efficiency and cost reduction efforts,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success and impact of litigation,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tax rates,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and tax rates,</w:t>
      </w:r>
    </w:p>
    <w:p>
      <w:pPr>
        <w:spacing w:after="0" w:line="103" w:lineRule="exact"/>
        <w:rPr>
          <w:rFonts w:ascii="Times New Roman" w:cs="Times New Roman" w:eastAsia="Times New Roman" w:hAnsi="Times New Roman"/>
          <w:sz w:val="18"/>
          <w:szCs w:val="18"/>
          <w:color w:val="auto"/>
        </w:rPr>
      </w:pPr>
    </w:p>
    <w:p>
      <w:pPr>
        <w:ind w:left="780" w:right="80" w:hanging="326"/>
        <w:spacing w:after="0" w:line="275"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on our business,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future legislation and regulation on our business.</w:t>
      </w:r>
    </w:p>
    <w:p>
      <w:pPr>
        <w:spacing w:after="0" w:line="185"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and its subsidiaries (“LAM”). Monthly updates of these funds are posted to the LAM website </w:t>
      </w:r>
      <w:r>
        <w:rPr>
          <w:rFonts w:ascii="Times New Roman" w:cs="Times New Roman" w:eastAsia="Times New Roman" w:hAnsi="Times New Roman"/>
          <w:sz w:val="18"/>
          <w:szCs w:val="18"/>
          <w:i w:val="1"/>
          <w:iCs w:val="1"/>
          <w:color w:val="auto"/>
        </w:rPr>
        <w:t>(www.lazardnet.com)</w:t>
      </w:r>
      <w:r>
        <w:rPr>
          <w:rFonts w:ascii="Times New Roman" w:cs="Times New Roman" w:eastAsia="Times New Roman" w:hAnsi="Times New Roman"/>
          <w:sz w:val="18"/>
          <w:szCs w:val="18"/>
          <w:color w:val="auto"/>
        </w:rPr>
        <w:t xml:space="preserve"> on the third business day following the end of each month. Investors can link to Lazard Ltd, Lazard Group and their operating company websites through </w:t>
      </w:r>
      <w:r>
        <w:rPr>
          <w:rFonts w:ascii="Times New Roman" w:cs="Times New Roman" w:eastAsia="Times New Roman" w:hAnsi="Times New Roman"/>
          <w:sz w:val="18"/>
          <w:szCs w:val="18"/>
          <w:i w:val="1"/>
          <w:iCs w:val="1"/>
          <w:color w:val="auto"/>
        </w:rPr>
        <w:t>http://www.lazard.com</w:t>
      </w:r>
      <w:r>
        <w:rPr>
          <w:rFonts w:ascii="Times New Roman" w:cs="Times New Roman" w:eastAsia="Times New Roman" w:hAnsi="Times New Roman"/>
          <w:sz w:val="18"/>
          <w:szCs w:val="18"/>
          <w:color w:val="auto"/>
        </w:rPr>
        <w:t>. Our websites and the information contained therein or connected thereto shall not be deemed to be incorporated into this Form 10-Q.</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540" w:hanging="326"/>
        <w:spacing w:after="0" w:line="275"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25"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includes strategies for the management of equity and fixed income securities and alternative investment and private equity funds.</w:t>
      </w:r>
    </w:p>
    <w:p>
      <w:pPr>
        <w:spacing w:after="0" w:line="10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1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engages in underwritten offerings of securities in France and we expect that it may expand its scope to include placements elsewhere in Europe.</w:t>
      </w:r>
    </w:p>
    <w:p>
      <w:pPr>
        <w:spacing w:after="0" w:line="12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Lazard also has a long history of making alternative investments with its own capital, usually alongside capital of qualified institutional and individual investors. At the time of Lazard Ltd’s equity public offering and as a part of the separation, we transferred to LFCM Holdings LLC (“LFCM Holdings”) all of our alternative investment activities, except for Fonds Partenaires Gestion SA (“FPG”), our private equity business in France. Such activities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6"/>
          <w:szCs w:val="16"/>
          <w:color w:val="auto"/>
        </w:rPr>
        <w:t>transferred to LFCM Holdings represented the alternative investment activities of Lazard Alternative Investments Holdings LLC (“LAI”) and included private equity investments of Corporate Partners II Limited (“CP II”) and Lazard Senior Housing Partners LP. CP II was managed by a subsidiary of LAI until February 16, 2009. Effective February 17, 2009, ownership and control of CP II was transferred to the investment professionals who manage CP II. We also transferred to LFCM Holdings certain principal investments by Lazard Group in the funds managed by the separated businesses, subject to certain options by us to reacquire such investments, while we retained our investment in our French private equity funds. Since 2005, consistent with our obligations to LFCM Holdings, we have engaged in a number of alternative investments and private equity activities. Effective September 30, 2009, the Company sold FPG to a fund management company forming part of a group that manages investment companies and funds, in some of which Lazard could earn carried interests. The managing directors and staff conducting this activity were accordingly transferred to the buyer. The sale of FPG did not have a material impact on our financial condition or results of operations. Operating results of FPG have been included in our consolidated financial statements through the effective date of sale.</w:t>
      </w:r>
    </w:p>
    <w:p>
      <w:pPr>
        <w:spacing w:after="0" w:line="9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In that regard, on July 15, 2009, the Company established a private equity business with The Edgewater Funds (“Edgewater”), a Chicago-based private equity firm, through the acquisition of Edgewater’s management vehicles. The acquisition was structured as a purchase by Lazard of interests in a holding company that owns interests in the general partner and management company entities of the current Edgewater private equity funds (the “Edgewater Acquisition”) (see Note 8 of Notes to Condensed Consolidated Financial Statements). Also, consistent with our obligations to LFCM Holdings, we may explore discrete capital markets opportunities.</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consolidated net revenue was derived from the following segments: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64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4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w w:val="95"/>
              </w:rPr>
              <w:t>Nine Months Ended</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96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Advisory</w:t>
            </w:r>
          </w:p>
        </w:tc>
        <w:tc>
          <w:tcPr>
            <w:tcW w:w="1520" w:type="dxa"/>
            <w:vAlign w:val="bottom"/>
            <w:gridSpan w:val="2"/>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63%</w:t>
            </w:r>
          </w:p>
        </w:tc>
        <w:tc>
          <w:tcPr>
            <w:tcW w:w="152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tcPr>
          <w:p>
            <w:pPr>
              <w:spacing w:after="0"/>
              <w:rPr>
                <w:sz w:val="18"/>
                <w:szCs w:val="18"/>
                <w:color w:val="auto"/>
              </w:rPr>
            </w:pPr>
          </w:p>
        </w:tc>
        <w:tc>
          <w:tcPr>
            <w:tcW w:w="1520" w:type="dxa"/>
            <w:vAlign w:val="bottom"/>
            <w:gridSpan w:val="2"/>
          </w:tcPr>
          <w:p>
            <w:pPr>
              <w:jc w:val="right"/>
              <w:ind w:right="91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520" w:type="dxa"/>
            <w:vAlign w:val="bottom"/>
            <w:gridSpan w:val="2"/>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1520" w:type="dxa"/>
            <w:vAlign w:val="bottom"/>
            <w:gridSpan w:val="2"/>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vMerge w:val="continue"/>
          </w:tcPr>
          <w:p>
            <w:pPr>
              <w:spacing w:after="0"/>
              <w:rPr>
                <w:sz w:val="19"/>
                <w:szCs w:val="19"/>
                <w:color w:val="auto"/>
              </w:rPr>
            </w:pPr>
          </w:p>
        </w:tc>
        <w:tc>
          <w:tcPr>
            <w:tcW w:w="1520" w:type="dxa"/>
            <w:vAlign w:val="bottom"/>
            <w:gridSpan w:val="2"/>
          </w:tcPr>
          <w:p>
            <w:pPr>
              <w:jc w:val="right"/>
              <w:ind w:right="77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3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100%</w:t>
            </w:r>
          </w:p>
        </w:tc>
        <w:tc>
          <w:tcPr>
            <w:tcW w:w="152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7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the first nine months of 2010, economic and market conditions in general in the U.S. and globally have shown signs of a gradual, but uneven recovery, with the respective equity markets generally experiencing modest increases, albeit with significant volatility in the second and third quarters. Also contributing to the recovery in the first nine months of 2010 were healthier credit markets, improved corporate earnings and continued low interest rates. When compared to the first nine months of 2009, economic and market conditions have improved, which contributed to the improvement in our operating performance in both Financial Advisory and Asset Management during 2010.</w:t>
      </w:r>
    </w:p>
    <w:p>
      <w:pPr>
        <w:spacing w:after="0" w:line="12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our Form 10-K. Furthermore, net income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and revenue in any period may not be indicative of full-year results or the results of any other period and may vary significantly from year to year and quarter to quarter.</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w:t>
      </w:r>
    </w:p>
    <w:p>
      <w:pPr>
        <w:spacing w:after="0" w:line="81" w:lineRule="exact"/>
        <w:rPr>
          <w:sz w:val="20"/>
          <w:szCs w:val="20"/>
          <w:color w:val="auto"/>
        </w:rPr>
      </w:pPr>
    </w:p>
    <w:p>
      <w:pPr>
        <w:ind w:right="460" w:firstLine="456"/>
        <w:spacing w:after="0" w:line="339" w:lineRule="auto"/>
        <w:rPr>
          <w:sz w:val="20"/>
          <w:szCs w:val="20"/>
          <w:color w:val="auto"/>
        </w:rPr>
      </w:pPr>
      <w:r>
        <w:rPr>
          <w:rFonts w:ascii="Times New Roman" w:cs="Times New Roman" w:eastAsia="Times New Roman" w:hAnsi="Times New Roman"/>
          <w:sz w:val="16"/>
          <w:szCs w:val="16"/>
          <w:color w:val="auto"/>
        </w:rPr>
        <w:t>Global and trans-atlantic completed and announced M&amp;A transactions for the third quarter and the first nine months of 2010 increased versus the corresponding prior year periods, as shown in the following table, which sets forth industry statistics regarding the value of such transactions in the periods: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5"/>
        </w:trPr>
        <w:tc>
          <w:tcPr>
            <w:tcW w:w="48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6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5"/>
        </w:trPr>
        <w:tc>
          <w:tcPr>
            <w:tcW w:w="4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jc w:val="right"/>
              <w:ind w:right="201"/>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jc w:val="right"/>
              <w:ind w:right="179"/>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r>
      <w:tr>
        <w:trPr>
          <w:trHeight w:val="165"/>
        </w:trPr>
        <w:tc>
          <w:tcPr>
            <w:tcW w:w="486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2009</w:t>
            </w:r>
          </w:p>
        </w:tc>
        <w:tc>
          <w:tcPr>
            <w:tcW w:w="5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Incr/(Decr)</w:t>
            </w:r>
          </w:p>
        </w:tc>
        <w:tc>
          <w:tcPr>
            <w:tcW w:w="70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2010</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2009</w:t>
            </w:r>
          </w:p>
        </w:tc>
        <w:tc>
          <w:tcPr>
            <w:tcW w:w="5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Incr/(Decr)</w:t>
            </w:r>
          </w:p>
        </w:tc>
        <w:tc>
          <w:tcPr>
            <w:tcW w:w="20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4"/>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 in billions)</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Completed M&amp;A Transactions: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Global</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420</w:t>
            </w:r>
          </w:p>
        </w:tc>
        <w:tc>
          <w:tcPr>
            <w:tcW w:w="1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  388</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8 %</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$ 1,290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$ 1,190</w:t>
            </w:r>
          </w:p>
        </w:tc>
        <w:tc>
          <w:tcPr>
            <w:tcW w:w="5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Trans-Atlantic</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82"/>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Announced M&amp;A Transactions: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8"/>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607</w:t>
            </w:r>
          </w:p>
        </w:tc>
        <w:tc>
          <w:tcPr>
            <w:tcW w:w="1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436</w:t>
            </w: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39 %</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2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Trans-Atlantic</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58</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28 %</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Source:Thomson Financial as of October </w:t>
      </w: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i w:val="1"/>
          <w:iCs w:val="1"/>
          <w:color w:val="auto"/>
        </w:rPr>
        <w:t>, 2010</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believe that in the current environment we are relatively well positioned as our clients refinance, restructure and position their asset portfolios for growth. While overall M&amp;A industry statistics regarding the number and size of announced transactions increased in the first nine months of 2010 as compared to the 2009 period, we continue to remain cautious with respect to the overall economic environment and its impact on the M&amp;A business. Generally, during periods of unfavorable market or economic conditions, the volume and value of M&amp;A transactions may decrease, thereby reducing the demand for our advisory services and increasing competition among financial services companies seeking such engagements.</w:t>
      </w:r>
    </w:p>
    <w:p>
      <w:pPr>
        <w:spacing w:after="0" w:line="125" w:lineRule="exact"/>
        <w:rPr>
          <w:sz w:val="20"/>
          <w:szCs w:val="20"/>
          <w:color w:val="auto"/>
        </w:rPr>
      </w:pPr>
    </w:p>
    <w:p>
      <w:pPr>
        <w:ind w:right="260" w:firstLine="456"/>
        <w:spacing w:after="0" w:line="293" w:lineRule="auto"/>
        <w:rPr>
          <w:sz w:val="20"/>
          <w:szCs w:val="20"/>
          <w:color w:val="auto"/>
        </w:rPr>
      </w:pPr>
      <w:r>
        <w:rPr>
          <w:rFonts w:ascii="Times New Roman" w:cs="Times New Roman" w:eastAsia="Times New Roman" w:hAnsi="Times New Roman"/>
          <w:sz w:val="16"/>
          <w:szCs w:val="16"/>
          <w:color w:val="auto"/>
        </w:rPr>
        <w:t>Global restructuring activity during the first nine months of 2010 decreased from record levels in 2009 due to the decelerating pace of corporate debt defaults, partially resulting from the strengthening of the high yield and leveraged loan markets. According to Moody’s Investors Service, Inc., in the first nine months of 2010, a total of 40 issuers defaulted as compared to 237 in the corresponding 2009 period. While we believe that the number and value of corporate defaults will continue to decline throughout the balance of 2010 and in 2011, we expect, due to our Restructuring assignments currently in progress, that our Restructuring business will remain active, albeit at a lower level, from advising companies during this period on matters relating to debt and financing restructuring and other on- and off-balance sheet assignments. Our Restructuring assignments are generally executed over a six- to twelve-month period.</w:t>
      </w:r>
    </w:p>
    <w:p>
      <w:pPr>
        <w:spacing w:after="0" w:line="97"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6"/>
          <w:szCs w:val="16"/>
          <w:color w:val="auto"/>
        </w:rPr>
        <w:t>Our Private Fund Advisory Group, which is part of our Financial Advisory segment and is conducted in the U.S. through Lazard Frères &amp; Co. LLC, an SEC-registered broker-dealer and member of FINRA, acts as placement agent for investment funds, including investment funds that have historically received capital from certain public pension funds. 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California and New Mexico, and similar measures are being considered or have been implemented in other jurisdictions. On June 30, 2010, the SEC approved a rule that, among other things, will prohibit investment advisors from paying a third-party placement agent for soliciting investment advisory business from a U.S. governmental entity, unless the placement agent is (i) an SEC-registered investment advisor or (ii) an SEC-registered broker-dealer that is a member of FINRA and thus subject to FINRA’s forthcoming “pay-to-play” rule. We are continuing to evaluate the potential impact of state, local and other restrictions on our Private Fund Advisory Group.</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w:t>
      </w:r>
    </w:p>
    <w:p>
      <w:pPr>
        <w:spacing w:after="0" w:line="81"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As shown in the table below, major global market indices at September 30, 2010 increased in most markets as compared to such indices at June 30, 2010, December 31, 2009, and September 30, 2009.</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8"/>
              </w:rPr>
              <w:t>Percentage Change</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5"/>
        </w:trPr>
        <w:tc>
          <w:tcPr>
            <w:tcW w:w="70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 2010 vs.</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7040" w:type="dxa"/>
            <w:vAlign w:val="bottom"/>
          </w:tcPr>
          <w:p>
            <w:pPr>
              <w:spacing w:after="0"/>
              <w:rPr>
                <w:sz w:val="10"/>
                <w:szCs w:val="10"/>
                <w:color w:val="auto"/>
              </w:rPr>
            </w:pPr>
          </w:p>
        </w:tc>
        <w:tc>
          <w:tcPr>
            <w:tcW w:w="1020" w:type="dxa"/>
            <w:vAlign w:val="bottom"/>
            <w:gridSpan w:val="2"/>
          </w:tcPr>
          <w:p>
            <w:pPr>
              <w:jc w:val="center"/>
              <w:ind w:right="5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440" w:type="dxa"/>
            <w:vAlign w:val="bottom"/>
          </w:tcPr>
          <w:p>
            <w:pPr>
              <w:spacing w:after="0"/>
              <w:rPr>
                <w:sz w:val="10"/>
                <w:szCs w:val="10"/>
                <w:color w:val="auto"/>
              </w:rPr>
            </w:pPr>
          </w:p>
        </w:tc>
        <w:tc>
          <w:tcPr>
            <w:tcW w:w="1840" w:type="dxa"/>
            <w:vAlign w:val="bottom"/>
            <w:gridSpan w:val="2"/>
          </w:tcPr>
          <w:p>
            <w:pPr>
              <w:jc w:val="center"/>
              <w:ind w:right="1040"/>
              <w:spacing w:after="0" w:line="125"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8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60" w:type="dxa"/>
            <w:vAlign w:val="bottom"/>
          </w:tcPr>
          <w:p>
            <w:pPr>
              <w:spacing w:after="0"/>
              <w:rPr>
                <w:sz w:val="10"/>
                <w:szCs w:val="10"/>
                <w:color w:val="auto"/>
              </w:rPr>
            </w:pPr>
          </w:p>
        </w:tc>
      </w:tr>
      <w:tr>
        <w:trPr>
          <w:trHeight w:val="165"/>
        </w:trPr>
        <w:tc>
          <w:tcPr>
            <w:tcW w:w="7040" w:type="dxa"/>
            <w:vAlign w:val="bottom"/>
          </w:tcPr>
          <w:p>
            <w:pPr>
              <w:spacing w:after="0"/>
              <w:rPr>
                <w:sz w:val="14"/>
                <w:szCs w:val="14"/>
                <w:color w:val="auto"/>
              </w:rPr>
            </w:pPr>
          </w:p>
        </w:tc>
        <w:tc>
          <w:tcPr>
            <w:tcW w:w="4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2010</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40" w:type="dxa"/>
            <w:vAlign w:val="bottom"/>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2009</w:t>
            </w:r>
          </w:p>
        </w:tc>
        <w:tc>
          <w:tcPr>
            <w:tcW w:w="260" w:type="dxa"/>
            <w:vAlign w:val="bottom"/>
          </w:tcPr>
          <w:p>
            <w:pPr>
              <w:spacing w:after="0"/>
              <w:rPr>
                <w:sz w:val="14"/>
                <w:szCs w:val="14"/>
                <w:color w:val="auto"/>
              </w:rPr>
            </w:pP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MSCI World Index</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w:t>
            </w:r>
          </w:p>
        </w:tc>
        <w:tc>
          <w:tcPr>
            <w:tcW w:w="228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1 %</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CAC 40</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DAX</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w:t>
            </w:r>
          </w:p>
        </w:tc>
        <w:tc>
          <w:tcPr>
            <w:tcW w:w="228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5 %</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FTSE 100</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w:t>
            </w:r>
          </w:p>
        </w:tc>
        <w:tc>
          <w:tcPr>
            <w:tcW w:w="22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3 %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8 %</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TOPIX 100</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MSCI Emerging Market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w:t>
            </w:r>
          </w:p>
        </w:tc>
        <w:tc>
          <w:tcPr>
            <w:tcW w:w="22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9 %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 Jones Industrial Average</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w:t>
            </w:r>
          </w:p>
        </w:tc>
        <w:tc>
          <w:tcPr>
            <w:tcW w:w="228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4 %</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NASDAQ</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w:t>
            </w:r>
          </w:p>
        </w:tc>
        <w:tc>
          <w:tcPr>
            <w:tcW w:w="22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4 %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500</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w:t>
            </w:r>
          </w:p>
        </w:tc>
        <w:tc>
          <w:tcPr>
            <w:tcW w:w="228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2 %</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8 %</w:t>
            </w:r>
          </w:p>
        </w:tc>
      </w:tr>
    </w:tbl>
    <w:p>
      <w:pPr>
        <w:spacing w:after="0" w:line="13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corresponded to the changes in global market indices. Our AUM at September 30, 2010 increased 11% versus AUM at December 31, 2009, with average AUM for the third quarter and first nine months of 2010 increasing 22% and 36%, respectively, as compared to our average AUM for the corresponding periods of 2009, reflecting significant market appreciation as well as net inflows over the twelve month period ended September 30, 2010. Such increased AUM contributed to significantly higher management fee revenues in the 2010 periods.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8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from public and private securities offerings for referring opportunities to LFCM Holdings for underwriting and distribution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7"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Lazard’s Asset Management segment principally includes LAM, Lazard Frères Gestion SAS, FPG (through its disposition on September 30, 2009) and, effective July 15, 2009, Edgewater.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client asset inflows and outflows have a direct effect on Asset Management net revenue and operating income. Asset Management fees are generally based on the level of AUM measured as of the end of a quarter or month, and an increase or reduction in AUM at such dates,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assets that are denominated in currencies other than U.S. dollars, changes in the value of the U.S. dollar relative to foreign currencies will impact the value of Lazard’s AUM. Fees vary with the type of assets managed, with higher fees earned on equity assets, alternative investments (such as hedge funds) and private equity investments, and lower fees earned on fixed income and cash management products.</w:t>
      </w:r>
    </w:p>
    <w:p>
      <w:pPr>
        <w:spacing w:after="0" w:line="13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w:t>
      </w:r>
    </w:p>
    <w:p>
      <w:pPr>
        <w:spacing w:after="0" w:line="106"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7"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23"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Corporate segment net revenue consists primarily of net interest income, including amounts earned at LFB, and investment gains and losses on the Company’s investment portfolio of LAM-managed equity funds and principal investments in equities, debt securities at LFB and alternative investment funds. Interest expense is also included in Corporate net revenue. Corporate net revenue can fluctuate due to changes in the fair value of investments classified as “trading”, and with respect to “available-for-sale”, when realized, or when a decline is determined to be other than temporary with respect to “available-for-sale” and “held-to-maturity” investments, as well as due to changes in interest and currency exchange rates and in the levels of cash, investments and indebtedness.</w:t>
      </w:r>
    </w:p>
    <w:p>
      <w:pPr>
        <w:spacing w:after="0" w:line="94"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Although Corporate segment net revenue during the first nine months of 2010 represented (4)% of Lazard’s net revenue, total assets in Corporate represented 52% of Lazard’s consolidated total assets as of September 30, 2010, which is attributable to assets associated with LFB, investments in government bonds, LAM-managed funds, other securities and cash.</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8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majority of Lazard’s operating expenses relate to compensation and benefits for employees and managing directors. Our compensation and benefits expense includes amortization of the relevant portion of our share-based incentive compensation under the Lazard Ltd 2005 Equity Incentive Plan (“2005 Plan”) and the Lazard Ltd 2008 Incentive Compensation Plan (the “2008 Plan”), with such amortization generally determined on a straight-line basis over the vesting periods and not on the basis of revenue recognition. Compensation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expense in any given period is dependent on many factors, including general economic and market conditions, our operating and financial performance, staffing levels and competitive pay conditions, the nature of revenues earned, as well as the mix between current and deferred compensation. Our compensation expense-to-operating revenue ratio for the nine month periods of 2010 and 2009 was 60.0% and 62.9%, respectively (with such ratio in the nine month period of 2010 excluding the compensation charge of approximately $25 million in connection with the accelerated vesting of restricted stock unit awards (“RSUs”) related to the Company’s change in retirement policy), and was 59.7% and 58.2% for the third quarters of 2010 and 2009, respectively. See Note 13 of Notes to Condensed Consolidated Financial Statements for additional information regarding the Company’s incentive plans.</w:t>
      </w:r>
    </w:p>
    <w:p>
      <w:pPr>
        <w:spacing w:after="0" w:line="12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in the nine month periods of 2010 and 2009, restructuring expense. Amortization of intangible assets related to acquisitions relates primarily to the July 2009 acquisition of Edgewater. Restructuring expense relates to certain staff reductions and realignment of personnel in the first quarters of 2010 and 2009, and includes severance and related benefits expense, the acceleration of unrecognized expense pertaining to RSUs previously granted to individuals who were terminated and certain other costs related to these initiatives.</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8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related to non-U.S. entities and to New York City Unincorporated Business Tax (“UBT”) attributable to Lazard’s operations apportioned to New York City. The Company’s provision for income taxes also includes a U.S. income tax provision attributable to Lazard Ltd’s ownership interest in Lazard Group’s operating income.</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81"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Noncontrolling interests primarily relate to the charge (credit) attributable to LAZ-MD Holdings’ ownership interest in the net income (loss) attributable to Lazard Group, amounts related to Edgewater and various LAM-related general partnership interests (“GPs”) held directly by certain of our LAM managing directors. See Note 12 of Notes to Condensed Consolidated Financial Statements for information regarding the Company’s noncontrolling interests.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7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Lazard’s consolidated financial statements are presented in U.S. dollars. Many of our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Foreign currency remeasurement gains and losses on transactions in non-functional currencies are included in the consolidated statements of operations.</w:t>
      </w:r>
    </w:p>
    <w:p>
      <w:pPr>
        <w:spacing w:after="0" w:line="128"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During the first quarters of 2010 and 2009 the Company reported certain charges (the “2010 special items” and the “2009 special item,” respectively, and collectively, the “2010 and 2009 special items”) that adversely impacted operating results for the nine month periods. The impact of such special items on the Company’s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455" w:right="2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for the 2010 and 2009 nine month periods is described in more detail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5"/>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947"/>
              <w:spacing w:after="0" w:line="125" w:lineRule="exact"/>
              <w:rPr>
                <w:sz w:val="20"/>
                <w:szCs w:val="20"/>
                <w:color w:val="auto"/>
              </w:rPr>
            </w:pPr>
            <w:r>
              <w:rPr>
                <w:rFonts w:ascii="Times New Roman" w:cs="Times New Roman" w:eastAsia="Times New Roman" w:hAnsi="Times New Roman"/>
                <w:sz w:val="14"/>
                <w:szCs w:val="14"/>
                <w:b w:val="1"/>
                <w:bCs w:val="1"/>
                <w:color w:val="auto"/>
                <w:w w:val="92"/>
              </w:rPr>
              <w:t>RSU</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80" w:type="dxa"/>
            <w:vAlign w:val="bottom"/>
            <w:gridSpan w:val="3"/>
          </w:tcPr>
          <w:p>
            <w:pPr>
              <w:jc w:val="center"/>
              <w:ind w:right="827"/>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Retirement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7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580" w:type="dxa"/>
            <w:vAlign w:val="bottom"/>
            <w:gridSpan w:val="3"/>
          </w:tcPr>
          <w:p>
            <w:pPr>
              <w:jc w:val="center"/>
              <w:ind w:right="827"/>
              <w:spacing w:after="0" w:line="149" w:lineRule="exact"/>
              <w:rPr>
                <w:sz w:val="20"/>
                <w:szCs w:val="20"/>
                <w:color w:val="auto"/>
              </w:rPr>
            </w:pPr>
            <w:r>
              <w:rPr>
                <w:rFonts w:ascii="Times New Roman" w:cs="Times New Roman" w:eastAsia="Times New Roman" w:hAnsi="Times New Roman"/>
                <w:sz w:val="14"/>
                <w:szCs w:val="14"/>
                <w:b w:val="1"/>
                <w:bCs w:val="1"/>
                <w:color w:val="auto"/>
                <w:w w:val="94"/>
              </w:rPr>
              <w:t>Amendment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4"/>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w:t>
            </w:r>
          </w:p>
        </w:tc>
        <w:tc>
          <w:tcPr>
            <w:tcW w:w="88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(b)</w:t>
            </w: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center"/>
              <w:ind w:left="422"/>
              <w:spacing w:after="0" w:line="142" w:lineRule="exact"/>
              <w:rPr>
                <w:sz w:val="20"/>
                <w:szCs w:val="20"/>
                <w:color w:val="auto"/>
              </w:rPr>
            </w:pPr>
            <w:r>
              <w:rPr>
                <w:rFonts w:ascii="Times New Roman" w:cs="Times New Roman" w:eastAsia="Times New Roman" w:hAnsi="Times New Roman"/>
                <w:sz w:val="14"/>
                <w:szCs w:val="14"/>
                <w:b w:val="1"/>
                <w:bCs w:val="1"/>
                <w:color w:val="auto"/>
                <w:w w:val="98"/>
              </w:rPr>
              <w:t>($ in thousands)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CEEFF"/>
          </w:tcPr>
          <w:p>
            <w:pPr>
              <w:jc w:val="right"/>
              <w:ind w:right="807"/>
              <w:spacing w:after="0"/>
              <w:rPr>
                <w:sz w:val="20"/>
                <w:szCs w:val="20"/>
                <w:color w:val="auto"/>
              </w:rPr>
            </w:pPr>
            <w:r>
              <w:rPr>
                <w:rFonts w:ascii="Times New Roman" w:cs="Times New Roman" w:eastAsia="Times New Roman" w:hAnsi="Times New Roman"/>
                <w:sz w:val="18"/>
                <w:szCs w:val="18"/>
                <w:color w:val="auto"/>
              </w:rPr>
              <w:t>24,860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87,108</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87,108</w:t>
            </w:r>
          </w:p>
        </w:tc>
        <w:tc>
          <w:tcPr>
            <w:tcW w:w="54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62,550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(87,108)</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7"/>
              <w:spacing w:after="0"/>
              <w:rPr>
                <w:sz w:val="20"/>
                <w:szCs w:val="20"/>
                <w:color w:val="auto"/>
              </w:rPr>
            </w:pPr>
            <w:r>
              <w:rPr>
                <w:rFonts w:ascii="Times New Roman" w:cs="Times New Roman" w:eastAsia="Times New Roman" w:hAnsi="Times New Roman"/>
                <w:sz w:val="18"/>
                <w:szCs w:val="18"/>
                <w:color w:val="auto"/>
              </w:rPr>
              <w:t>(24,860)</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93"/>
              </w:rPr>
              <w:t>(111,968)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9,276 (c)</w:t>
            </w:r>
          </w:p>
        </w:tc>
        <w:tc>
          <w:tcPr>
            <w:tcW w:w="120" w:type="dxa"/>
            <w:vAlign w:val="bottom"/>
          </w:tcPr>
          <w:p>
            <w:pPr>
              <w:spacing w:after="0"/>
              <w:rPr>
                <w:sz w:val="18"/>
                <w:szCs w:val="18"/>
                <w:color w:val="auto"/>
              </w:rPr>
            </w:pPr>
          </w:p>
        </w:tc>
        <w:tc>
          <w:tcPr>
            <w:tcW w:w="1460" w:type="dxa"/>
            <w:vAlign w:val="bottom"/>
            <w:gridSpan w:val="2"/>
          </w:tcPr>
          <w:p>
            <w:pPr>
              <w:jc w:val="right"/>
              <w:ind w:right="587"/>
              <w:spacing w:after="0"/>
              <w:rPr>
                <w:sz w:val="20"/>
                <w:szCs w:val="20"/>
                <w:color w:val="auto"/>
              </w:rPr>
            </w:pPr>
            <w:r>
              <w:rPr>
                <w:rFonts w:ascii="Times New Roman" w:cs="Times New Roman" w:eastAsia="Times New Roman" w:hAnsi="Times New Roman"/>
                <w:sz w:val="18"/>
                <w:szCs w:val="18"/>
                <w:color w:val="auto"/>
              </w:rPr>
              <w:t>4,835 (c)</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14,111</w:t>
            </w:r>
          </w:p>
        </w:tc>
        <w:tc>
          <w:tcPr>
            <w:tcW w:w="5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99"/>
              </w:rPr>
              <w:t>(c)</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Benefit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18,400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7"/>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24,388</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21,075</w:t>
            </w:r>
          </w:p>
        </w:tc>
        <w:tc>
          <w:tcPr>
            <w:tcW w:w="0" w:type="dxa"/>
            <w:vAlign w:val="bottom"/>
          </w:tcPr>
          <w:p>
            <w:pPr>
              <w:spacing w:after="0"/>
              <w:rPr>
                <w:sz w:val="1"/>
                <w:szCs w:val="1"/>
                <w:color w:val="auto"/>
              </w:rPr>
            </w:pPr>
          </w:p>
        </w:tc>
      </w:tr>
      <w:tr>
        <w:trPr>
          <w:trHeight w:val="22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 Attributable to Lazard Ltd.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(59,432</w:t>
            </w:r>
          </w:p>
        </w:tc>
        <w:tc>
          <w:tcPr>
            <w:tcW w:w="88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(14,037</w:t>
            </w:r>
          </w:p>
        </w:tc>
        <w:tc>
          <w:tcPr>
            <w:tcW w:w="860" w:type="dxa"/>
            <w:vAlign w:val="bottom"/>
          </w:tcPr>
          <w:p>
            <w:pPr>
              <w:jc w:val="right"/>
              <w:ind w:right="767"/>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(73,469</w:t>
            </w:r>
          </w:p>
        </w:tc>
        <w:tc>
          <w:tcPr>
            <w:tcW w:w="560" w:type="dxa"/>
            <w:vAlign w:val="bottom"/>
            <w:gridSpan w:val="2"/>
          </w:tcPr>
          <w:p>
            <w:pPr>
              <w:jc w:val="right"/>
              <w:ind w:right="41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plans announced in the first quarters of 2010 and 2009, respectively.</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amortization expense in connection with the accelerated vesting of RSUs related to the amendment of the Company’s retirement policy.</w:t>
      </w:r>
    </w:p>
    <w:p>
      <w:pPr>
        <w:spacing w:after="0" w:line="9" w:lineRule="exact"/>
        <w:rPr>
          <w:rFonts w:ascii="Times New Roman" w:cs="Times New Roman" w:eastAsia="Times New Roman" w:hAnsi="Times New Roman"/>
          <w:sz w:val="18"/>
          <w:szCs w:val="18"/>
          <w:color w:val="auto"/>
        </w:rPr>
      </w:pPr>
    </w:p>
    <w:p>
      <w:pPr>
        <w:ind w:left="460" w:right="140" w:hanging="452"/>
        <w:spacing w:after="0" w:line="261"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an adjustment in the third quarter of 2010 to increase the estimated tax benefit relating to the 2010 restructuring charge and the amendment of Lazard’s retirement policy with respect to RSU awards of $3,596 and $3,472, respectively.</w:t>
      </w:r>
    </w:p>
    <w:p>
      <w:pPr>
        <w:spacing w:after="0" w:line="118"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A discussion of the Company’s consolidated results of operations for the 2010 and 2009 periods is set forth below, followed by a more detailed discussion of business segment results. For comparability purposes in the discussion that follows, the results for the three month and nine month periods in 2010 and 2009 are shown in tables below, as applicable, on both an “as reported” U.S. GAAP and “excluding special items” non-U.S. GAAP basis.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77"/>
              <w:spacing w:after="0" w:line="125" w:lineRule="exact"/>
              <w:rPr>
                <w:sz w:val="20"/>
                <w:szCs w:val="20"/>
                <w:color w:val="auto"/>
              </w:rPr>
            </w:pPr>
            <w:r>
              <w:rPr>
                <w:rFonts w:ascii="Times New Roman" w:cs="Times New Roman" w:eastAsia="Times New Roman" w:hAnsi="Times New Roman"/>
                <w:sz w:val="14"/>
                <w:szCs w:val="14"/>
                <w:b w:val="1"/>
                <w:bCs w:val="1"/>
                <w:color w:val="auto"/>
                <w:w w:val="95"/>
              </w:rPr>
              <w:t>Non-U.S.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U.S. GAAP</w:t>
            </w:r>
          </w:p>
        </w:tc>
        <w:tc>
          <w:tcPr>
            <w:tcW w:w="220" w:type="dxa"/>
            <w:vAlign w:val="bottom"/>
          </w:tcPr>
          <w:p>
            <w:pPr>
              <w:spacing w:after="0"/>
              <w:rPr>
                <w:sz w:val="12"/>
                <w:szCs w:val="12"/>
                <w:color w:val="auto"/>
              </w:rPr>
            </w:pPr>
          </w:p>
        </w:tc>
        <w:tc>
          <w:tcPr>
            <w:tcW w:w="1180" w:type="dxa"/>
            <w:vAlign w:val="bottom"/>
            <w:gridSpan w:val="4"/>
          </w:tcPr>
          <w:p>
            <w:pPr>
              <w:jc w:val="center"/>
              <w:ind w:right="55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Impact of</w:t>
            </w:r>
          </w:p>
        </w:tc>
        <w:tc>
          <w:tcPr>
            <w:tcW w:w="142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GAAP</w:t>
            </w:r>
          </w:p>
        </w:tc>
        <w:tc>
          <w:tcPr>
            <w:tcW w:w="8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U.S. 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Special</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Excluding</w:t>
            </w:r>
          </w:p>
        </w:tc>
        <w:tc>
          <w:tcPr>
            <w:tcW w:w="10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Items (a)</w:t>
            </w:r>
          </w:p>
        </w:tc>
        <w:tc>
          <w:tcPr>
            <w:tcW w:w="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Special Items (b)</w:t>
            </w:r>
          </w:p>
        </w:tc>
        <w:tc>
          <w:tcPr>
            <w:tcW w:w="5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60" w:type="dxa"/>
            <w:vAlign w:val="bottom"/>
            <w:gridSpan w:val="5"/>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114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12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453,237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453,237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411,715</w:t>
            </w:r>
          </w:p>
        </w:tc>
        <w:tc>
          <w:tcPr>
            <w:tcW w:w="0" w:type="dxa"/>
            <w:vAlign w:val="bottom"/>
          </w:tcPr>
          <w:p>
            <w:pPr>
              <w:spacing w:after="0"/>
              <w:rPr>
                <w:sz w:val="1"/>
                <w:szCs w:val="1"/>
                <w:color w:val="auto"/>
              </w:rPr>
            </w:pPr>
          </w:p>
        </w:tc>
      </w:tr>
      <w:tr>
        <w:trPr>
          <w:trHeight w:val="290"/>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282,528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282,528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250,914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Non-compensation expense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89,523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373,770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373,770</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338,550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79,467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360" w:type="dxa"/>
            <w:vAlign w:val="bottom"/>
          </w:tcPr>
          <w:p>
            <w:pPr>
              <w:spacing w:after="0"/>
              <w:rPr>
                <w:sz w:val="18"/>
                <w:szCs w:val="18"/>
                <w:color w:val="auto"/>
              </w:rPr>
            </w:pPr>
          </w:p>
        </w:tc>
        <w:tc>
          <w:tcPr>
            <w:tcW w:w="1260" w:type="dxa"/>
            <w:vAlign w:val="bottom"/>
            <w:gridSpan w:val="4"/>
          </w:tcPr>
          <w:p>
            <w:pPr>
              <w:jc w:val="right"/>
              <w:ind w:right="352"/>
              <w:spacing w:after="0"/>
              <w:rPr>
                <w:sz w:val="20"/>
                <w:szCs w:val="20"/>
                <w:color w:val="auto"/>
              </w:rPr>
            </w:pPr>
            <w:r>
              <w:rPr>
                <w:rFonts w:ascii="Times New Roman" w:cs="Times New Roman" w:eastAsia="Times New Roman" w:hAnsi="Times New Roman"/>
                <w:sz w:val="18"/>
                <w:szCs w:val="18"/>
                <w:color w:val="auto"/>
              </w:rPr>
              <w:t>$ (7,068)</w:t>
            </w:r>
          </w:p>
        </w:tc>
        <w:tc>
          <w:tcPr>
            <w:tcW w:w="14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16,181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63,286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Less – Net Income Attributable to Noncontrolling Interests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Lazard Ltd</w:t>
            </w:r>
          </w:p>
        </w:tc>
        <w:tc>
          <w:tcPr>
            <w:tcW w:w="12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57,023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37,418</w:t>
            </w: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As A % Of Net Revenue</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3"/>
            <w:vMerge w:val="continue"/>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380" w:hanging="452"/>
        <w:spacing w:after="0" w:line="275"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increase the estimated tax benefit relating to the previously described 2010 special items. See Notes 15 and 16 of Notes to Condensed Consolidated Financial Statements.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GAAP measure that management believes provides the most meaningful comparison between historical, present and future periods.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99"/>
              <w:spacing w:after="0" w:line="125" w:lineRule="exact"/>
              <w:rPr>
                <w:sz w:val="20"/>
                <w:szCs w:val="20"/>
                <w:color w:val="auto"/>
              </w:rPr>
            </w:pPr>
            <w:r>
              <w:rPr>
                <w:rFonts w:ascii="Times New Roman" w:cs="Times New Roman" w:eastAsia="Times New Roman" w:hAnsi="Times New Roman"/>
                <w:sz w:val="14"/>
                <w:szCs w:val="14"/>
                <w:b w:val="1"/>
                <w:bCs w:val="1"/>
                <w:color w:val="auto"/>
                <w:w w:val="99"/>
              </w:rPr>
              <w:t>Non-U.S.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76"/>
              <w:spacing w:after="0" w:line="125" w:lineRule="exact"/>
              <w:rPr>
                <w:sz w:val="20"/>
                <w:szCs w:val="20"/>
                <w:color w:val="auto"/>
              </w:rPr>
            </w:pPr>
            <w:r>
              <w:rPr>
                <w:rFonts w:ascii="Times New Roman" w:cs="Times New Roman" w:eastAsia="Times New Roman" w:hAnsi="Times New Roman"/>
                <w:sz w:val="14"/>
                <w:szCs w:val="14"/>
                <w:b w:val="1"/>
                <w:bCs w:val="1"/>
                <w:color w:val="auto"/>
                <w:w w:val="95"/>
              </w:rPr>
              <w:t>Non-U.S.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Impact of</w:t>
            </w:r>
          </w:p>
        </w:tc>
        <w:tc>
          <w:tcPr>
            <w:tcW w:w="140" w:type="dxa"/>
            <w:vAlign w:val="bottom"/>
          </w:tcPr>
          <w:p>
            <w:pPr>
              <w:spacing w:after="0"/>
              <w:rPr>
                <w:sz w:val="12"/>
                <w:szCs w:val="12"/>
                <w:color w:val="auto"/>
              </w:rPr>
            </w:pPr>
          </w:p>
        </w:tc>
        <w:tc>
          <w:tcPr>
            <w:tcW w:w="1220" w:type="dxa"/>
            <w:vAlign w:val="bottom"/>
            <w:gridSpan w:val="2"/>
          </w:tcPr>
          <w:p>
            <w:pPr>
              <w:jc w:val="center"/>
              <w:ind w:right="4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GAAP</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Impact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8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U.S. GAAP</w:t>
            </w: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Special</w:t>
            </w:r>
          </w:p>
        </w:tc>
        <w:tc>
          <w:tcPr>
            <w:tcW w:w="140" w:type="dxa"/>
            <w:vAlign w:val="bottom"/>
          </w:tcPr>
          <w:p>
            <w:pPr>
              <w:spacing w:after="0"/>
              <w:rPr>
                <w:sz w:val="12"/>
                <w:szCs w:val="12"/>
                <w:color w:val="auto"/>
              </w:rPr>
            </w:pPr>
          </w:p>
        </w:tc>
        <w:tc>
          <w:tcPr>
            <w:tcW w:w="1220" w:type="dxa"/>
            <w:vAlign w:val="bottom"/>
            <w:gridSpan w:val="2"/>
          </w:tcPr>
          <w:p>
            <w:pPr>
              <w:jc w:val="center"/>
              <w:ind w:right="4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Excluding</w:t>
            </w:r>
          </w:p>
        </w:tc>
        <w:tc>
          <w:tcPr>
            <w:tcW w:w="10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U.S. GAAP</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Special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Excluding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Items (a)</w:t>
            </w:r>
          </w:p>
        </w:tc>
        <w:tc>
          <w:tcPr>
            <w:tcW w:w="3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Special Items (b)</w:t>
            </w:r>
          </w:p>
        </w:tc>
        <w:tc>
          <w:tcPr>
            <w:tcW w:w="38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Item (a)</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Special Item (b)</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1180" w:type="dxa"/>
            <w:vAlign w:val="bottom"/>
            <w:gridSpan w:val="3"/>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11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4"/>
              </w:rPr>
              <w:t>1,310,483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1,310,483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1,035,735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1,035,735</w:t>
            </w:r>
          </w:p>
        </w:tc>
        <w:tc>
          <w:tcPr>
            <w:tcW w:w="0" w:type="dxa"/>
            <w:vAlign w:val="bottom"/>
          </w:tcPr>
          <w:p>
            <w:pPr>
              <w:spacing w:after="0"/>
              <w:rPr>
                <w:sz w:val="1"/>
                <w:szCs w:val="1"/>
                <w:color w:val="auto"/>
              </w:rPr>
            </w:pPr>
          </w:p>
        </w:tc>
      </w:tr>
      <w:tr>
        <w:trPr>
          <w:trHeight w:val="290"/>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845,926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$ 24,860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821,066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Non-compensation expense</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260,154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260,154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237,398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5,258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Restructuring</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87,108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87,108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62,550</w:t>
            </w:r>
          </w:p>
        </w:tc>
        <w:tc>
          <w:tcPr>
            <w:tcW w:w="2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$ 62,550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4"/>
              </w:rPr>
              <w:t>1,198,446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1,086,478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996,393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933,843</w:t>
            </w:r>
          </w:p>
        </w:tc>
        <w:tc>
          <w:tcPr>
            <w:tcW w:w="0" w:type="dxa"/>
            <w:vAlign w:val="bottom"/>
          </w:tcPr>
          <w:p>
            <w:pPr>
              <w:spacing w:after="0"/>
              <w:rPr>
                <w:sz w:val="1"/>
                <w:szCs w:val="1"/>
                <w:color w:val="auto"/>
              </w:rPr>
            </w:pPr>
          </w:p>
        </w:tc>
      </w:tr>
      <w:tr>
        <w:trPr>
          <w:trHeight w:val="223"/>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112,037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224,005</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101,892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29,049</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(14,111)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43,160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29,312</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35,713</w:t>
            </w:r>
          </w:p>
        </w:tc>
        <w:tc>
          <w:tcPr>
            <w:tcW w:w="0" w:type="dxa"/>
            <w:vAlign w:val="bottom"/>
          </w:tcPr>
          <w:p>
            <w:pPr>
              <w:spacing w:after="0"/>
              <w:rPr>
                <w:sz w:val="1"/>
                <w:szCs w:val="1"/>
                <w:color w:val="auto"/>
              </w:rPr>
            </w:pPr>
          </w:p>
        </w:tc>
      </w:tr>
      <w:tr>
        <w:trPr>
          <w:trHeight w:val="222"/>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82,988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180,845</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8"/>
                <w:szCs w:val="18"/>
                <w:b w:val="1"/>
                <w:bCs w:val="1"/>
                <w:i w:val="1"/>
                <w:iCs w:val="1"/>
                <w:color w:val="auto"/>
              </w:rPr>
              <w:t>Less – Net Income (Loss) Attributable to Noncontrolling</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Interests</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7,859</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(24,388)</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32,247</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(2,079)</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18,996</w:t>
            </w:r>
          </w:p>
        </w:tc>
        <w:tc>
          <w:tcPr>
            <w:tcW w:w="0" w:type="dxa"/>
            <w:vAlign w:val="bottom"/>
          </w:tcPr>
          <w:p>
            <w:pPr>
              <w:spacing w:after="0"/>
              <w:rPr>
                <w:sz w:val="1"/>
                <w:szCs w:val="1"/>
                <w:color w:val="auto"/>
              </w:rPr>
            </w:pPr>
          </w:p>
        </w:tc>
      </w:tr>
      <w:tr>
        <w:trPr>
          <w:trHeight w:val="223"/>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Lazard Ltd</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75,129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148,598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As A % Of Net Revenue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related to the previously described special items. See Notes 13, 15 and 20 of Notes to Condensed Consolidated Financial Statements.</w:t>
      </w:r>
    </w:p>
    <w:p>
      <w:pPr>
        <w:spacing w:after="0" w:line="44"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GAAP measure that management believes provides the most meaningful comparison between historical, present and future periods.</w:t>
      </w:r>
    </w:p>
    <w:p>
      <w:pPr>
        <w:spacing w:after="0" w:line="145"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The table below describes the components of operating revenue, a non-U.S. GAAP measure used by the Company to manage total compensation and benefits expense to managing directors and employees. Management believes operating revenue provides the most meaningful basis for comparison between present, historical and future periods.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40" w:type="dxa"/>
            <w:vAlign w:val="bottom"/>
            <w:gridSpan w:val="5"/>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1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4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40" w:type="dxa"/>
            <w:vAlign w:val="bottom"/>
            <w:gridSpan w:val="5"/>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214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8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3"/>
          </w:tcPr>
          <w:p>
            <w:pPr>
              <w:jc w:val="right"/>
              <w:ind w:right="347"/>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 thousands)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w:t>
            </w:r>
          </w:p>
        </w:tc>
        <w:tc>
          <w:tcPr>
            <w:tcW w:w="2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$477,310</w:t>
            </w:r>
          </w:p>
        </w:tc>
        <w:tc>
          <w:tcPr>
            <w:tcW w:w="260" w:type="dxa"/>
            <w:vAlign w:val="bottom"/>
          </w:tcPr>
          <w:p>
            <w:pPr>
              <w:spacing w:after="0"/>
              <w:rPr>
                <w:sz w:val="18"/>
                <w:szCs w:val="18"/>
                <w:color w:val="auto"/>
              </w:rPr>
            </w:pPr>
          </w:p>
        </w:tc>
        <w:tc>
          <w:tcPr>
            <w:tcW w:w="112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auto"/>
              </w:rPr>
              <w:t>$438,274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$1,384,271</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$1,116,859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(deduct):</w:t>
            </w:r>
          </w:p>
        </w:tc>
        <w:tc>
          <w:tcPr>
            <w:tcW w:w="2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LFB interest expense (a)</w:t>
            </w:r>
          </w:p>
        </w:tc>
        <w:tc>
          <w:tcPr>
            <w:tcW w:w="3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(2,145)</w:t>
            </w:r>
          </w:p>
        </w:tc>
        <w:tc>
          <w:tcPr>
            <w:tcW w:w="112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(3,075)</w:t>
            </w: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(6,691)</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(10,721)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Revenue related to noncontrolling interests (b)</w:t>
            </w:r>
          </w:p>
        </w:tc>
        <w:tc>
          <w:tcPr>
            <w:tcW w:w="3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112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(3,716)</w:t>
            </w: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(9,137)</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22"/>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473,165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431,483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1,368,443</w:t>
            </w:r>
          </w:p>
        </w:tc>
        <w:tc>
          <w:tcPr>
            <w:tcW w:w="4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1,103,235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380" w:type="dxa"/>
            <w:vAlign w:val="bottom"/>
            <w:vMerge w:val="restart"/>
          </w:tcPr>
          <w:p>
            <w:pPr>
              <w:jc w:val="right"/>
              <w:ind w:right="1152"/>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220" w:hanging="452"/>
        <w:spacing w:after="0" w:line="257"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incurred by LFB is deducted from total revenue because LFB is a commercial bank and we consider its interest expense to be a cost directly related to the conduct of its business.</w:t>
      </w:r>
    </w:p>
    <w:p>
      <w:pPr>
        <w:spacing w:after="0" w:line="1" w:lineRule="exact"/>
        <w:rPr>
          <w:rFonts w:ascii="Times New Roman" w:cs="Times New Roman" w:eastAsia="Times New Roman" w:hAnsi="Times New Roman"/>
          <w:sz w:val="18"/>
          <w:szCs w:val="18"/>
          <w:color w:val="auto"/>
        </w:rPr>
      </w:pPr>
    </w:p>
    <w:p>
      <w:pPr>
        <w:ind w:left="460" w:right="60" w:hanging="452"/>
        <w:spacing w:after="0" w:line="261"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related to the consolidation of noncontrolling interests is excluded from operating revenue because the Company has no economic interest in such amount. Further, such revenue is offset by a charge or credit to noncontrolling interests.</w:t>
      </w:r>
    </w:p>
    <w:p>
      <w:pPr>
        <w:spacing w:after="0" w:line="11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key ratios, statistics and headcount information for the 2010 and 2009 periods are set forth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2560" w:type="dxa"/>
            <w:vAlign w:val="bottom"/>
            <w:gridSpan w:val="4"/>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68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0" w:type="dxa"/>
            <w:vAlign w:val="bottom"/>
          </w:tcPr>
          <w:p>
            <w:pPr>
              <w:spacing w:after="0"/>
              <w:rPr>
                <w:sz w:val="1"/>
                <w:szCs w:val="1"/>
                <w:color w:val="auto"/>
              </w:rPr>
            </w:pPr>
          </w:p>
        </w:tc>
      </w:tr>
      <w:tr>
        <w:trPr>
          <w:trHeight w:val="165"/>
        </w:trPr>
        <w:tc>
          <w:tcPr>
            <w:tcW w:w="7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 % of Net Revenue, By Revenue Category:</w:t>
            </w: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96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960" w:type="dxa"/>
            <w:vAlign w:val="bottom"/>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2010</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banking and other advisory fees</w:t>
            </w:r>
          </w:p>
        </w:tc>
        <w:tc>
          <w:tcPr>
            <w:tcW w:w="1280" w:type="dxa"/>
            <w:vAlign w:val="bottom"/>
            <w:gridSpan w:val="2"/>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rPr>
              <w:t>54%</w:t>
            </w:r>
          </w:p>
        </w:tc>
        <w:tc>
          <w:tcPr>
            <w:tcW w:w="1280" w:type="dxa"/>
            <w:vAlign w:val="bottom"/>
            <w:gridSpan w:val="2"/>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61%</w:t>
            </w:r>
          </w:p>
        </w:tc>
        <w:tc>
          <w:tcPr>
            <w:tcW w:w="600" w:type="dxa"/>
            <w:vAlign w:val="bottom"/>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management fees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gridSpan w:val="2"/>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rPr>
              <w:t>(5)</w:t>
            </w:r>
          </w:p>
        </w:tc>
        <w:tc>
          <w:tcPr>
            <w:tcW w:w="1280" w:type="dxa"/>
            <w:vAlign w:val="bottom"/>
            <w:gridSpan w:val="2"/>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3"/>
            <w:shd w:val="clear" w:color="auto" w:fill="CCEEFF"/>
          </w:tcPr>
          <w:p>
            <w:pPr>
              <w:jc w:val="right"/>
              <w:ind w:right="146"/>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tcPr>
          <w:p>
            <w:pPr>
              <w:jc w:val="right"/>
              <w:ind w:right="742"/>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7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As of September 30,</w:t>
            </w:r>
          </w:p>
        </w:tc>
        <w:tc>
          <w:tcPr>
            <w:tcW w:w="0" w:type="dxa"/>
            <w:vAlign w:val="bottom"/>
          </w:tcPr>
          <w:p>
            <w:pPr>
              <w:spacing w:after="0"/>
              <w:rPr>
                <w:sz w:val="1"/>
                <w:szCs w:val="1"/>
                <w:color w:val="auto"/>
              </w:rPr>
            </w:pPr>
          </w:p>
        </w:tc>
      </w:tr>
      <w:tr>
        <w:trPr>
          <w:trHeight w:val="142"/>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Headcount:</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0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Managing Directors: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Financial Advisory</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Asset Management</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Employees: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Business segment professionals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 other professionals and support staff</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1,112</w:t>
            </w:r>
          </w:p>
        </w:tc>
        <w:tc>
          <w:tcPr>
            <w:tcW w:w="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66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77"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The Company’s quarterly revenue and profits can fluctuate materially depending on the number, size and timing of completed transactions on which it advised, as well as seasonality and other factors. Accordingly, the revenue and profits in any particular quarter may not be indicative of future results. Lazard management believes that annual results are the most meaningful basis for comparison among present, historical and future periods. As reflected in the table of consolidated results of operations above, charges related to the 2010 and 2009 special items had a significant impact on the Company’s reported operating results for the three month and nine month periods in the respective years. Lazard management believes that comparisons between periods are most meaningful after excluding the impact of such items.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2010 versus September 30, 2009</w:t>
      </w:r>
    </w:p>
    <w:p>
      <w:pPr>
        <w:spacing w:after="0" w:line="79"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The Company reported net income attributable to Lazard Ltd of $64 million, as compared to net income of $37 million in the 2009 period. The Company’s results in the 2010 period were impacted by an adjustment to the estimated tax benefit related to the 2010 special items, which served to increase net income attributable to Lazard Ltd in the 2010 period by $7 million. Excluding such adjustment, net income attributable to Lazard Ltd in the 2010 period was $57 million, an increase of $20 million as compared to the 2009 period. The changes in the Company’s operating results during the periods are described below.</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Net revenue and operating revenue each increased $42 million, or 10%, as compared to the 2009 period. Fees from investment banking and other advisory activities declined $7 million, or 3%, principally due to lower Restructuring fees, reflecting the decelerating pace of corporate debt defaults in the 2010 period. Principally offsetting such decline were increases in fees from M&amp;A and Strategic Advisory and Capital Markets and Other Advisory, largely from our Private Fund Advisory Group business, with the latter due to an increase in the value and number of fund closings. Money management fees, including incentive fees, increased $54 million, or 36%, due to a $24 billion, or 22%, increase in average AUM for the 2010 period, primarily as the result of market appreciation and net inflows during the last twelve months, as well as a favorable change in the mix of AUM into higher margin global equity products. Interest income decreased $3 million, or 37%. Other revenue decreased $4 million, or 15%, principally due to a decrease in underwriting fees as a result of a decline in equity capital markets transactions, and a $2 million net reduction in investment income. Interest expense decreased $2 million, or 9%.</w:t>
      </w:r>
    </w:p>
    <w:p>
      <w:pPr>
        <w:spacing w:after="0" w:line="125"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Compensation and benefits expense for the 2010 period increased $32 million, or 13%, principally reflecting an increase in the provision for discretionary compensation and profit pools relating to the increase in operating revenue, partially offset by a decline in the amortization of share-based and deferred cash incentive compensation awards. Compensation and benefits expense was 59.7% and 58.2% of operating revenue for the 2010 and 2009 periods, respectively.</w:t>
      </w:r>
    </w:p>
    <w:p>
      <w:pPr>
        <w:spacing w:after="0" w:line="84"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Non-compensation expense increased $4 million, or 5%. Factors contributing to the increase were increased spending on travel and other business development activities, and increased fund administration expenses related to the increased level of business activity and AUM. The ratio of non-compensation expense to operating revenue was 18.9% as compared to 19.8% in the 2009 period.</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of intangible assets was unchanged from the 2009 period.</w:t>
      </w:r>
    </w:p>
    <w:p>
      <w:pPr>
        <w:spacing w:after="0" w:line="158"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Operating income for the 2010 period was $79 million, as compared to operating income of $73 million in the prior year period and, as a percentage of net revenue, was 18% in both the 2010 and 2009 periods.</w:t>
      </w:r>
    </w:p>
    <w:p>
      <w:pPr>
        <w:spacing w:after="0" w:line="106"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The provision for income taxes was $9 million, a decrease of $11 million, as compared to $20 million in the 2009 period. When excluding the tax benefits of $7 million relating to the 2010 special items, the income tax provision was $16 million in the 2010 period compared to $20 million in the 2009 period.</w:t>
      </w:r>
    </w:p>
    <w:p>
      <w:pPr>
        <w:spacing w:after="0" w:line="61"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Net income attributable to noncontrolling interests decreased $10 million, as compared to the 2009 period, principally reflecting a decrease in LAZ-MD Holdings’ ownership interests, partially offset by an increase in Lazard Group’s net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2010 versus September 30, 2009</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reported net income attributable to Lazard Ltd of $75 million, as compared to net income of $12 million in the 2009 period. The Company’s results in both periods were adversely affected by the 2010 and the 2009 special items, which served to decrease the net income attributable to Lazard Ltd in the 2010 and 2009 periods by $73 million and $35 million, respectively. Excluding the after-tax impact of the 2010 and 2009 special items in each year, net income attributable to Lazard Ltd in the 2010 period was $149 million, an increase of $101 million as compared to the 2009 period. The changes in the Company’s operating results during the period are described below.</w:t>
      </w:r>
    </w:p>
    <w:p>
      <w:pPr>
        <w:spacing w:after="0" w:line="1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Net revenue increased $275 million, or 27%, as compared to the 2009 period, with operating revenue increasing $265 million, or 24%. Fees from investment banking and other advisory activities increased $109 million, or 17%, including increases of $98 million, or 28%, in M&amp;A and Strategic Advisory fees, as well as higher Capital Markets and Other Advisory fees, principally from our Private Fund Advisory Group business, with the latter due to an increase in the value and number of fund closings, partially offset by a $27 million, or 10%, decline in Restructuring fees reflecting a sequential quarterly reduction in restructuring activity as the economy improves and the number of corporate debt defaults decelerates. Money management fees, including</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60"/>
          </w:cols>
          <w:pgMar w:left="240" w:top="455" w:right="2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incentive fees, increased $192 million, or 52%, due to a $35 billion, or 36%, increase in average AUM for the 2010 period, primarily as the result of market appreciation and net inflows during the last twelve months, a favorable change in the mix of AUM into higher margin global equity products, as well as higher incentive fees earned in the 2010 period. Interest income decreased $6 million, or 27%, due primarily to the lower interest rate environment. Other revenue decreased $28 million, or 37%, primarily due to a $14 million, or 70%, decline in underwriting fees as a result of a lower level of equity capital markets transactions, an $8 million net reduction in investment income, and foreign exchange losses as compared to gains in the 2009 period. Interest expense decreased $7 million, or 9%, due to the lower interest rate environment and reduced levels of LFB’s customer deposits.</w:t>
      </w:r>
    </w:p>
    <w:p>
      <w:pPr>
        <w:spacing w:after="0" w:line="12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Compensation and benefits expense for the 2010 period, including the 2010 special item of $25 million, increased $152 million, or 22%. When excluding the 2010 special item, compensation and benefits expense increased $127 million, or 18%, which includes an increase in the provision for discretionary compensation and profit pools relating to the increase in operating revenue and a reduction in the amortization of share-based and deferred cash incentive compensation. Compensation and benefits expense, excluding the 2010 special item, was 60.0% and 62.9% of operating revenue for the 2010 and 2009 periods, respectively. The reduction in the compensation ratio for the first nine months of 2010 is due primarily to execution of our previously announced goal to grow annual compensation expense at a slower rate than operating revenue.</w:t>
      </w:r>
    </w:p>
    <w:p>
      <w:pPr>
        <w:spacing w:after="0" w:line="126" w:lineRule="exact"/>
        <w:rPr>
          <w:sz w:val="20"/>
          <w:szCs w:val="20"/>
          <w:color w:val="auto"/>
        </w:rPr>
      </w:pPr>
    </w:p>
    <w:p>
      <w:pPr>
        <w:jc w:val="both"/>
        <w:ind w:right="380" w:firstLine="456"/>
        <w:spacing w:after="0" w:line="262" w:lineRule="auto"/>
        <w:rPr>
          <w:sz w:val="20"/>
          <w:szCs w:val="20"/>
          <w:color w:val="auto"/>
        </w:rPr>
      </w:pPr>
      <w:r>
        <w:rPr>
          <w:rFonts w:ascii="Times New Roman" w:cs="Times New Roman" w:eastAsia="Times New Roman" w:hAnsi="Times New Roman"/>
          <w:sz w:val="18"/>
          <w:szCs w:val="18"/>
          <w:color w:val="auto"/>
        </w:rPr>
        <w:t>Non-compensation expense increased $23 million, or 10%. Factors contributing to this increase include higher spending on travel and other business development activities, technology and fund administration expenses related to a higher level of business activity and AUM. The ratio of non-compensation expense to operating revenue was 19.0% as compared to 21.5% of operating revenue for the 2009 period.</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of intangible assets increased $3 million principally due to the Edgewater acquisition in July 2009.</w:t>
      </w:r>
    </w:p>
    <w:p>
      <w:pPr>
        <w:spacing w:after="0" w:line="15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the first quarters of 2010 and 2009, the Company announced plans to reduce certain staff and realign personnel. As a result, the 2010 and 2009 special items include restructuring charges of $87 million and $63 million, respectively, in connection with severance and benefit payments, the acceleration of unrecognized expense pertaining to share-based incentive compensation previously granted to individuals who were terminated and certain other costs related to the restructuring initiatives.</w:t>
      </w:r>
    </w:p>
    <w:p>
      <w:pPr>
        <w:spacing w:after="0" w:line="123"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Operating income for the 2010 period was $112 million, as compared to operating income of $39 million in the prior year period (with such amounts including the impact of the 2010 and 2009 special items) and, as a percentage of net revenue, was 9% as compared to 4% in the 2009 period. Excluding the impact of the 2010 and 2009 special items in each period, operating income was $224 million, an increase of $122 million, as compared to operating income of $102 million in 2009, and, as a percentage of net revenue, was 17%, as compared to 10%, respectively.</w:t>
      </w:r>
    </w:p>
    <w:p>
      <w:pPr>
        <w:spacing w:after="0" w:line="12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provision for income taxes was $29 million in both the 2010 and 2009 periods. When excluding the tax benefits of $14 million and $6 million relating to the 2010 and 2009 special items, respectively, the income tax provision was $43 million in the 2010 period compared to $36 million in the 2009 period, representing effective tax rates of 19.3% and 35.0% in the 2010 and 2009 periods, respectively. The reduction in the effective tax rate in the 2010 period is principally due to a change in the geographic mix of operating income between the respective periods.</w:t>
      </w:r>
    </w:p>
    <w:p>
      <w:pPr>
        <w:spacing w:after="0" w:line="123"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Net income attributable to noncontrolling interests increased $10 million, as compared to the 2009 period. When excluding the impact of the 2010 and 2009 special items, net income attributable to noncontrolling interests increased $13 million, with such increase principally reflecting LAZ-MD Holdings’ ownership interest in the increased net income of Lazard Group, partially offset by a decrease in its ownership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79" w:lineRule="exact"/>
        <w:rPr>
          <w:sz w:val="20"/>
          <w:szCs w:val="20"/>
          <w:color w:val="auto"/>
        </w:rPr>
      </w:pPr>
    </w:p>
    <w:p>
      <w:pPr>
        <w:ind w:right="140" w:firstLine="456"/>
        <w:spacing w:after="0" w:line="339" w:lineRule="auto"/>
        <w:rPr>
          <w:sz w:val="20"/>
          <w:szCs w:val="20"/>
          <w:color w:val="auto"/>
        </w:rPr>
      </w:pPr>
      <w:r>
        <w:rPr>
          <w:rFonts w:ascii="Times New Roman" w:cs="Times New Roman" w:eastAsia="Times New Roman" w:hAnsi="Times New Roman"/>
          <w:sz w:val="16"/>
          <w:szCs w:val="16"/>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w:t>
      </w:r>
    </w:p>
    <w:p>
      <w:pPr>
        <w:spacing w:after="0" w:line="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240" w:top="455" w:right="31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As reflected in the tables below, each segment’s operating results are presented, as applicable, on an “as reported” and “excluding special items” basis (see Note 20 of Notes to Condensed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operating results of the Financial Advisory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8"/>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4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8"/>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6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79"/>
              </w:rPr>
              <w:t>in thousands)</w:t>
            </w: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M&amp;A and Strategic Advisory</w:t>
            </w:r>
          </w:p>
        </w:tc>
        <w:tc>
          <w:tcPr>
            <w:tcW w:w="1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$160,662</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$124,691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5"/>
          </w:tcPr>
          <w:p>
            <w:pPr>
              <w:jc w:val="right"/>
              <w:ind w:right="172"/>
              <w:spacing w:after="0"/>
              <w:rPr>
                <w:sz w:val="20"/>
                <w:szCs w:val="20"/>
                <w:color w:val="auto"/>
              </w:rPr>
            </w:pPr>
            <w:r>
              <w:rPr>
                <w:rFonts w:ascii="Times New Roman" w:cs="Times New Roman" w:eastAsia="Times New Roman" w:hAnsi="Times New Roman"/>
                <w:sz w:val="18"/>
                <w:szCs w:val="18"/>
                <w:color w:val="auto"/>
              </w:rPr>
              <w:t>66,000</w:t>
            </w:r>
          </w:p>
        </w:tc>
        <w:tc>
          <w:tcPr>
            <w:tcW w:w="4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119,101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Markets and Other Advisory</w:t>
            </w:r>
          </w:p>
        </w:tc>
        <w:tc>
          <w:tcPr>
            <w:tcW w:w="1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27,350</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w:t>
            </w:r>
          </w:p>
        </w:tc>
        <w:tc>
          <w:tcPr>
            <w:tcW w:w="1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254,012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259,221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215,838</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$ 38,174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$ 46,678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Income, As A Percentage Of</w:t>
            </w:r>
          </w:p>
        </w:tc>
        <w:tc>
          <w:tcPr>
            <w:tcW w:w="1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Revenue</w:t>
            </w:r>
          </w:p>
        </w:tc>
        <w:tc>
          <w:tcPr>
            <w:tcW w:w="19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4"/>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560" w:type="dxa"/>
            <w:vAlign w:val="bottom"/>
            <w:gridSpan w:val="8"/>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4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6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7"/>
              <w:spacing w:after="0" w:line="125"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300" w:type="dxa"/>
            <w:vAlign w:val="bottom"/>
            <w:gridSpan w:val="2"/>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6"/>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U.S. GAAP</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U.S. GAAP</w:t>
            </w:r>
          </w:p>
        </w:tc>
        <w:tc>
          <w:tcPr>
            <w:tcW w:w="260" w:type="dxa"/>
            <w:vAlign w:val="bottom"/>
          </w:tcPr>
          <w:p>
            <w:pPr>
              <w:spacing w:after="0"/>
              <w:rPr>
                <w:sz w:val="12"/>
                <w:szCs w:val="12"/>
                <w:color w:val="auto"/>
              </w:rPr>
            </w:pPr>
          </w:p>
        </w:tc>
        <w:tc>
          <w:tcPr>
            <w:tcW w:w="1180" w:type="dxa"/>
            <w:vAlign w:val="bottom"/>
            <w:gridSpan w:val="2"/>
          </w:tcPr>
          <w:p>
            <w:pPr>
              <w:jc w:val="center"/>
              <w:ind w:right="5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Impact of</w:t>
            </w:r>
          </w:p>
        </w:tc>
        <w:tc>
          <w:tcPr>
            <w:tcW w:w="1380" w:type="dxa"/>
            <w:vAlign w:val="bottom"/>
            <w:gridSpan w:val="6"/>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Excluding</w:t>
            </w:r>
          </w:p>
        </w:tc>
        <w:tc>
          <w:tcPr>
            <w:tcW w:w="88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U.S. GAAP</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89"/>
              </w:rPr>
              <w:t>As</w:t>
            </w:r>
          </w:p>
        </w:tc>
        <w:tc>
          <w:tcPr>
            <w:tcW w:w="260" w:type="dxa"/>
            <w:vAlign w:val="bottom"/>
          </w:tcPr>
          <w:p>
            <w:pPr>
              <w:spacing w:after="0"/>
              <w:rPr>
                <w:sz w:val="12"/>
                <w:szCs w:val="12"/>
                <w:color w:val="auto"/>
              </w:rPr>
            </w:pPr>
          </w:p>
        </w:tc>
        <w:tc>
          <w:tcPr>
            <w:tcW w:w="1180" w:type="dxa"/>
            <w:vAlign w:val="bottom"/>
            <w:gridSpan w:val="2"/>
          </w:tcPr>
          <w:p>
            <w:pPr>
              <w:jc w:val="center"/>
              <w:ind w:right="512"/>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Special</w:t>
            </w:r>
          </w:p>
        </w:tc>
        <w:tc>
          <w:tcPr>
            <w:tcW w:w="80" w:type="dxa"/>
            <w:vAlign w:val="bottom"/>
          </w:tcPr>
          <w:p>
            <w:pPr>
              <w:spacing w:after="0"/>
              <w:rPr>
                <w:sz w:val="12"/>
                <w:szCs w:val="12"/>
                <w:color w:val="auto"/>
              </w:rPr>
            </w:pPr>
          </w:p>
        </w:tc>
        <w:tc>
          <w:tcPr>
            <w:tcW w:w="1300" w:type="dxa"/>
            <w:vAlign w:val="bottom"/>
            <w:gridSpan w:val="5"/>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Special</w:t>
            </w:r>
          </w:p>
        </w:tc>
        <w:tc>
          <w:tcPr>
            <w:tcW w:w="240" w:type="dxa"/>
            <w:vAlign w:val="bottom"/>
          </w:tcPr>
          <w:p>
            <w:pPr>
              <w:spacing w:after="0"/>
              <w:rPr>
                <w:sz w:val="12"/>
                <w:szCs w:val="12"/>
                <w:color w:val="auto"/>
              </w:rPr>
            </w:pPr>
          </w:p>
        </w:tc>
        <w:tc>
          <w:tcPr>
            <w:tcW w:w="6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65"/>
        </w:trPr>
        <w:tc>
          <w:tcPr>
            <w:tcW w:w="4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Item (a)</w:t>
            </w: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8"/>
              </w:rPr>
              <w:t>Item (b)</w:t>
            </w:r>
          </w:p>
        </w:tc>
        <w:tc>
          <w:tcPr>
            <w:tcW w:w="700" w:type="dxa"/>
            <w:vAlign w:val="bottom"/>
            <w:gridSpan w:val="3"/>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4"/>
          </w:tcPr>
          <w:p>
            <w:pPr>
              <w:jc w:val="right"/>
              <w:ind w:right="387"/>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300" w:type="dxa"/>
            <w:vAlign w:val="bottom"/>
            <w:gridSpan w:val="2"/>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M&amp;A and Strategic Advisory</w:t>
            </w:r>
          </w:p>
        </w:tc>
        <w:tc>
          <w:tcPr>
            <w:tcW w:w="30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$454,073</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$454,073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$356,020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3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246,066</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246,066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273,261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Markets and Other Advisory</w:t>
            </w:r>
          </w:p>
        </w:tc>
        <w:tc>
          <w:tcPr>
            <w:tcW w:w="30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68,342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w:t>
            </w:r>
          </w:p>
        </w:tc>
        <w:tc>
          <w:tcPr>
            <w:tcW w:w="19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768,481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768,481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674,222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(c)</w:t>
            </w:r>
          </w:p>
        </w:tc>
        <w:tc>
          <w:tcPr>
            <w:tcW w:w="30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667,538</w:t>
            </w:r>
          </w:p>
        </w:tc>
        <w:tc>
          <w:tcPr>
            <w:tcW w:w="1440" w:type="dxa"/>
            <w:vAlign w:val="bottom"/>
            <w:gridSpan w:val="3"/>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$19,571</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647,967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9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100,943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120,514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$ 78,573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Income, As A Percentage Of</w:t>
            </w:r>
          </w:p>
        </w:tc>
        <w:tc>
          <w:tcPr>
            <w:tcW w:w="1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Revenue</w:t>
            </w:r>
          </w:p>
        </w:tc>
        <w:tc>
          <w:tcPr>
            <w:tcW w:w="19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gridSpan w:val="5"/>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As of September 30,</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540" w:type="dxa"/>
            <w:vAlign w:val="bottom"/>
            <w:tcBorders>
              <w:top w:val="single" w:sz="8" w:color="auto"/>
            </w:tcBorders>
            <w:gridSpan w:val="3"/>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Headcount (d):</w:t>
            </w:r>
          </w:p>
        </w:tc>
        <w:tc>
          <w:tcPr>
            <w:tcW w:w="1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Managing Directors</w:t>
            </w: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color w:val="auto"/>
              </w:rPr>
              <w:t>130</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Employees:</w:t>
            </w:r>
          </w:p>
        </w:tc>
        <w:tc>
          <w:tcPr>
            <w:tcW w:w="1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Business segment professionals</w:t>
            </w: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color w:val="auto"/>
              </w:rPr>
              <w:t>679</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All other professionals and support staff</w:t>
            </w:r>
          </w:p>
        </w:tc>
        <w:tc>
          <w:tcPr>
            <w:tcW w:w="1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80" w:type="dxa"/>
            <w:vAlign w:val="bottom"/>
            <w:gridSpan w:val="6"/>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208</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960" w:type="dxa"/>
            <w:vAlign w:val="bottom"/>
            <w:vMerge w:val="restart"/>
          </w:tcPr>
          <w:p>
            <w:pPr>
              <w:jc w:val="right"/>
              <w:ind w:right="732"/>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100" w:hanging="452"/>
        <w:spacing w:after="0" w:line="257"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the 2010 special item attributable to the Financial Advisory segment (see Note 20 of Notes to Condensed Consolidated Financial Statements).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GAAP measure that management believes provides the most meaningful comparison between historical, present and future periods.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indirect support costs (including compensation and benefits expense and other operating expenses related thereto).</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headcount related to indirect support functions, with such headcount being included in the Corporate segment.</w:t>
      </w:r>
    </w:p>
    <w:p>
      <w:pPr>
        <w:spacing w:after="0" w:line="14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156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5"/>
        </w:trPr>
        <w:tc>
          <w:tcPr>
            <w:tcW w:w="9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24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9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200" w:type="dxa"/>
            <w:vAlign w:val="bottom"/>
          </w:tcPr>
          <w:p>
            <w:pPr>
              <w:spacing w:after="0"/>
              <w:rPr>
                <w:sz w:val="12"/>
                <w:szCs w:val="12"/>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Lazard Statistics:</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Number of Clients:</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2"/>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With Fees Greater than $1 million</w:t>
            </w:r>
          </w:p>
        </w:tc>
        <w:tc>
          <w:tcPr>
            <w:tcW w:w="144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Total Financial Advisory Revenue from Top 10 Clients</w:t>
            </w:r>
          </w:p>
        </w:tc>
        <w:tc>
          <w:tcPr>
            <w:tcW w:w="1440" w:type="dxa"/>
            <w:vAlign w:val="bottom"/>
            <w:gridSpan w:val="2"/>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28"/>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Number of M&amp;A Transactions Completed Greater than $1 billion (a)</w:t>
            </w:r>
          </w:p>
        </w:tc>
        <w:tc>
          <w:tcPr>
            <w:tcW w:w="144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w:t>
        <w:tab/>
        <w:t>Source: Thomson Financial as of October 25, 2010.</w:t>
      </w:r>
    </w:p>
    <w:p>
      <w:pPr>
        <w:spacing w:after="0" w:line="158"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The geographical distribution of Financial Advisory net revenue is set forth below in percentage terms and is based on the Lazard offices that generate Financial Advisory net revenue, which are located in the U.S., Europe (principally in the U.K., France, Italy, Spain and Germany) and the rest of the world (principally in Australia). However, such distribution is not reflective of the geography in which the clients are located.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700" w:type="dxa"/>
            <w:vAlign w:val="bottom"/>
            <w:gridSpan w:val="5"/>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1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5"/>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September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82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82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47%</w:t>
            </w:r>
          </w:p>
        </w:tc>
        <w:tc>
          <w:tcPr>
            <w:tcW w:w="1360" w:type="dxa"/>
            <w:vAlign w:val="bottom"/>
            <w:gridSpan w:val="2"/>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56%</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3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39</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Results of Operations</w:t>
      </w:r>
    </w:p>
    <w:p>
      <w:pPr>
        <w:spacing w:after="0" w:line="79" w:lineRule="exact"/>
        <w:rPr>
          <w:sz w:val="20"/>
          <w:szCs w:val="20"/>
          <w:color w:val="auto"/>
        </w:rPr>
      </w:pPr>
    </w:p>
    <w:p>
      <w:pPr>
        <w:ind w:right="180" w:firstLine="456"/>
        <w:spacing w:after="0" w:line="293" w:lineRule="auto"/>
        <w:rPr>
          <w:sz w:val="20"/>
          <w:szCs w:val="20"/>
          <w:color w:val="auto"/>
        </w:rPr>
      </w:pPr>
      <w:r>
        <w:rPr>
          <w:rFonts w:ascii="Times New Roman" w:cs="Times New Roman" w:eastAsia="Times New Roman" w:hAnsi="Times New Roman"/>
          <w:sz w:val="16"/>
          <w:szCs w:val="16"/>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further periods. As reflected in the table of operating results of the Financial Advisory segment above, the portion of the 2010 special item attributable to the Financial Advisory segment had a significant impact on the segment’s reported operating results for the nine month period ended September 30, 2010. Lazard management believes that comparisons between periods are most meaningful after excluding the impact of such item.</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2010 versus September 30, 2009</w:t>
      </w:r>
    </w:p>
    <w:p>
      <w:pPr>
        <w:spacing w:after="0" w:line="79"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Financial Advisory net revenue decreased $5 million, or 2%, as compared to the 2009 period, with increases in M&amp;A and Strategic Advisory revenue of $36 million, or 29% and Capital Markets and Other Advisory net revenue of $12 million, or 77%, being offset by decreases in Restructuring revenue of $53 million, or 45%.</w:t>
      </w:r>
    </w:p>
    <w:p>
      <w:pPr>
        <w:spacing w:after="0" w:line="11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increase in M&amp;A and Strategic Advisory revenue was principally due to an increase in completed assignments in which we were engaged and higher average fees per M&amp;A and Strategic Advisory assignment. Our major clients, which in the aggregate represented a significant portion of our M&amp;A and Strategic Advisory revenue for the third quarter of 2010 included Coca-Cola Enterprises, Continental Airlines, Creative Artists Agency, DeCrane Aerospace, Deutsche Bahn, Healthscope, Honeywell, Micrus Endovascular, Newcrest Mining and Silpada Designs.</w:t>
      </w:r>
    </w:p>
    <w:p>
      <w:pPr>
        <w:spacing w:after="0" w:line="123"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Restructuring revenue is derived from various activities, including bankruptcy assignments, global debt and financing restructurings, distressed asset sales and advice on complex on- and off-balance sheet assignments, such as retiree health care obligations. The decrease in Restructuring revenue was principally driven by declines in both retainer and completion fees. The decline in retainer fees is related to a lower number of active deals versus that in the 2009 period, consistent with the decelerating pace of corporate debt defaults previously described. Notable assignments completed in the third quarter of 2010 included BNP Paribas, BTA Bank JSC, LNR Property, The Trump Group and U.S. Concrete. Several of these assignments that were completed in the third quarter of 2010 began in the fourth quarter of 2009.</w:t>
      </w:r>
    </w:p>
    <w:p>
      <w:pPr>
        <w:spacing w:after="0" w:line="12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increase in Capital Markets and Other Advisory net revenue principally reflected increased revenue in our Private Fund Advisory Group resulting from an increase in the number and value of fund closings, partially offset by decreases in underwriting fees from public offerings.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expenses increased $3 million, or 2%, as compared to the 2009 period, principally due to higher business development expenses.</w:t>
      </w:r>
    </w:p>
    <w:p>
      <w:pPr>
        <w:spacing w:after="0" w:line="158"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Financial Advisory operating income was $38 million, a decrease of $9 million, as compared to the 2009 period, and represented 15% of segment net revenues in the 2010 period as compared to 18% in the 2009 period.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Nine Months Ended September 30, 2010 versus September 30, 2009</w:t>
      </w:r>
    </w:p>
    <w:p>
      <w:pPr>
        <w:spacing w:after="0" w:line="7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Financial Advisory net revenue increased approximately $94 million, or 14%, as compared to the 2009 period, reflecting increases in M&amp;A and Strategic Advisory revenue of $98 million, or 28% and Capital Markets and Other Advisory net revenue of $23 million, or 52%, partially offset by declines in Restructuring revenue of $27 million, or 10%.</w:t>
      </w:r>
    </w:p>
    <w:p>
      <w:pPr>
        <w:spacing w:after="0" w:line="119" w:lineRule="exact"/>
        <w:rPr>
          <w:sz w:val="20"/>
          <w:szCs w:val="20"/>
          <w:color w:val="auto"/>
        </w:rPr>
      </w:pPr>
    </w:p>
    <w:p>
      <w:pPr>
        <w:jc w:val="center"/>
        <w:ind w:right="420"/>
        <w:spacing w:after="0" w:line="447" w:lineRule="auto"/>
        <w:rPr>
          <w:sz w:val="20"/>
          <w:szCs w:val="20"/>
          <w:color w:val="auto"/>
        </w:rPr>
      </w:pPr>
      <w:r>
        <w:rPr>
          <w:rFonts w:ascii="Times New Roman" w:cs="Times New Roman" w:eastAsia="Times New Roman" w:hAnsi="Times New Roman"/>
          <w:sz w:val="18"/>
          <w:szCs w:val="18"/>
          <w:color w:val="auto"/>
        </w:rPr>
        <w:t>The increase in M&amp;A and Strategic Advisory revenue was principally due to higher average fees per M&amp;A and Strategic Advisory assignment. 57</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decrease in Restructuring revenue was principally driven by a decline in retainer fees earned, which was partially offset by an increase in completion fees. While the number of completed restructurings increased as compared to the 2009 period, the average fee per completed transaction declined. The decrease in retainer fees was due to a decline in the number of active assignments in the 2010 period as compared to the 2009 period.</w:t>
      </w:r>
    </w:p>
    <w:p>
      <w:pPr>
        <w:spacing w:after="0" w:line="119"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increase in Capital Markets and Other Advisory net revenue principally reflected increased revenue in our Private Fund Advisory Group, resulting from an increase in the number and value of fund closings, and was partially offset by decreases in underwriting fees from public offerings.</w:t>
      </w:r>
    </w:p>
    <w:p>
      <w:pPr>
        <w:spacing w:after="0" w:line="10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Operating expenses increased $72 million, or 12%, as compared to the 2009 period. Excluding the impact of the portion of the 2010 special item attributable to the Financial Advisory segment, operating expenses increased $52 million, or 9%. Contributing to the increase was a higher provision for discretionary compensation related to the increase in operating revenue, partially offset by a decline in the amortization of share-based and deferred cash incentive compensation awards, and higher costs related to travel and other business development expenses and technology expenses.</w:t>
      </w:r>
    </w:p>
    <w:p>
      <w:pPr>
        <w:spacing w:after="0" w:line="123"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Financial Advisory operating income was $101 million, an increase of $22 million, as compared to the 2009 period, and represented 13% of segment net revenues in the 2010 period. Excluding the impact of the portion of the 2010 special item attributable to the Financial Advisory segment, operating income in the 2010 period increased $42 million, and represented 16% of segment net revenues, as compared to 12% in the 2009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Management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composition of AUM for the Asset Management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59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66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100" w:type="dxa"/>
            <w:vAlign w:val="bottom"/>
          </w:tcPr>
          <w:p>
            <w:pPr>
              <w:spacing w:after="0"/>
              <w:rPr>
                <w:sz w:val="10"/>
                <w:szCs w:val="10"/>
                <w:color w:val="auto"/>
              </w:rPr>
            </w:pPr>
          </w:p>
        </w:tc>
      </w:tr>
      <w:tr>
        <w:trPr>
          <w:trHeight w:val="165"/>
        </w:trPr>
        <w:tc>
          <w:tcPr>
            <w:tcW w:w="5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2010</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left="375"/>
              <w:spacing w:after="0" w:line="142" w:lineRule="exact"/>
              <w:rPr>
                <w:sz w:val="20"/>
                <w:szCs w:val="20"/>
                <w:color w:val="auto"/>
              </w:rPr>
            </w:pPr>
            <w:r>
              <w:rPr>
                <w:rFonts w:ascii="Times New Roman" w:cs="Times New Roman" w:eastAsia="Times New Roman" w:hAnsi="Times New Roman"/>
                <w:sz w:val="14"/>
                <w:szCs w:val="14"/>
                <w:b w:val="1"/>
                <w:bCs w:val="1"/>
                <w:color w:val="auto"/>
                <w:w w:val="96"/>
              </w:rPr>
              <w:t>($ 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AUM:</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Equities</w:t>
            </w:r>
          </w:p>
        </w:tc>
        <w:tc>
          <w:tcPr>
            <w:tcW w:w="324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30,831</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32,268</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Equities</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58,332</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U.S. Equities</w:t>
            </w:r>
          </w:p>
        </w:tc>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16,003</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Equities</w:t>
            </w:r>
          </w:p>
        </w:tc>
        <w:tc>
          <w:tcPr>
            <w:tcW w:w="3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120,538</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106,603</w:t>
            </w:r>
          </w:p>
        </w:tc>
        <w:tc>
          <w:tcPr>
            <w:tcW w:w="100" w:type="dxa"/>
            <w:vAlign w:val="bottom"/>
            <w:shd w:val="clear" w:color="auto" w:fill="CCEEFF"/>
          </w:tcPr>
          <w:p>
            <w:pPr>
              <w:spacing w:after="0"/>
              <w:rPr>
                <w:sz w:val="18"/>
                <w:szCs w:val="18"/>
                <w:color w:val="auto"/>
              </w:rPr>
            </w:pPr>
          </w:p>
        </w:tc>
      </w:tr>
      <w:tr>
        <w:trPr>
          <w:trHeight w:val="22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European and International Fixed Income</w:t>
            </w:r>
          </w:p>
        </w:tc>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13,763</w:t>
            </w:r>
          </w:p>
        </w:tc>
        <w:tc>
          <w:tcPr>
            <w:tcW w:w="100" w:type="dxa"/>
            <w:vAlign w:val="bottom"/>
          </w:tcPr>
          <w:p>
            <w:pPr>
              <w:spacing w:after="0"/>
              <w:rPr>
                <w:sz w:val="19"/>
                <w:szCs w:val="19"/>
                <w:color w:val="auto"/>
              </w:rPr>
            </w:pPr>
          </w:p>
        </w:tc>
      </w:tr>
      <w:tr>
        <w:trPr>
          <w:trHeight w:val="21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Fixed Income</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U.S. Fixed Income</w:t>
            </w:r>
          </w:p>
        </w:tc>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Fixed Income</w:t>
            </w:r>
          </w:p>
        </w:tc>
        <w:tc>
          <w:tcPr>
            <w:tcW w:w="3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18,056</w:t>
            </w:r>
          </w:p>
        </w:tc>
        <w:tc>
          <w:tcPr>
            <w:tcW w:w="100" w:type="dxa"/>
            <w:vAlign w:val="bottom"/>
            <w:shd w:val="clear" w:color="auto" w:fill="CCEEFF"/>
          </w:tcPr>
          <w:p>
            <w:pPr>
              <w:spacing w:after="0"/>
              <w:rPr>
                <w:sz w:val="18"/>
                <w:szCs w:val="18"/>
                <w:color w:val="auto"/>
              </w:rPr>
            </w:pPr>
          </w:p>
        </w:tc>
      </w:tr>
      <w:tr>
        <w:trPr>
          <w:trHeight w:val="22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Alternative Investments</w:t>
            </w:r>
          </w:p>
        </w:tc>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00" w:type="dxa"/>
            <w:vAlign w:val="bottom"/>
          </w:tcPr>
          <w:p>
            <w:pPr>
              <w:spacing w:after="0"/>
              <w:rPr>
                <w:sz w:val="19"/>
                <w:szCs w:val="19"/>
                <w:color w:val="auto"/>
              </w:rPr>
            </w:pPr>
          </w:p>
        </w:tc>
      </w:tr>
      <w:tr>
        <w:trPr>
          <w:trHeight w:val="21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Management</w:t>
            </w:r>
          </w:p>
        </w:tc>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AUM</w:t>
            </w:r>
          </w:p>
        </w:tc>
        <w:tc>
          <w:tcPr>
            <w:tcW w:w="3240" w:type="dxa"/>
            <w:vAlign w:val="bottom"/>
            <w:gridSpan w:val="2"/>
            <w:shd w:val="clear" w:color="auto" w:fill="CCEEFF"/>
          </w:tcPr>
          <w:p>
            <w:pPr>
              <w:ind w:left="30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143,573</w:t>
            </w: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129,543</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Average AUM for the 2010 and 2009 periods is set forth below. Average AUM is based on an average of quarterly ending balances for the respective periods.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320" w:type="dxa"/>
            <w:vAlign w:val="bottom"/>
          </w:tcPr>
          <w:p>
            <w:pPr>
              <w:spacing w:after="0"/>
              <w:rPr>
                <w:sz w:val="13"/>
                <w:szCs w:val="13"/>
                <w:color w:val="auto"/>
              </w:rPr>
            </w:pPr>
          </w:p>
        </w:tc>
        <w:tc>
          <w:tcPr>
            <w:tcW w:w="17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320" w:type="dxa"/>
            <w:vAlign w:val="bottom"/>
          </w:tcPr>
          <w:p>
            <w:pPr>
              <w:spacing w:after="0"/>
              <w:rPr>
                <w:sz w:val="14"/>
                <w:szCs w:val="14"/>
                <w:color w:val="auto"/>
              </w:rPr>
            </w:pPr>
          </w:p>
        </w:tc>
        <w:tc>
          <w:tcPr>
            <w:tcW w:w="17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2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w w:val="89"/>
              </w:rPr>
              <w:t>($ in</w:t>
            </w:r>
          </w:p>
        </w:tc>
        <w:tc>
          <w:tcPr>
            <w:tcW w:w="1000" w:type="dxa"/>
            <w:vAlign w:val="bottom"/>
            <w:gridSpan w:val="2"/>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w w:val="95"/>
              </w:rPr>
              <w:t>millions)</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AUM</w:t>
            </w:r>
          </w:p>
        </w:tc>
        <w:tc>
          <w:tcPr>
            <w:tcW w:w="524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133,528</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109,102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$ 132,893</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$ 97,599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400" w:type="dxa"/>
            <w:vAlign w:val="bottom"/>
            <w:vMerge w:val="restart"/>
          </w:tcPr>
          <w:p>
            <w:pPr>
              <w:jc w:val="right"/>
              <w:ind w:right="1852"/>
              <w:spacing w:after="0"/>
              <w:rPr>
                <w:sz w:val="20"/>
                <w:szCs w:val="20"/>
                <w:color w:val="auto"/>
              </w:rPr>
            </w:pPr>
            <w:r>
              <w:rPr>
                <w:rFonts w:ascii="Times New Roman" w:cs="Times New Roman" w:eastAsia="Times New Roman" w:hAnsi="Times New Roman"/>
                <w:sz w:val="18"/>
                <w:szCs w:val="18"/>
                <w:color w:val="auto"/>
              </w:rPr>
              <w:t>58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4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Total AUM at September 30, 2010 increased $14 billion, or 11%, as compared to that at December 31, 2009. Average AUM for the three month and nine month periods in 2010 was 22% and 36% higher, respectively, than the average AUM for the corresponding 2009 periods, principally the result of market appreciation (which was generally consistent with the industry as a whole) and net inflows occurring over the last twelve month period. International, Global and U.S. equities represented 21%, 50% and 13% of total AUM at September 30, 2010, respectively, versus 25%, 45% and 12% of total AUM at December 31, 2009, respectively.</w:t>
      </w:r>
    </w:p>
    <w:p>
      <w:pPr>
        <w:spacing w:after="0" w:line="12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As of September 30, 2010 and December 31, 2009, approximately 90% and 89% of our AUM, respectively, was managed on behalf of institutional clients, including corporations, labor unions, public pension funds, insurance companies and banks, and through sub-advisory relationships, mutual fund sponsors, broker-dealers and registered advisors and, as of such dates, 10% and 11% of our AUM, respectively, was managed on behalf of individual client relationships, which are principally with family offices and high-net worth individuals.</w:t>
      </w:r>
    </w:p>
    <w:p>
      <w:pPr>
        <w:spacing w:after="0" w:line="123" w:lineRule="exact"/>
        <w:rPr>
          <w:sz w:val="20"/>
          <w:szCs w:val="20"/>
          <w:color w:val="auto"/>
        </w:rPr>
      </w:pPr>
    </w:p>
    <w:p>
      <w:pPr>
        <w:ind w:right="160" w:firstLine="456"/>
        <w:spacing w:after="0" w:line="339" w:lineRule="auto"/>
        <w:rPr>
          <w:sz w:val="20"/>
          <w:szCs w:val="20"/>
          <w:color w:val="auto"/>
        </w:rPr>
      </w:pPr>
      <w:r>
        <w:rPr>
          <w:rFonts w:ascii="Times New Roman" w:cs="Times New Roman" w:eastAsia="Times New Roman" w:hAnsi="Times New Roman"/>
          <w:sz w:val="16"/>
          <w:szCs w:val="16"/>
          <w:color w:val="auto"/>
        </w:rPr>
        <w:t>As of September 30, 2010, AUM denominated in foreign currencies represented approximately 41% of our total AUM, as compared to 45% at December 31, 2009. Foreign denominated AUM declines in value with the strengthening of the U.S. dollar and increases in value as the U.S. dollar weakens.</w:t>
      </w: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changes in AUM for the 2010 and 2009 periods.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9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9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AUM - Beginning of Period</w:t>
            </w:r>
          </w:p>
        </w:tc>
        <w:tc>
          <w:tcPr>
            <w:tcW w:w="3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$123,483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98,020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$129,543</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Flows(a)</w:t>
            </w:r>
          </w:p>
        </w:tc>
        <w:tc>
          <w:tcPr>
            <w:tcW w:w="3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7,743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Acquisitions/(Dispositions)(b)</w:t>
            </w:r>
          </w:p>
        </w:tc>
        <w:tc>
          <w:tcPr>
            <w:tcW w:w="27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(831)</w:t>
            </w:r>
          </w:p>
        </w:tc>
        <w:tc>
          <w:tcPr>
            <w:tcW w:w="8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and Foreign Exchange Appreciation</w:t>
            </w:r>
          </w:p>
        </w:tc>
        <w:tc>
          <w:tcPr>
            <w:tcW w:w="2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15,253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AUM - End of Period</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143,573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120,185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143,573</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120,185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440" w:hanging="452"/>
        <w:spacing w:after="0" w:line="257"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inflows of $5,627 and $11,110 and outflows of $4,485 and $3,367 for the three month periods in 2010 and 2009, respectively, and inflows of $21,917 and $20,393 and outflows of $15,744 and $14,743 for the nine month periods in 2010 and 2009, respectively.</w:t>
      </w:r>
    </w:p>
    <w:p>
      <w:pPr>
        <w:spacing w:after="0" w:line="1" w:lineRule="exact"/>
        <w:rPr>
          <w:rFonts w:ascii="Times New Roman" w:cs="Times New Roman" w:eastAsia="Times New Roman" w:hAnsi="Times New Roman"/>
          <w:sz w:val="18"/>
          <w:szCs w:val="18"/>
          <w:color w:val="auto"/>
        </w:rPr>
      </w:pPr>
    </w:p>
    <w:p>
      <w:pPr>
        <w:ind w:left="460" w:right="120" w:hanging="452"/>
        <w:spacing w:after="0" w:line="261"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AUM and unfunded fee-earning commitments related to the acquisition of Edgewater’s management vehicles, offset by the disposition of private equity AUM related to the sale of FPG.</w:t>
      </w:r>
    </w:p>
    <w:p>
      <w:pPr>
        <w:spacing w:after="0" w:line="118"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Inflows in the first nine months of 2010 were principally in Global Equities due to increased investments in existing accounts, as well as new accounts gained. Outflows in the period occurred primarily in Global and International Equity and Fixed Income products.</w:t>
      </w:r>
    </w:p>
    <w:p>
      <w:pPr>
        <w:spacing w:after="0" w:line="106"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As of October 22, 2010, AUM was $148.5 billion, a $4.9 billion increase since September 30, 2010. The change in AUM was due to market/foreign exchange appreciation of $3.8 billion and net inflows of $1.1 billion. Market appreciation was approximately 3% of AUM since September 30, 2010, which was generally consistent with the increase in global market indices during that period.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operating results of the Asset Management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80" w:type="dxa"/>
            <w:vAlign w:val="bottom"/>
            <w:gridSpan w:val="10"/>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76"/>
              </w:rPr>
              <w:t>in thousands)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vMerge w:val="continue"/>
          </w:tcPr>
          <w:p>
            <w:pPr>
              <w:spacing w:after="0"/>
              <w:rPr>
                <w:sz w:val="12"/>
                <w:szCs w:val="12"/>
                <w:color w:val="auto"/>
              </w:rPr>
            </w:pPr>
          </w:p>
        </w:tc>
        <w:tc>
          <w:tcPr>
            <w:tcW w:w="38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Management Fees</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$183,974</w:t>
            </w:r>
          </w:p>
        </w:tc>
        <w:tc>
          <w:tcPr>
            <w:tcW w:w="240" w:type="dxa"/>
            <w:vAlign w:val="bottom"/>
          </w:tcPr>
          <w:p>
            <w:pPr>
              <w:spacing w:after="0"/>
              <w:rPr>
                <w:sz w:val="18"/>
                <w:szCs w:val="18"/>
                <w:color w:val="auto"/>
              </w:rPr>
            </w:pPr>
          </w:p>
        </w:tc>
        <w:tc>
          <w:tcPr>
            <w:tcW w:w="11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$133,377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Incentive Fees</w:t>
            </w: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15,469</w:t>
            </w:r>
          </w:p>
        </w:tc>
        <w:tc>
          <w:tcPr>
            <w:tcW w:w="2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Income</w:t>
            </w: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Revenue</w:t>
            </w: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210,132</w:t>
            </w:r>
          </w:p>
        </w:tc>
        <w:tc>
          <w:tcPr>
            <w:tcW w:w="2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160,744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(c)</w:t>
            </w: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150,515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117,728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$ 59,617</w:t>
            </w:r>
          </w:p>
        </w:tc>
        <w:tc>
          <w:tcPr>
            <w:tcW w:w="2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Operating Income, As A Percentage of Net Revenue</w:t>
            </w: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80" w:type="dxa"/>
            <w:vAlign w:val="bottom"/>
            <w:gridSpan w:val="8"/>
          </w:tcPr>
          <w:p>
            <w:pPr>
              <w:jc w:val="center"/>
              <w:ind w:right="392"/>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ind w:right="952"/>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center"/>
              <w:ind w:right="7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1"/>
              <w:spacing w:after="0" w:line="125"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40" w:type="dxa"/>
            <w:vAlign w:val="bottom"/>
          </w:tcPr>
          <w:p>
            <w:pPr>
              <w:spacing w:after="0"/>
              <w:rPr>
                <w:sz w:val="10"/>
                <w:szCs w:val="10"/>
                <w:color w:val="auto"/>
              </w:rPr>
            </w:pPr>
          </w:p>
        </w:tc>
        <w:tc>
          <w:tcPr>
            <w:tcW w:w="38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Impact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jc w:val="center"/>
              <w:ind w:right="472"/>
              <w:spacing w:after="0" w:line="149" w:lineRule="exact"/>
              <w:rPr>
                <w:sz w:val="20"/>
                <w:szCs w:val="20"/>
                <w:color w:val="auto"/>
              </w:rPr>
            </w:pPr>
            <w:r>
              <w:rPr>
                <w:rFonts w:ascii="Times New Roman" w:cs="Times New Roman" w:eastAsia="Times New Roman" w:hAnsi="Times New Roman"/>
                <w:sz w:val="14"/>
                <w:szCs w:val="14"/>
                <w:b w:val="1"/>
                <w:bCs w:val="1"/>
                <w:color w:val="auto"/>
                <w:w w:val="96"/>
              </w:rPr>
              <w:t>U.S. GAAP</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 GAAP</w:t>
            </w: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Special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jc w:val="center"/>
              <w:ind w:right="4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Excluding</w:t>
            </w:r>
          </w:p>
        </w:tc>
        <w:tc>
          <w:tcPr>
            <w:tcW w:w="380" w:type="dxa"/>
            <w:vAlign w:val="bottom"/>
          </w:tcPr>
          <w:p>
            <w:pPr>
              <w:spacing w:after="0"/>
              <w:rPr>
                <w:sz w:val="12"/>
                <w:szCs w:val="12"/>
                <w:color w:val="auto"/>
              </w:rPr>
            </w:pPr>
          </w:p>
        </w:tc>
        <w:tc>
          <w:tcPr>
            <w:tcW w:w="88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U.S. GAAP</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3"/>
              </w:rPr>
              <w:t>As Reported</w:t>
            </w:r>
          </w:p>
        </w:tc>
        <w:tc>
          <w:tcPr>
            <w:tcW w:w="3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Item (a)</w:t>
            </w:r>
          </w:p>
        </w:tc>
        <w:tc>
          <w:tcPr>
            <w:tcW w:w="660" w:type="dxa"/>
            <w:vAlign w:val="bottom"/>
          </w:tcPr>
          <w:p>
            <w:pPr>
              <w:spacing w:after="0"/>
              <w:rPr>
                <w:sz w:val="14"/>
                <w:szCs w:val="14"/>
                <w:color w:val="auto"/>
              </w:rPr>
            </w:pPr>
          </w:p>
        </w:tc>
        <w:tc>
          <w:tcPr>
            <w:tcW w:w="1340" w:type="dxa"/>
            <w:vAlign w:val="bottom"/>
            <w:gridSpan w:val="6"/>
          </w:tcPr>
          <w:p>
            <w:pPr>
              <w:jc w:val="center"/>
              <w:ind w:right="352"/>
              <w:spacing w:after="0"/>
              <w:rPr>
                <w:sz w:val="20"/>
                <w:szCs w:val="20"/>
                <w:color w:val="auto"/>
              </w:rPr>
            </w:pPr>
            <w:r>
              <w:rPr>
                <w:rFonts w:ascii="Times New Roman" w:cs="Times New Roman" w:eastAsia="Times New Roman" w:hAnsi="Times New Roman"/>
                <w:sz w:val="14"/>
                <w:szCs w:val="14"/>
                <w:b w:val="1"/>
                <w:bCs w:val="1"/>
                <w:color w:val="auto"/>
                <w:w w:val="96"/>
              </w:rPr>
              <w:t>Special Item (b)</w:t>
            </w:r>
          </w:p>
        </w:tc>
        <w:tc>
          <w:tcPr>
            <w:tcW w:w="380" w:type="dxa"/>
            <w:vAlign w:val="bottom"/>
          </w:tcPr>
          <w:p>
            <w:pPr>
              <w:spacing w:after="0"/>
              <w:rPr>
                <w:sz w:val="14"/>
                <w:szCs w:val="14"/>
                <w:color w:val="auto"/>
              </w:rPr>
            </w:pPr>
          </w:p>
        </w:tc>
        <w:tc>
          <w:tcPr>
            <w:tcW w:w="8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0"/>
              </w:rPr>
              <w:t>As Reported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80" w:type="dxa"/>
            <w:vAlign w:val="bottom"/>
            <w:gridSpan w:val="2"/>
            <w:vMerge w:val="restart"/>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80" w:type="dxa"/>
            <w:vAlign w:val="bottom"/>
            <w:gridSpan w:val="4"/>
          </w:tcPr>
          <w:p>
            <w:pPr>
              <w:jc w:val="center"/>
              <w:ind w:right="501"/>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4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Management Fees</w:t>
            </w:r>
          </w:p>
        </w:tc>
        <w:tc>
          <w:tcPr>
            <w:tcW w:w="20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$ 512,757</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512,757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$ 334,000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Incentive Fees</w:t>
            </w:r>
          </w:p>
        </w:tc>
        <w:tc>
          <w:tcPr>
            <w:tcW w:w="2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41,891</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Income</w:t>
            </w:r>
          </w:p>
        </w:tc>
        <w:tc>
          <w:tcPr>
            <w:tcW w:w="8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32,651</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32,651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Revenue</w:t>
            </w:r>
          </w:p>
        </w:tc>
        <w:tc>
          <w:tcPr>
            <w:tcW w:w="8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587,299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587,299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393,810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(c)</w:t>
            </w:r>
          </w:p>
        </w:tc>
        <w:tc>
          <w:tcPr>
            <w:tcW w:w="8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416,841</w:t>
            </w:r>
          </w:p>
        </w:tc>
        <w:tc>
          <w:tcPr>
            <w:tcW w:w="880" w:type="dxa"/>
            <w:vAlign w:val="bottom"/>
            <w:gridSpan w:val="2"/>
          </w:tcPr>
          <w:p>
            <w:pPr>
              <w:jc w:val="center"/>
              <w:ind w:left="222"/>
              <w:spacing w:after="0"/>
              <w:rPr>
                <w:sz w:val="20"/>
                <w:szCs w:val="20"/>
                <w:color w:val="auto"/>
              </w:rPr>
            </w:pPr>
            <w:r>
              <w:rPr>
                <w:rFonts w:ascii="Times New Roman" w:cs="Times New Roman" w:eastAsia="Times New Roman" w:hAnsi="Times New Roman"/>
                <w:sz w:val="18"/>
                <w:szCs w:val="18"/>
                <w:color w:val="auto"/>
              </w:rPr>
              <w:t>$ 2,902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413,939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5"/>
              </w:rPr>
              <w:t>312,141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$ 170,458</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Operating Income, As A Percentage of Net Revenue</w:t>
            </w:r>
          </w:p>
        </w:tc>
        <w:tc>
          <w:tcPr>
            <w:tcW w:w="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Headcount(d):</w:t>
            </w: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Managing Directors</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Employees:</w:t>
            </w: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Business segment professionals</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All other professionals and support staff functions</w:t>
            </w: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spacing w:after="0"/>
              <w:rPr>
                <w:sz w:val="19"/>
                <w:szCs w:val="19"/>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100" w:hanging="452"/>
        <w:spacing w:after="0" w:line="257"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the 2010 special item attributable to the Asset Management segment (see Note 20 of Notes to Condensed Consolidated Financial Statements).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GAAP measure that management believes provides the most meaningful comparison between historical, present and future periods.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indirect support costs (including compensation and benefits expense and other operating expenses related thereto).</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headcount related to indirect support functions, with such headcount being included in the Corporate segment.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geographical distribution of Asset Management net revenue is set forth below in percentage terms and is based on the revenues related to the location of the respective Lazard office’s AUM:</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740" w:type="dxa"/>
            <w:vAlign w:val="bottom"/>
            <w:gridSpan w:val="4"/>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4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674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540" w:type="dxa"/>
            <w:vAlign w:val="bottom"/>
            <w:tcBorders>
              <w:bottom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900" w:type="dxa"/>
            <w:vAlign w:val="bottom"/>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8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88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tcBorders>
              <w:right w:val="single" w:sz="8" w:color="CCEEFF"/>
            </w:tcBorders>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59%</w:t>
            </w:r>
          </w:p>
        </w:tc>
        <w:tc>
          <w:tcPr>
            <w:tcW w:w="13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54%</w:t>
            </w:r>
          </w:p>
        </w:tc>
        <w:tc>
          <w:tcPr>
            <w:tcW w:w="1300" w:type="dxa"/>
            <w:vAlign w:val="bottom"/>
            <w:gridSpan w:val="2"/>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57%</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4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30</w:t>
            </w:r>
          </w:p>
        </w:tc>
        <w:tc>
          <w:tcPr>
            <w:tcW w:w="13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440" w:type="dxa"/>
            <w:vAlign w:val="bottom"/>
            <w:tcBorders>
              <w:right w:val="single" w:sz="8" w:color="CCEEFF"/>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vMerge w:val="continue"/>
          </w:tcPr>
          <w:p>
            <w:pPr>
              <w:spacing w:after="0"/>
              <w:rPr>
                <w:sz w:val="19"/>
                <w:szCs w:val="19"/>
                <w:color w:val="auto"/>
              </w:rPr>
            </w:pP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Results of Operations</w:t>
      </w:r>
    </w:p>
    <w:p>
      <w:pPr>
        <w:spacing w:after="0" w:line="79"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Asset Management’s quarterly revenue and profits in any particular quarter or period may not be indicative of future results. Lazard management believes that annual results are the most meaningful basis for comparison among present, historical and future periods. As reflected in the table of operating results of the Asset Management segment above, the portion of the 2010 special item attributable to the Asset Management segment had a significant impact on the segment’s reported operating results for the nine month period ended September 30, 2010. Lazard management believes that comparisons between periods are most meaningful after excluding the impact of such item.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2010 versus September 30, 2009</w:t>
      </w:r>
    </w:p>
    <w:p>
      <w:pPr>
        <w:spacing w:after="0" w:line="79"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Asset Management net revenue increased $49 million, or 31%, as compared to the 2009 period. Management fees increased $51 million, or 38%, as compared to 2009, driven by a 22% increase in average AUM. This increase was due largely to the increase in equity market indices, a favorable change in the mix of AUM into higher margin global equity products and net inflows. Other revenue decreased $1 million as compared to the 2009 period.</w:t>
      </w:r>
    </w:p>
    <w:p>
      <w:pPr>
        <w:spacing w:after="0" w:line="119" w:lineRule="exact"/>
        <w:rPr>
          <w:sz w:val="20"/>
          <w:szCs w:val="20"/>
          <w:color w:val="auto"/>
        </w:rPr>
      </w:pPr>
    </w:p>
    <w:p>
      <w:pPr>
        <w:ind w:right="160" w:firstLine="456"/>
        <w:spacing w:after="0" w:line="339" w:lineRule="auto"/>
        <w:rPr>
          <w:sz w:val="20"/>
          <w:szCs w:val="20"/>
          <w:color w:val="auto"/>
        </w:rPr>
      </w:pPr>
      <w:r>
        <w:rPr>
          <w:rFonts w:ascii="Times New Roman" w:cs="Times New Roman" w:eastAsia="Times New Roman" w:hAnsi="Times New Roman"/>
          <w:sz w:val="16"/>
          <w:szCs w:val="16"/>
          <w:color w:val="auto"/>
        </w:rPr>
        <w:t>Operating expenses increased $33 million, or 28%, as compared to the 2009 period, principally due to a higher provision for discretionary compensation and profit pools related to the increase in operating revenue, as well as higher fees for outsourced services related to higher AUM and increased travel expenses.</w:t>
      </w:r>
    </w:p>
    <w:p>
      <w:pPr>
        <w:spacing w:after="0" w:line="6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Asset Management operating income was $60 million, an increase of $17 million, as compared to $43 million in the 2009 period, and represented 28% of segment net revenue, as compared to 27% in the 2009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2010 versus September 30, 2009</w:t>
      </w:r>
    </w:p>
    <w:p>
      <w:pPr>
        <w:spacing w:after="0" w:line="7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Asset Management net revenue increased $193 million, or 49%, as compared to the 2009 period. Management fees increased $179 million, or 54%, as compared to 2009, driven by a 36% increase in average AUM. This increase was due largely to the increase in equity market indices, a favorable change in the mix of AUM into higher margin global equity products and net inflows. Incentive fees, primarily relating to traditional long-only investment strategies, increased $8 million, or 24%, as compared to the 2009 period. Other revenue increased $7 million as compared to the 2009 period, principally due to increased investment and commission income.</w:t>
      </w:r>
    </w:p>
    <w:p>
      <w:pPr>
        <w:spacing w:after="0" w:line="125" w:lineRule="exact"/>
        <w:rPr>
          <w:sz w:val="20"/>
          <w:szCs w:val="20"/>
          <w:color w:val="auto"/>
        </w:rPr>
      </w:pPr>
    </w:p>
    <w:p>
      <w:pPr>
        <w:jc w:val="both"/>
        <w:ind w:right="40" w:firstLine="456"/>
        <w:spacing w:after="0" w:line="310" w:lineRule="auto"/>
        <w:rPr>
          <w:sz w:val="20"/>
          <w:szCs w:val="20"/>
          <w:color w:val="auto"/>
        </w:rPr>
      </w:pPr>
      <w:r>
        <w:rPr>
          <w:rFonts w:ascii="Times New Roman" w:cs="Times New Roman" w:eastAsia="Times New Roman" w:hAnsi="Times New Roman"/>
          <w:sz w:val="16"/>
          <w:szCs w:val="16"/>
          <w:color w:val="auto"/>
        </w:rPr>
        <w:t>Operating expenses increased $105 million, or 34%, as compared to the 2009 period. When excluding the 2010 special item, operating expenses increased $102 million, or 33%, principally due to a higher provision for discretionary compensation and profit pools related to the increase in operating revenue, as well as higher fees for outsourced services related to higher AUM and an increase in the amortization of intangible assets relating to the Edgewater acquisition.</w:t>
      </w:r>
    </w:p>
    <w:p>
      <w:pPr>
        <w:spacing w:after="0" w:line="84"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Asset Management operating income was $170 million, an increase of $89 million, as compared to $82 million in the 2009 period, and represented 29% of segment net revenue. When excluding the impact of the 2010 special item, operating income increased $92 million, and represented 30% of segment net revenue as compared to 21% for the 2009 period.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results of the Corporate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gridSpan w:val="11"/>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10"/>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980" w:type="dxa"/>
            <w:vAlign w:val="bottom"/>
            <w:gridSpan w:val="6"/>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  4,118</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78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color w:val="auto"/>
              </w:rPr>
              <w:t>(23,838)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7"/>
              </w:rPr>
              <w:t>(25,302)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780" w:type="dxa"/>
            <w:vAlign w:val="bottom"/>
            <w:gridSpan w:val="4"/>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(19,720)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(18,102)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(10,907)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(18,324)</w:t>
            </w:r>
          </w:p>
        </w:tc>
        <w:tc>
          <w:tcPr>
            <w:tcW w:w="94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(16,529)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5"/>
            <w:vMerge w:val="continue"/>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4"/>
          </w:tcPr>
          <w:p>
            <w:pPr>
              <w:jc w:val="center"/>
              <w:ind w:left="9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63"/>
              <w:spacing w:after="0" w:line="125" w:lineRule="exact"/>
              <w:rPr>
                <w:sz w:val="20"/>
                <w:szCs w:val="20"/>
                <w:color w:val="auto"/>
              </w:rPr>
            </w:pPr>
            <w:r>
              <w:rPr>
                <w:rFonts w:ascii="Times New Roman" w:cs="Times New Roman" w:eastAsia="Times New Roman" w:hAnsi="Times New Roman"/>
                <w:sz w:val="14"/>
                <w:szCs w:val="14"/>
                <w:b w:val="1"/>
                <w:bCs w:val="1"/>
                <w:color w:val="auto"/>
                <w:w w:val="95"/>
              </w:rPr>
              <w:t>Non-U.S.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Non-U.S.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GAAP</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U.S. GAAP</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Impact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Excluding</w:t>
            </w:r>
          </w:p>
        </w:tc>
        <w:tc>
          <w:tcPr>
            <w:tcW w:w="12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U.S. GAAP</w:t>
            </w:r>
          </w:p>
        </w:tc>
        <w:tc>
          <w:tcPr>
            <w:tcW w:w="140" w:type="dxa"/>
            <w:vAlign w:val="bottom"/>
          </w:tcPr>
          <w:p>
            <w:pPr>
              <w:spacing w:after="0"/>
              <w:rPr>
                <w:sz w:val="12"/>
                <w:szCs w:val="12"/>
                <w:color w:val="auto"/>
              </w:rPr>
            </w:pPr>
          </w:p>
        </w:tc>
        <w:tc>
          <w:tcPr>
            <w:tcW w:w="840" w:type="dxa"/>
            <w:vAlign w:val="bottom"/>
            <w:gridSpan w:val="5"/>
          </w:tcPr>
          <w:p>
            <w:pPr>
              <w:jc w:val="center"/>
              <w:ind w:right="2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Impact of</w:t>
            </w:r>
          </w:p>
        </w:tc>
        <w:tc>
          <w:tcPr>
            <w:tcW w:w="40" w:type="dxa"/>
            <w:vAlign w:val="bottom"/>
          </w:tcPr>
          <w:p>
            <w:pPr>
              <w:spacing w:after="0"/>
              <w:rPr>
                <w:sz w:val="12"/>
                <w:szCs w:val="12"/>
                <w:color w:val="auto"/>
              </w:rPr>
            </w:pPr>
          </w:p>
        </w:tc>
        <w:tc>
          <w:tcPr>
            <w:tcW w:w="90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89"/>
              </w:rPr>
              <w:t>As</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Special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52"/>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Special</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89"/>
              </w:rPr>
              <w:t>As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jc w:val="center"/>
              <w:ind w:right="252"/>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Special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Special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Items (a)</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6"/>
              </w:rPr>
              <w:t>Items (b)</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Item (a)</w:t>
            </w:r>
          </w:p>
        </w:tc>
        <w:tc>
          <w:tcPr>
            <w:tcW w:w="2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8"/>
              </w:rPr>
              <w:t>Item (b)</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1060" w:type="dxa"/>
            <w:vAlign w:val="bottom"/>
            <w:gridSpan w:val="3"/>
          </w:tcPr>
          <w:p>
            <w:pPr>
              <w:jc w:val="right"/>
              <w:ind w:right="404"/>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12,570</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17,397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(72,374)</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(72,374)</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(77,660)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7"/>
              </w:rPr>
              <w:t>(77,660)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(59,804)</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(59,804)</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(60,263)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(60,263)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27,966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(45,297)</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(45,297)</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(32,297)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(32,297)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114,067</w:t>
            </w:r>
          </w:p>
        </w:tc>
        <w:tc>
          <w:tcPr>
            <w:tcW w:w="3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$89,495</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88,603</w:t>
            </w:r>
          </w:p>
        </w:tc>
        <w:tc>
          <w:tcPr>
            <w:tcW w:w="180" w:type="dxa"/>
            <w:vAlign w:val="bottom"/>
          </w:tcPr>
          <w:p>
            <w:pPr>
              <w:spacing w:after="0"/>
              <w:rPr>
                <w:sz w:val="19"/>
                <w:szCs w:val="19"/>
                <w:color w:val="auto"/>
              </w:rPr>
            </w:pP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$62,550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26,053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(159,364)</w:t>
            </w: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(69,869)</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(120,900)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(58,350)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10"/>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3"/>
          </w:tcPr>
          <w:p>
            <w:pPr>
              <w:spacing w:after="0"/>
              <w:rPr>
                <w:sz w:val="12"/>
                <w:szCs w:val="12"/>
                <w:color w:val="auto"/>
              </w:rPr>
            </w:pPr>
          </w:p>
        </w:tc>
        <w:tc>
          <w:tcPr>
            <w:tcW w:w="440" w:type="dxa"/>
            <w:vAlign w:val="bottom"/>
            <w:tcBorders>
              <w:top w:val="single" w:sz="8" w:color="auto"/>
            </w:tcBorders>
            <w:gridSpan w:val="3"/>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Headcount (c):</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Managing Directors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Employees: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Business segment professionals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All other professionals and support staff</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3"/>
          </w:tcPr>
          <w:p>
            <w:pPr>
              <w:spacing w:after="0"/>
              <w:rPr>
                <w:sz w:val="19"/>
                <w:szCs w:val="19"/>
                <w:color w:val="auto"/>
              </w:rPr>
            </w:pP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680" w:hanging="452"/>
        <w:spacing w:after="0" w:line="257"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the 2010 and 2009 special items attributable to the Corporate segment (see Note 20 of Notes to Condensed Consolidated Financial Statements).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GAAP measure that management believes provides the most meaningful comparison between historical, present and future periods.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headcount related to support functions.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Corporate Results of Operations</w:t>
      </w:r>
    </w:p>
    <w:p>
      <w:pPr>
        <w:spacing w:after="0" w:line="79" w:lineRule="exact"/>
        <w:rPr>
          <w:sz w:val="20"/>
          <w:szCs w:val="20"/>
          <w:color w:val="auto"/>
        </w:rPr>
      </w:pPr>
    </w:p>
    <w:p>
      <w:pPr>
        <w:ind w:right="14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As reflected in the table of operating results of the Corporate segment above, the 2010 and 2009 special items had a significant impact on the segment’s reported operating results in the nine month periods of the respective years. Lazard management believes that comparisons between periods are most meaningful after excluding the impact of such items.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2010 versus September 30, 2009</w:t>
      </w:r>
    </w:p>
    <w:p>
      <w:pPr>
        <w:spacing w:after="0" w:line="7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Net interest expense increased $2 million, or 9%, as compared to the 2009 period. Other revenue declined $1 million, or 11%, compared to the 2009 period, principally due to a net reduction in foreign exchange gains.</w:t>
      </w:r>
    </w:p>
    <w:p>
      <w:pPr>
        <w:spacing w:after="0" w:line="106" w:lineRule="exact"/>
        <w:rPr>
          <w:sz w:val="20"/>
          <w:szCs w:val="20"/>
          <w:color w:val="auto"/>
        </w:rPr>
      </w:pPr>
    </w:p>
    <w:p>
      <w:pPr>
        <w:ind w:left="460" w:right="1540"/>
        <w:spacing w:after="0" w:line="375" w:lineRule="auto"/>
        <w:rPr>
          <w:sz w:val="20"/>
          <w:szCs w:val="20"/>
          <w:color w:val="auto"/>
        </w:rPr>
      </w:pPr>
      <w:r>
        <w:rPr>
          <w:rFonts w:ascii="Times New Roman" w:cs="Times New Roman" w:eastAsia="Times New Roman" w:hAnsi="Times New Roman"/>
          <w:sz w:val="18"/>
          <w:szCs w:val="18"/>
          <w:color w:val="auto"/>
        </w:rPr>
        <w:t xml:space="preserve">Operating expenses declined $1 million, principally relating to a reduction in the amortization of share-based incentive compensation. </w:t>
      </w:r>
      <w:r>
        <w:rPr>
          <w:rFonts w:ascii="Times New Roman" w:cs="Times New Roman" w:eastAsia="Times New Roman" w:hAnsi="Times New Roman"/>
          <w:sz w:val="18"/>
          <w:szCs w:val="18"/>
          <w:i w:val="1"/>
          <w:iCs w:val="1"/>
          <w:color w:val="auto"/>
        </w:rPr>
        <w:t>Nine Months Ended September 30, 2010 versus September 30, 2009</w:t>
      </w:r>
    </w:p>
    <w:p>
      <w:pPr>
        <w:spacing w:after="0" w:line="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Net interest expense was unchanged as compared to the 2009 period. Other revenue declined $13 million, or 48%, compared to the 2009 period, principally due to lower investment income.</w:t>
      </w:r>
    </w:p>
    <w:p>
      <w:pPr>
        <w:spacing w:after="0" w:line="106"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Operating expenses increased $25 million, substantially all of which related to the net impact of the 2010 and 2009 special items attributable to the Corporate segment. When excluding the impact of the 2010 and 2009 special items, operating expenses declined $1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79"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The Company’s cash flows are influenced by the timing of the receipt of Financial Advisory and Asset Management fees, the timing of distributions to shareholders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90"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Lazard Group traditionally pays a significant portion of its incentive compensation during the first four months of each calendar year with respect to the prior year’s results.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110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4"/>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w w:val="95"/>
              </w:rPr>
              <w:t>in millions)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activities: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83.0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Noncash charges (a)</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279.6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operating activities (b)</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95"/>
              </w:rPr>
              <w:t>(316.0)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(126.1)</w:t>
            </w:r>
          </w:p>
        </w:tc>
        <w:tc>
          <w:tcPr>
            <w:tcW w:w="0" w:type="dxa"/>
            <w:vAlign w:val="bottom"/>
          </w:tcPr>
          <w:p>
            <w:pPr>
              <w:spacing w:after="0"/>
              <w:rPr>
                <w:sz w:val="1"/>
                <w:szCs w:val="1"/>
                <w:color w:val="auto"/>
              </w:rPr>
            </w:pPr>
          </w:p>
        </w:tc>
      </w:tr>
      <w:tr>
        <w:trPr>
          <w:trHeight w:val="230"/>
        </w:trPr>
        <w:tc>
          <w:tcPr>
            <w:tcW w:w="8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Investing activities (c)</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(115.1)</w:t>
            </w:r>
          </w:p>
        </w:tc>
        <w:tc>
          <w:tcPr>
            <w:tcW w:w="0" w:type="dxa"/>
            <w:vAlign w:val="bottom"/>
          </w:tcPr>
          <w:p>
            <w:pPr>
              <w:spacing w:after="0"/>
              <w:rPr>
                <w:sz w:val="1"/>
                <w:szCs w:val="1"/>
                <w:color w:val="auto"/>
              </w:rPr>
            </w:pPr>
          </w:p>
        </w:tc>
      </w:tr>
      <w:tr>
        <w:trPr>
          <w:trHeight w:val="216"/>
        </w:trPr>
        <w:tc>
          <w:tcPr>
            <w:tcW w:w="8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Financing activities (d)</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w w:val="95"/>
              </w:rPr>
              <w:t>(225.7)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5"/>
              </w:rPr>
              <w:t>(148.0)</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5"/>
              </w:rPr>
              <w:t>(114.6)</w:t>
            </w:r>
          </w:p>
        </w:tc>
        <w:tc>
          <w:tcPr>
            <w:tcW w:w="0" w:type="dxa"/>
            <w:vAlign w:val="bottom"/>
          </w:tcPr>
          <w:p>
            <w:pPr>
              <w:spacing w:after="0"/>
              <w:rPr>
                <w:sz w:val="1"/>
                <w:szCs w:val="1"/>
                <w:color w:val="auto"/>
              </w:rPr>
            </w:pPr>
          </w:p>
        </w:tc>
      </w:tr>
      <w:tr>
        <w:trPr>
          <w:trHeight w:val="217"/>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917.3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909.7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960" w:type="dxa"/>
            <w:vAlign w:val="bottom"/>
            <w:gridSpan w:val="4"/>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$ 847.4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795.1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7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(a)Consists of the following:</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 of property</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16.1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8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Amortization of deferred expenses, share-based incentive compensation and interest rate hedge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257.8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960" w:type="dxa"/>
            <w:vAlign w:val="bottom"/>
            <w:gridSpan w:val="4"/>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$ 279.6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changes in operating assets and liabilities principally relating to accrued compensation and benefits and other liabilities.</w:t>
      </w:r>
    </w:p>
    <w:p>
      <w:pPr>
        <w:spacing w:after="0" w:line="20"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relates to purchases and proceeds from sales and maturities of “available-for-sale” and “held-to maturity” securities, and, in the 2010 period, the disposition of our equity method investment in Sapphire (see Note 4 of Notes to Condensed Consolidated Financial Statements).</w:t>
      </w:r>
    </w:p>
    <w:p>
      <w:pPr>
        <w:ind w:left="460" w:right="160" w:hanging="452"/>
        <w:spacing w:after="0" w:line="261"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distributions to noncontrolling interest holders, settlements of vested RSUs, Class A common stock dividends, repurchases of shares of Class A common stock and activity related to borrowings.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liquidity and capital resources are derived from operating activities, financing agreements and equity offerings.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8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Net revenue, operating income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123"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Liquidity is significantly impacted by incentive compensation payments, a significant portion of which historically have been made during the first four months of the year. As a consequence, cash on hand generally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40"/>
        <w:spacing w:after="0" w:line="339" w:lineRule="auto"/>
        <w:rPr>
          <w:sz w:val="20"/>
          <w:szCs w:val="20"/>
          <w:color w:val="auto"/>
        </w:rPr>
      </w:pPr>
      <w:r>
        <w:rPr>
          <w:rFonts w:ascii="Times New Roman" w:cs="Times New Roman" w:eastAsia="Times New Roman" w:hAnsi="Times New Roman"/>
          <w:sz w:val="16"/>
          <w:szCs w:val="16"/>
          <w:color w:val="auto"/>
        </w:rPr>
        <w:t>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Lazard’s consolidated financial statements are presented in U.S. dollars. Many of Lazard’s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2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September 30, 2010, Lazard had approximately $1.1 billion of cash and liquid securities, including $148 million of U.S. Government debt and agencies securities and $85 million of investments in equity securities. We maintain lines of credit in excess of anticipated liquidity requirements. As of September 30, 2010, Lazard had approximately $235 million in unused lines of credit available to it, including a $150 million, three-year, senior revolving credit facility with a group of lenders that matures in April 2013 (the “Credit Facility”) (see “—Financing” below) and an aggregate of $63 million of unused lines of credit available to LFB and Edgewater. In addition, LFB has access to the Eurosystem Covered Bond Purchase Program of the Banque de France.</w:t>
      </w:r>
    </w:p>
    <w:p>
      <w:pPr>
        <w:spacing w:after="0" w:line="128"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On April 29, 2010, Lazard Group entered into the Credit Facility pursuant to an agreement with the banks parties thereto and Citibank, N.A., as administrative agent. The Credit Facility replaces the prior senior revolving credit facility, which was terminated as a condition to effectiveness of the Credit Facility. The Credit Facility contains customary terms and conditions substantially similar to the prior credit facility. Such terms and conditions include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8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Over the past several years, Lazard has entered into several financing agreements designed to strengthen both its capital base and liquidity. Each of these agreements is discussed in more detail in our consolidated financial statements and related notes included elsewhere in this Form 10-Q and in our Form 10-K. The table below sets forth our corporate indebtedness as of September 30, 2010 and December 31, 2009.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6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720" w:type="dxa"/>
            <w:vAlign w:val="bottom"/>
          </w:tcPr>
          <w:p>
            <w:pPr>
              <w:spacing w:after="0"/>
              <w:rPr>
                <w:sz w:val="10"/>
                <w:szCs w:val="10"/>
                <w:color w:val="auto"/>
              </w:rPr>
            </w:pPr>
          </w:p>
        </w:tc>
        <w:tc>
          <w:tcPr>
            <w:tcW w:w="7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7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8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 in millions)</w:t>
            </w: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2009</w:t>
            </w:r>
          </w:p>
        </w:tc>
        <w:tc>
          <w:tcPr>
            <w:tcW w:w="7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Debt: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7.125%</w:t>
            </w:r>
          </w:p>
        </w:tc>
        <w:tc>
          <w:tcPr>
            <w:tcW w:w="526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2015</w:t>
            </w: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88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6.85%</w:t>
            </w:r>
          </w:p>
        </w:tc>
        <w:tc>
          <w:tcPr>
            <w:tcW w:w="52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Debt(a):</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3.25%</w:t>
            </w:r>
          </w:p>
        </w:tc>
        <w:tc>
          <w:tcPr>
            <w:tcW w:w="52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Senior and Subordinated Debt</w:t>
            </w: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1,236.9</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240" w:hanging="452"/>
        <w:spacing w:after="0" w:line="275"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into shares of Class A common stock at an effective conversion price of $57 per share. One third in principal amount became convertible on and after each of July 1, 2008, July 1, 2009, and July 1, 2010, and no principal amount is convertible after June 30, 2011.</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long as the lenders’ commitments remain in effect, any loan pursuant to the Credit Facility remains outstanding and unpaid or any other amount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owing to the lending bank group, the Credit Facility includes financial condition covenants that require that Lazard Group not permit (i) its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Leverage Ratio (as defined in the Credit Facility) for the 12-month period ending on the last day of any fiscal quarter to be greater than 4.00 to 1.00 or (ii)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Consolidated Interest Coverage Ratio (as defined in the Credit Facility) for the 12-month period ending on the last day of any fiscal quarter to be less than 3.00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 For the 12-month period ended September 30, 2010 Lazard Group was in compliance with such ratios, with its Consolidated Leverage Ratio being 2.22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 and its Consolidated Interest Coverage Ratio being 6.83 to 1.00. In any event, no amounts were outstanding under the Credit Facility as of September 30,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2010.</w:t>
      </w:r>
    </w:p>
    <w:p>
      <w:pPr>
        <w:spacing w:after="0" w:line="145"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In addition, the Credit Facility, indenture and supplemental indentures relating to Lazard Group’s senior notes, as well as its $150 Million Subordinated Convertible Note, contain certain other covenants (none of which relate to financial condition), events of default and other customary provisions. At September 30, 2010,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23" w:lineRule="exact"/>
        <w:rPr>
          <w:sz w:val="20"/>
          <w:szCs w:val="20"/>
          <w:color w:val="auto"/>
        </w:rPr>
      </w:pPr>
    </w:p>
    <w:p>
      <w:pPr>
        <w:ind w:right="1260" w:firstLine="456"/>
        <w:spacing w:after="0" w:line="375" w:lineRule="auto"/>
        <w:rPr>
          <w:sz w:val="20"/>
          <w:szCs w:val="20"/>
          <w:color w:val="auto"/>
        </w:rPr>
      </w:pPr>
      <w:r>
        <w:rPr>
          <w:rFonts w:ascii="Times New Roman" w:cs="Times New Roman" w:eastAsia="Times New Roman" w:hAnsi="Times New Roman"/>
          <w:sz w:val="18"/>
          <w:szCs w:val="18"/>
          <w:color w:val="auto"/>
        </w:rPr>
        <w:t xml:space="preserve">See Note 10 of Notes to Condensed Consolidated Financial Statements for additional information regarding senior and subordinated debt. </w:t>
      </w:r>
      <w:r>
        <w:rPr>
          <w:rFonts w:ascii="Times New Roman" w:cs="Times New Roman" w:eastAsia="Times New Roman" w:hAnsi="Times New Roman"/>
          <w:sz w:val="18"/>
          <w:szCs w:val="18"/>
          <w:b w:val="1"/>
          <w:bCs w:val="1"/>
          <w:i w:val="1"/>
          <w:iCs w:val="1"/>
          <w:color w:val="auto"/>
        </w:rPr>
        <w:t>Stockholders’ Equity</w:t>
      </w:r>
    </w:p>
    <w:p>
      <w:pPr>
        <w:spacing w:after="0" w:line="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At September 30, 2010, total stockholders’ equity was $636 million as compared to $523 million at December 31, 2009, including $147 million and $168 million of noncontrolling interests on the respective dates. The net activity in stockholders’ equity in the nine month period ended September 30, 2010 is reflected in the table below (in millions of dollars):</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 December 31, 2009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due to:</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share-based incentive compensation awards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Delivery of Class A common stock in connection with share-based incentive compensation</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decreases in AOCI (including noncontrolling interests’ portion thereof)(*)</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A common stock dividends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Class A common stock and Lazard Group common membership interests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w w:val="87"/>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 net</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 September 30, 2010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Includes:</w:t>
            </w: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96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negative foreign currency translation adjustments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Net mark-ups and adjustments for items reclassified to earnings related to securities designated as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“available-for-sale”</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Employee benefit plan adjustments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jc w:val="right"/>
              <w:ind w:right="3212"/>
              <w:spacing w:after="0"/>
              <w:rPr>
                <w:sz w:val="20"/>
                <w:szCs w:val="20"/>
                <w:color w:val="auto"/>
              </w:rPr>
            </w:pPr>
            <w:r>
              <w:rPr>
                <w:rFonts w:ascii="Times New Roman" w:cs="Times New Roman" w:eastAsia="Times New Roman" w:hAnsi="Times New Roman"/>
                <w:sz w:val="18"/>
                <w:szCs w:val="18"/>
                <w:color w:val="auto"/>
              </w:rPr>
              <w:t>66</w:t>
            </w: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96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On January 27, 2010, the Board of Directors of Lazard Ltd authorized, on a cumulative basis, a share repurchase program permitting the repurchase of up to $200 million in aggregate cost of its Class A common stock and Lazard Group common membership interests through December 31, 2011 (see Note 12 of Notes to Condensed Consolidated Financial Statements for information regarding the share repurchase program). During the nine month period ended September 30, 2010 the Company repurchased 3,466,178 shares of Class A common stock, at an aggregate cost of $106 million and 167,286 Lazard Group common membership interests at an aggregate cost of $5 million. Accordingly, at September 30, 2010, $89 million of the share purchase authorization remained available for future repurchases. In addition to the repurchases of 3,466,178 shares described above, during the nine month period ended September 30, 2010, in order, among other reasons, to help neutralize the dilutive effect of our share-based incentive compensation plans, Lazard Ltd utilized $55 million to satisfy certain employees’ withholding tax obligations on vested RSUs in lieu of issuing 1,602,999 shares.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Capital</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19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Lazard’s contractual obligations as of September 30,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w w:val="96"/>
              </w:rPr>
              <w:t>Contractual Obligations - Payments Due by Period</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116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19"/>
              <w:spacing w:after="0" w:line="125" w:lineRule="exact"/>
              <w:rPr>
                <w:sz w:val="20"/>
                <w:szCs w:val="20"/>
                <w:color w:val="auto"/>
              </w:rPr>
            </w:pPr>
            <w:r>
              <w:rPr>
                <w:rFonts w:ascii="Times New Roman" w:cs="Times New Roman" w:eastAsia="Times New Roman" w:hAnsi="Times New Roman"/>
                <w:sz w:val="14"/>
                <w:szCs w:val="14"/>
                <w:b w:val="1"/>
                <w:bCs w:val="1"/>
                <w:color w:val="auto"/>
                <w:w w:val="94"/>
              </w:rPr>
              <w:t>More than</w:t>
            </w:r>
          </w:p>
        </w:tc>
        <w:tc>
          <w:tcPr>
            <w:tcW w:w="100" w:type="dxa"/>
            <w:vAlign w:val="bottom"/>
          </w:tcPr>
          <w:p>
            <w:pPr>
              <w:spacing w:after="0"/>
              <w:rPr>
                <w:sz w:val="10"/>
                <w:szCs w:val="10"/>
                <w:color w:val="auto"/>
              </w:rPr>
            </w:pPr>
          </w:p>
        </w:tc>
      </w:tr>
      <w:tr>
        <w:trPr>
          <w:trHeight w:val="165"/>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4"/>
              </w:rPr>
              <w:t>($ in thousands)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and Subordinated Debt (including interest) (a)</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$ 1,709,750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$ 160,185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780,787</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(exclusive of $97,332 of sublease income)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394,397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97,788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170,839</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LAM Merger Cash Consideration (b)</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Leases (including interest)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12,498</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 Funding Commitments (c)</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$ 2,228,922</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155,832</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$ 354,774</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754,192</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$964,124</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
        </w:trPr>
        <w:tc>
          <w:tcPr>
            <w:tcW w:w="1160" w:type="dxa"/>
            <w:vAlign w:val="bottom"/>
            <w:tcBorders>
              <w:bottom w:val="single" w:sz="8" w:color="auto"/>
            </w:tcBorders>
          </w:tcPr>
          <w:p>
            <w:pPr>
              <w:spacing w:after="0"/>
              <w:rPr>
                <w:sz w:val="4"/>
                <w:szCs w:val="4"/>
                <w:color w:val="auto"/>
              </w:rPr>
            </w:pPr>
          </w:p>
        </w:tc>
        <w:tc>
          <w:tcPr>
            <w:tcW w:w="5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3"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10 of Notes to Condensed Consolidated Financial Statements.</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7 of Notes to Condensed Consolidated Financial Statements.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of Notes to Condensed Consolidated Financial Statements.</w:t>
      </w:r>
    </w:p>
    <w:p>
      <w:pPr>
        <w:spacing w:after="0" w:line="9" w:lineRule="exact"/>
        <w:rPr>
          <w:rFonts w:ascii="Times New Roman" w:cs="Times New Roman" w:eastAsia="Times New Roman" w:hAnsi="Times New Roman"/>
          <w:sz w:val="18"/>
          <w:szCs w:val="18"/>
          <w:color w:val="auto"/>
        </w:rPr>
      </w:pPr>
    </w:p>
    <w:p>
      <w:pPr>
        <w:ind w:left="460" w:right="20" w:hanging="452"/>
        <w:spacing w:after="0" w:line="255"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excludes contingent obligations and any possible payments for uncertain tax positions given the inability to estimate the timing of the latter payments. See Notes 11, 13, 14 and 16 of Notes to Condensed Consolidated Financial Statements regarding information in connection with commitments, incentive plans, employee benefit plans and income taxes.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consolidated financial condition and results of operations are based upon our consolidated financial statements, which have been prepared in conformity with accounting principles generally accepted in the United States of America.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28"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Lazard believes that the critical accounting policies set forth below comprise the most significant estimates and judgments used in the preparation of its consolidated financial statements.</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81"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Lazard generates substantially all of its net revenue from providing Financial Advisory and Asset Management services to clients. Lazard recognizes revenue when the following criteria are met:</w:t>
      </w:r>
    </w:p>
    <w:p>
      <w:pPr>
        <w:spacing w:after="0" w:line="25" w:lineRule="exact"/>
        <w:rPr>
          <w:sz w:val="20"/>
          <w:szCs w:val="20"/>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persuasive evidence of an arrangement with a client,</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agreed-upon services have been provided,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are fixed or determinable,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 probable.</w:t>
      </w:r>
    </w:p>
    <w:p>
      <w:pPr>
        <w:spacing w:after="0" w:line="18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0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If, in Lazard’s judgment, collection of a fee is not probable, Lazard will not recognize revenue until the uncertainty is removed. We maintain an allowance for doubtful accounts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w:t>
      </w:r>
    </w:p>
    <w:p>
      <w:pPr>
        <w:spacing w:after="0" w:line="12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25"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At September 30, 2010 and December 31, 2009, the Company had receivables past due of approximately $21 and $14 million, respectively, and its allowance for doubtful accounts was $17 and $12 million, respectively.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80"/>
          </w:cols>
          <w:pgMar w:left="240" w:top="455" w:right="2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8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which could materially impact Lazard’s consolidated financial position and results of operations. Furthermore, management applies the more likely than not criteria prior to the recognition of a financial statement benefit of a tax position taken or expected to be taken in a tax return with respect to uncertainties in income taxes.</w:t>
      </w:r>
    </w:p>
    <w:p>
      <w:pPr>
        <w:spacing w:after="0" w:line="13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Tax contingencies can involve complex issues and may require an extended period of time to resolve. Changes in the geographic mix or estimated level of annual pre-tax income can affect Lazard’s overall effective tax rate. Significant management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consist principally of debt securities, equities, interests in LAM alternative asset management funds and other private equity investments.</w:t>
      </w:r>
    </w:p>
    <w:p>
      <w:pPr>
        <w:spacing w:after="0" w:line="15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w:t>
      </w:r>
    </w:p>
    <w:p>
      <w:pPr>
        <w:spacing w:after="0" w:line="125"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0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At September 30, 2010, net investments (representing total investments, net of securities sold, not yet purchased of $3 million), totaled $709 million, or 23% of total assets. Included in this amount is $413 million of debt securities, representing 58% of net investments, that primarily consist of securities issued by the U.S. Government and agencies and the French government, and fixed and floating rate European corporate bonds, all of which subject Lazard to market risk. Approximately 55%, 15%, 12%, 9% and 9% of such debt securities are invested in the government, financial, consumer, industrial and other sectors, respectively. At September 30, 2010, approximately 86% of the corporate bonds held investment grade ratings, and approximately $12 million of pre-tax unrealized losses are included in AOCI related to such portfolio.</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Also included in the $709 million of net investments were $82 million, or 12%, of investments in equities (net of securities sold, not yet purchased) all of which subject the Company to market risk. We employ hedging strategies to reduce the market risk and, in turn, the volatility to earnings. Approximately 60% of such amount represents the Company’s investment in marketable equity securities to seed asset management products and was invested 26%, 25%, 11% and 38% in the consumer, financial, industrial and other sectors, respectively. Asset Management fund investments represent the remaining 40% of total equities. The Company’s asset management fund investments are diversified and may incorporate particular strategies; however, there are no investments in funds with single sector specific strategies.</w:t>
      </w:r>
    </w:p>
    <w:p>
      <w:pPr>
        <w:spacing w:after="0" w:line="12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equity securities above, at September 30, 2010 Lazard held $51 million, or 7%, of net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2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Private equity investments owned by Lazard of $99 million represent approximately 14% of net investments and 3% of total assets at September 30, 2010 and are comprised of investments in private equity funds and direct private equity interests that are generally not subject to short-term market fluctuation, but may subject Lazard to market/credit risk. Private equity investments primarily include (i) a mezzanine fund, which invests in mezzanine debt of a diversified selection of small- to mid-cap European companies (the “mezzanine fund”); (ii) CP II, a private equity fund targeting significant noncontrolling investments in established public and private companies; and (iii) Lazard Senior Housing Partners LP, which acquires companies and assets in the senior housing, extended-stay hotel and shopping center sectors.</w:t>
      </w:r>
    </w:p>
    <w:p>
      <w:pPr>
        <w:spacing w:after="0" w:line="126" w:lineRule="exact"/>
        <w:rPr>
          <w:sz w:val="20"/>
          <w:szCs w:val="20"/>
          <w:color w:val="auto"/>
        </w:rPr>
      </w:pPr>
    </w:p>
    <w:p>
      <w:pPr>
        <w:ind w:right="240" w:firstLine="456"/>
        <w:spacing w:after="0" w:line="310" w:lineRule="auto"/>
        <w:rPr>
          <w:sz w:val="20"/>
          <w:szCs w:val="20"/>
          <w:color w:val="auto"/>
        </w:rPr>
      </w:pPr>
      <w:r>
        <w:rPr>
          <w:rFonts w:ascii="Times New Roman" w:cs="Times New Roman" w:eastAsia="Times New Roman" w:hAnsi="Times New Roman"/>
          <w:sz w:val="16"/>
          <w:szCs w:val="16"/>
          <w:color w:val="auto"/>
        </w:rPr>
        <w:t>The remaining $64 million, or 9%, of net investments at September 30, 2010 represents investments (i) accounted for under the equity method of accounting and (ii) private equity and general partnership interests that are consolidated but not owned by Lazard, and therefore do not subject the Company to market or credit risk. The applicable noncontrolling interests are presented within “stockholders’ equity” on the consolidated statements of financial condition.</w:t>
      </w:r>
    </w:p>
    <w:p>
      <w:pPr>
        <w:spacing w:after="0" w:line="84"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At December 31, 2009, net investments (net of securities sold, not yet purchased of $5 million), totaled $803 million, or 25% of total assets. Included in this amount is $461 million of debt securities, representing 57% of net investments that primarily consist of fixed and floating rate European corporate bonds, U.S. Government and agencies and French government debt securities, all of which subject Lazard to market risk. Approximately 45%, 21%, 14%, 12% and 8% of such debt securities are invested in the government, financial, consumer, industrial and other sectors, respectively. At December 31, 2009, approximately 85% of the corporate bonds held investment grade ratings, and approximately $19 million of pre-tax unrealized losses are included in AOCI related to such portfolio.</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Also included in the $803 million of net investments were $77 million, or 10%, of investments in equities (net of securities sold, not yet purchased) all of which subject the Company to market risk. Approximately 60% of such amount represents the Company’s investment in marketable equity securities to seed asset management products and was invested 27%, 25%, 10% and 38% in the consumer, financial, industrial and other sectors, respectively. Asset Management fund investments represent the remaining 40% of total equities. The Company’s asset management fund investments are diversified and may incorporate particular strategies; however, there are no investments in funds with single sector specific strategies.</w:t>
      </w:r>
    </w:p>
    <w:p>
      <w:pPr>
        <w:spacing w:after="0" w:line="12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equity securities above, at December 31, 2009 Lazard held $50 million, or 6%, of net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jc w:val="both"/>
        <w:ind w:right="20" w:firstLine="456"/>
        <w:spacing w:after="0" w:line="310" w:lineRule="auto"/>
        <w:rPr>
          <w:sz w:val="20"/>
          <w:szCs w:val="20"/>
          <w:color w:val="auto"/>
        </w:rPr>
      </w:pPr>
      <w:r>
        <w:rPr>
          <w:rFonts w:ascii="Times New Roman" w:cs="Times New Roman" w:eastAsia="Times New Roman" w:hAnsi="Times New Roman"/>
          <w:sz w:val="16"/>
          <w:szCs w:val="16"/>
          <w:color w:val="auto"/>
        </w:rPr>
        <w:t>Private equity investments owned by Lazard of $103 million represent approximately 13% of net investments and 3% of total assets at December 31, 2009 and are comprised of investments in private equity funds and direct private equity interests that are generally not subject to short-term market fluctuation, but may subject Lazard to market/credit risk. Private equity investments primarily include (i) the mezzanine fund; (ii) CP II; and (iii) Lazard Senior Housing Partners LP.</w:t>
      </w:r>
    </w:p>
    <w:p>
      <w:pPr>
        <w:spacing w:after="0" w:line="84" w:lineRule="exact"/>
        <w:rPr>
          <w:sz w:val="20"/>
          <w:szCs w:val="20"/>
          <w:color w:val="auto"/>
        </w:rPr>
      </w:pPr>
    </w:p>
    <w:p>
      <w:pPr>
        <w:ind w:right="240" w:firstLine="456"/>
        <w:spacing w:after="0" w:line="310" w:lineRule="auto"/>
        <w:rPr>
          <w:sz w:val="20"/>
          <w:szCs w:val="20"/>
          <w:color w:val="auto"/>
        </w:rPr>
      </w:pPr>
      <w:r>
        <w:rPr>
          <w:rFonts w:ascii="Times New Roman" w:cs="Times New Roman" w:eastAsia="Times New Roman" w:hAnsi="Times New Roman"/>
          <w:sz w:val="16"/>
          <w:szCs w:val="16"/>
          <w:color w:val="auto"/>
        </w:rPr>
        <w:t>The remaining $112 million, or 14%, of net investments at December 31, 2009 represents investments (i) accounted for under the equity method of accounting and (ii) private equity and general partnership interests that are consolidated but not owned by Lazard, and therefore do not subject the Company to market or credit risk. The applicable noncontrolling interests are presented within “stockholders’ equity” on the consolidated statements of financial condition.</w:t>
      </w:r>
    </w:p>
    <w:p>
      <w:pPr>
        <w:spacing w:after="0" w:line="84" w:lineRule="exact"/>
        <w:rPr>
          <w:sz w:val="20"/>
          <w:szCs w:val="20"/>
          <w:color w:val="auto"/>
        </w:rPr>
      </w:pPr>
    </w:p>
    <w:p>
      <w:pPr>
        <w:jc w:val="both"/>
        <w:ind w:right="460" w:firstLine="456"/>
        <w:spacing w:after="0" w:line="262" w:lineRule="auto"/>
        <w:rPr>
          <w:sz w:val="20"/>
          <w:szCs w:val="20"/>
          <w:color w:val="auto"/>
        </w:rPr>
      </w:pPr>
      <w:r>
        <w:rPr>
          <w:rFonts w:ascii="Times New Roman" w:cs="Times New Roman" w:eastAsia="Times New Roman" w:hAnsi="Times New Roman"/>
          <w:sz w:val="18"/>
          <w:szCs w:val="18"/>
          <w:color w:val="auto"/>
        </w:rPr>
        <w:t>The decrease of $93 million in net investments at September 30, 2010 compared to December 31, 2009 primarily relates to sales and maturities in the corporate bond portfolio and the disposition of the Company’s investment in Sapphire Industrials Corp. in January 2010 (see Note 4 of Notes to Condensed Consolidated Financial Statements), partially offset by net purchases of non-U.S. Government and agency bonds.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Lazard categorizes its investments and certain other assets and liabilities recorded at fair value into a three-level fair value hierarchy as follows:</w:t>
      </w:r>
    </w:p>
    <w:p>
      <w:pPr>
        <w:spacing w:after="0" w:line="77" w:lineRule="exact"/>
        <w:rPr>
          <w:sz w:val="20"/>
          <w:szCs w:val="20"/>
          <w:color w:val="auto"/>
        </w:rPr>
      </w:pPr>
    </w:p>
    <w:p>
      <w:pPr>
        <w:ind w:left="460" w:firstLine="438"/>
        <w:spacing w:after="0" w:line="275" w:lineRule="auto"/>
        <w:rPr>
          <w:sz w:val="20"/>
          <w:szCs w:val="20"/>
          <w:color w:val="auto"/>
        </w:rPr>
      </w:pPr>
      <w:r>
        <w:rPr>
          <w:rFonts w:ascii="Times New Roman" w:cs="Times New Roman" w:eastAsia="Times New Roman" w:hAnsi="Times New Roman"/>
          <w:sz w:val="18"/>
          <w:szCs w:val="18"/>
          <w:color w:val="auto"/>
        </w:rPr>
        <w:t>Level 1. Assets and liabilities whose values are based on unadjusted quoted prices for identical assets or liabilities in an active market that Lazard has the ability to access.</w:t>
      </w:r>
    </w:p>
    <w:p>
      <w:pPr>
        <w:spacing w:after="0" w:line="25" w:lineRule="exact"/>
        <w:rPr>
          <w:sz w:val="20"/>
          <w:szCs w:val="20"/>
          <w:color w:val="auto"/>
        </w:rPr>
      </w:pPr>
    </w:p>
    <w:p>
      <w:pPr>
        <w:ind w:left="460" w:right="120" w:firstLine="438"/>
        <w:spacing w:after="0" w:line="262" w:lineRule="auto"/>
        <w:rPr>
          <w:sz w:val="20"/>
          <w:szCs w:val="20"/>
          <w:color w:val="auto"/>
        </w:rPr>
      </w:pPr>
      <w:r>
        <w:rPr>
          <w:rFonts w:ascii="Times New Roman" w:cs="Times New Roman" w:eastAsia="Times New Roman" w:hAnsi="Times New Roman"/>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38" w:lineRule="exact"/>
        <w:rPr>
          <w:sz w:val="20"/>
          <w:szCs w:val="20"/>
          <w:color w:val="auto"/>
        </w:rPr>
      </w:pPr>
    </w:p>
    <w:p>
      <w:pPr>
        <w:ind w:left="460" w:right="20" w:firstLine="438"/>
        <w:spacing w:after="0" w:line="301" w:lineRule="auto"/>
        <w:rPr>
          <w:sz w:val="20"/>
          <w:szCs w:val="20"/>
          <w:color w:val="auto"/>
        </w:rPr>
      </w:pPr>
      <w:r>
        <w:rPr>
          <w:rFonts w:ascii="Times New Roman" w:cs="Times New Roman" w:eastAsia="Times New Roman" w:hAnsi="Times New Roman"/>
          <w:sz w:val="16"/>
          <w:szCs w:val="16"/>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90"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Most of the Company’s investments in corporate bonds are considered Level 2 investments with such fair value based on observable data, principally broker quotes as provided by external pricing services. All other debt securities at fair value are considered Level 1 investments with such fair value based on unadjusted quoted prices in active markets.</w:t>
      </w:r>
    </w:p>
    <w:p>
      <w:pPr>
        <w:spacing w:after="0" w:line="11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123"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our interests in LAM alternative asset management funds is classified as Level 2 and is based on information provided by external pricing services.</w:t>
      </w:r>
    </w:p>
    <w:p>
      <w:pPr>
        <w:spacing w:after="0" w:line="106"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our private equity investments is classified as Level 3 and is based on financial statements provided by fund managers, appraisals and internal valuations.</w:t>
      </w:r>
    </w:p>
    <w:p>
      <w:pPr>
        <w:spacing w:after="0" w:line="106"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additional information regarding risks associated with our investments, see “Risk Management—Market and Credit Risks.”</w:t>
      </w:r>
    </w:p>
    <w:p>
      <w:pPr>
        <w:spacing w:after="0" w:line="158"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Assets Under Management</w:t>
      </w:r>
    </w:p>
    <w:p>
      <w:pPr>
        <w:spacing w:after="0" w:line="8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8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9 of Notes to Condensed Consolidated Financial Statements for additional information regarding goodwill.</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VIEs</w:t>
      </w:r>
    </w:p>
    <w:p>
      <w:pPr>
        <w:spacing w:after="0" w:line="8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38" w:lineRule="exact"/>
        <w:rPr>
          <w:sz w:val="20"/>
          <w:szCs w:val="20"/>
          <w:color w:val="auto"/>
        </w:rPr>
      </w:pPr>
    </w:p>
    <w:p>
      <w:pPr>
        <w:ind w:left="1260" w:hanging="455"/>
        <w:spacing w:after="0" w:line="258" w:lineRule="auto"/>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41" w:lineRule="exact"/>
        <w:rPr>
          <w:rFonts w:ascii="Times New Roman" w:cs="Times New Roman" w:eastAsia="Times New Roman" w:hAnsi="Times New Roman"/>
          <w:sz w:val="18"/>
          <w:szCs w:val="18"/>
          <w:color w:val="auto"/>
        </w:rPr>
      </w:pPr>
    </w:p>
    <w:p>
      <w:pPr>
        <w:ind w:left="1260" w:right="500" w:hanging="455"/>
        <w:spacing w:after="0" w:line="275" w:lineRule="auto"/>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10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 Those VIEs include company-sponsored venture capital investment vehicles established in connection with Lazard’s compensation plans.</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20"/>
          </w:cols>
          <w:pgMar w:left="240" w:top="455"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79" w:lineRule="exact"/>
        <w:rPr>
          <w:sz w:val="20"/>
          <w:szCs w:val="20"/>
          <w:color w:val="auto"/>
        </w:rPr>
      </w:pPr>
    </w:p>
    <w:p>
      <w:pPr>
        <w:ind w:right="280" w:firstLine="456"/>
        <w:spacing w:after="0" w:line="301" w:lineRule="auto"/>
        <w:rPr>
          <w:sz w:val="20"/>
          <w:szCs w:val="20"/>
          <w:color w:val="auto"/>
        </w:rPr>
      </w:pPr>
      <w:r>
        <w:rPr>
          <w:rFonts w:ascii="Times New Roman" w:cs="Times New Roman" w:eastAsia="Times New Roman" w:hAnsi="Times New Roman"/>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 and Credit Risks</w:t>
      </w:r>
    </w:p>
    <w:p>
      <w:pPr>
        <w:spacing w:after="0" w:line="8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“Critical Accounting Policies and Estimates—Investments” above.</w:t>
      </w:r>
    </w:p>
    <w:p>
      <w:pPr>
        <w:spacing w:after="0" w:line="119"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06"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At September 30, 2010 and December 31, 2009, derivative contracts related primarily to interest rate swaps, equity and foreign currency exchange rate contracts, and are recorded at fair value. Derivative assets amounted to $1 million at both September 30, 2010 and December 31, 2009, and derivative liabilities amounted to $29 million and $17 million at September 30, 2010 and December 31, 2009, respectively.</w:t>
      </w:r>
    </w:p>
    <w:p>
      <w:pPr>
        <w:spacing w:after="0" w:line="119"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primary market risks associated with LFB’s securities portfolio, foreign currency exchange hedging and lending activities are sensitivity to changes in the general level of credit spreads and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nine month period ended September 30, 2010:</w:t>
      </w:r>
    </w:p>
    <w:p>
      <w:pPr>
        <w:spacing w:after="0" w:line="42" w:lineRule="exact"/>
        <w:rPr>
          <w:sz w:val="20"/>
          <w:szCs w:val="20"/>
          <w:color w:val="auto"/>
        </w:rPr>
      </w:pPr>
    </w:p>
    <w:p>
      <w:pPr>
        <w:ind w:left="780" w:hanging="326"/>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LFB’s credit spread risk, as measured by a 100+/– basis point change in credit spreads totaled $(7) million and $8 million, respectively.</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LFB’s interest rate risk as measured by a 100+/– basis point change in interest rates totaled $200 thousand.</w:t>
      </w:r>
    </w:p>
    <w:p>
      <w:pPr>
        <w:spacing w:after="0" w:line="103" w:lineRule="exact"/>
        <w:rPr>
          <w:rFonts w:ascii="Times New Roman" w:cs="Times New Roman" w:eastAsia="Times New Roman" w:hAnsi="Times New Roman"/>
          <w:sz w:val="18"/>
          <w:szCs w:val="18"/>
          <w:color w:val="auto"/>
        </w:rPr>
      </w:pPr>
    </w:p>
    <w:p>
      <w:pPr>
        <w:ind w:left="780" w:right="440" w:hanging="326"/>
        <w:spacing w:after="0" w:line="275"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 associated with LFB’s open positions, in the aggregate, as measured by a 200+/– basis point change against the U.S. dollar, totaled approximately $30 thousand.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LFB fully secures its collateralized financing transactions with fixed income securities.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Receivables</w:t>
      </w:r>
    </w:p>
    <w:p>
      <w:pPr>
        <w:spacing w:after="0" w:line="81"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We maintain an allowance for doubtful accounts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September 30, 2010, total receivables amounted to $787 million, net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of an allowance for doubtful accounts of $17 million. As of that date, financial advisory fees and asset management fees, inter-bank deposits, customer and related party receivables comprised 59%, 23%, 17% and 1% of total receivables, respectively. At December 31, 2009, total receivables amounted to $669 million, net of an allowance for doubtful accounts of $12 million. As of that date, financial advisory fees and asset management fees, inter-bank deposits, customer and related party receivables comprised 65%, 22%, 11% and 2% of total receivables, respectively. See also “Critical Accounting Policies and Estimates—Revenue Recognition” above and Note 3 of Notes to Condensed Consolidated Financial Statements for additional information regarding receivables.</w:t>
      </w:r>
    </w:p>
    <w:p>
      <w:pPr>
        <w:spacing w:after="0" w:line="94" w:lineRule="exact"/>
        <w:rPr>
          <w:sz w:val="20"/>
          <w:szCs w:val="20"/>
          <w:color w:val="auto"/>
        </w:rPr>
      </w:pPr>
    </w:p>
    <w:p>
      <w:pPr>
        <w:ind w:right="160" w:firstLine="456"/>
        <w:spacing w:after="0" w:line="296" w:lineRule="auto"/>
        <w:rPr>
          <w:sz w:val="20"/>
          <w:szCs w:val="20"/>
          <w:color w:val="auto"/>
        </w:rPr>
      </w:pPr>
      <w:r>
        <w:rPr>
          <w:rFonts w:ascii="Times New Roman" w:cs="Times New Roman" w:eastAsia="Times New Roman" w:hAnsi="Times New Roman"/>
          <w:sz w:val="16"/>
          <w:szCs w:val="16"/>
          <w:color w:val="auto"/>
        </w:rPr>
        <w:t>Receivables from banks represent those related to LFB’s short-term deposits in the inter-bank market and with the Banque de France. The level of these deposits may be driven by the level of LFB customer and bank-related interest-bearing time and demand deposits (which can fluctuate significantly on a daily basis) and by changes in asset allocation. Historically the risk of loss associated with such deposits is extremely low. The Company closely monitors the creditworthiness of counterparties to minimize its exposure to loss in adverse market conditions. Based on its review of its receivables from banks at September 30, 2010 and December 31, 2009, LFB has determined that an allowance for doubtful accounts related to such receivables from banks was not required.</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Credit Concentration</w:t>
      </w:r>
    </w:p>
    <w:p>
      <w:pPr>
        <w:spacing w:after="0" w:line="8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To reduce the exposure to concentrations of credit from banking activities within LFB, the Company has established limits for corporate counterparties and monitors the exposure against such limits. At September 30, 2010, excluding deposits with inter-bank counterparties, LFB had no exposure to an individual counterparty that exceeded $31 million (with such amount being fully collateralized).</w:t>
      </w:r>
    </w:p>
    <w:p>
      <w:pPr>
        <w:spacing w:after="0" w:line="11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With respect to activities outside LFB, as of September 30, 2010, the Company’s largest individual counterparty exposure was a Financial Advisory-related fee receivable of $20 million, substantially all of which has been collected subsequent to September 30, 2010.</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Short-Term Investments and Corporate Indebtedness</w:t>
      </w:r>
    </w:p>
    <w:p>
      <w:pPr>
        <w:spacing w:after="0" w:line="8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 significant portion of the Company’s liabilities has fixed interest rates, while its cash and short-term investments generally have floating interest rates. Based on account balances as of September 30, 2010, Lazard estimates that its annual operating income relating to cash and short-term investments and corporate indebtedness would increase by approximately $8 million in the event interest rates were to increase by 1% and decrease by approximately $3 million if rates were to decrease by 1%.</w:t>
      </w:r>
    </w:p>
    <w:p>
      <w:pPr>
        <w:spacing w:after="0" w:line="12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As of September 30, 2010, the Company’s cash and cash equivalents totaled $847 million. Substantially all of the Company’s cash and cash equivalents were invested in highly liquid institutional money market funds (a significant majority of which were invested solely in U.S. Government or agency securities)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7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For a discussion of recently issued accounting pronouncements and their impact or potential impact on Lazard’s consolidated financial statements, see Note 2 of Notes to Condensed Consolidated Financial Statements.</w:t>
      </w:r>
    </w:p>
    <w:p>
      <w:pPr>
        <w:spacing w:after="0" w:line="10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79"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included under the caption “Management’s Discussion and Analysis of Financial Condition and Results of Operations—Risk Management.”</w:t>
      </w:r>
    </w:p>
    <w:p>
      <w:pPr>
        <w:spacing w:after="0" w:line="10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28"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Company’s businesses, as well as the financial services industry generally, are subject to extensive regulation throughout the world. 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can be reasonably estimated. Management believes, based on currently available information, that the results of such matters, in the aggregate, will not have a material adverse effect on the Company’s financial condition but might be material to the Company’s operating results or cash flows for any particular period, depending upon the operating results for such period.</w:t>
      </w:r>
    </w:p>
    <w:p>
      <w:pPr>
        <w:spacing w:after="0" w:line="12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79"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Except as discussed below, there were no material changes from the risk factors previously disclosed in the Company’s Annual Report on Form 10-K and the Quarterly Report on Form 10-Q for the quarterly period ended June 30, 2010.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LAZ-MD Holdings relies on an exception from the Investment Company Act of 1940, as amended (the “Investment Company Act”).</w:t>
      </w:r>
    </w:p>
    <w:p>
      <w:pPr>
        <w:spacing w:after="0" w:line="160" w:lineRule="exact"/>
        <w:rPr>
          <w:sz w:val="20"/>
          <w:szCs w:val="20"/>
          <w:color w:val="auto"/>
        </w:rPr>
      </w:pPr>
    </w:p>
    <w:p>
      <w:pPr>
        <w:jc w:val="both"/>
        <w:ind w:firstLine="456"/>
        <w:spacing w:after="0" w:line="310" w:lineRule="auto"/>
        <w:rPr>
          <w:sz w:val="20"/>
          <w:szCs w:val="20"/>
          <w:color w:val="auto"/>
        </w:rPr>
      </w:pPr>
      <w:r>
        <w:rPr>
          <w:rFonts w:ascii="Times New Roman" w:cs="Times New Roman" w:eastAsia="Times New Roman" w:hAnsi="Times New Roman"/>
          <w:sz w:val="16"/>
          <w:szCs w:val="16"/>
          <w:color w:val="auto"/>
        </w:rPr>
        <w:t>LAZ-MD Holdings currently has less than 100 holders and does not publicly offer its shares. Accordingly, LAZ-MD Holdings relies on an exception from the definition of “investment company” under the Investment Company Act and the rules thereunder. Lazard Ltd expects that LAZ-MD Holdings will continue to conduct its operations such that LAZ-MD Holdings will not be subject to regulation as an investment company under the Investment Company Act.</w:t>
      </w:r>
    </w:p>
    <w:p>
      <w:pPr>
        <w:spacing w:after="0" w:line="8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7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During the third quarter of 2010, Lazard Ltd issued 200,510 shares of Class A common stock in reliance on Section 4(2) of the Securities Act of 1933 in connection with the exchange of 200,510 common membership interests of Lazard Group held by certain members of LAZ-MD Holdings as provided for in the Master Separation Agreement, dated as of May 10, 2005, by and among Lazard Ltd, Lazard Group, LAZ-MD Holdings and LFCM Holdings and other related documents.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80"/>
          </w:cols>
          <w:pgMar w:left="240" w:top="455" w:right="27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information regarding Lazard’s purchases of its Class A common stock on a monthly basis during the third quarter of 2010.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repurchases are recorded on a trade date basis.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 Number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Purchased as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Part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44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Publicly</w:t>
            </w:r>
          </w:p>
        </w:tc>
        <w:tc>
          <w:tcPr>
            <w:tcW w:w="220" w:type="dxa"/>
            <w:vAlign w:val="bottom"/>
          </w:tcPr>
          <w:p>
            <w:pPr>
              <w:spacing w:after="0"/>
              <w:rPr>
                <w:sz w:val="12"/>
                <w:szCs w:val="12"/>
                <w:color w:val="auto"/>
              </w:rPr>
            </w:pPr>
          </w:p>
        </w:tc>
        <w:tc>
          <w:tcPr>
            <w:tcW w:w="13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44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Paid</w:t>
            </w: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Announced</w:t>
            </w:r>
          </w:p>
        </w:tc>
        <w:tc>
          <w:tcPr>
            <w:tcW w:w="220" w:type="dxa"/>
            <w:vAlign w:val="bottom"/>
          </w:tcPr>
          <w:p>
            <w:pPr>
              <w:spacing w:after="0"/>
              <w:rPr>
                <w:sz w:val="12"/>
                <w:szCs w:val="12"/>
                <w:color w:val="auto"/>
              </w:rPr>
            </w:pPr>
          </w:p>
        </w:tc>
        <w:tc>
          <w:tcPr>
            <w:tcW w:w="13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44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per</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Plans or</w:t>
            </w:r>
          </w:p>
        </w:tc>
        <w:tc>
          <w:tcPr>
            <w:tcW w:w="220" w:type="dxa"/>
            <w:vAlign w:val="bottom"/>
          </w:tcPr>
          <w:p>
            <w:pPr>
              <w:spacing w:after="0"/>
              <w:rPr>
                <w:sz w:val="12"/>
                <w:szCs w:val="12"/>
                <w:color w:val="auto"/>
              </w:rPr>
            </w:pPr>
          </w:p>
        </w:tc>
        <w:tc>
          <w:tcPr>
            <w:tcW w:w="13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Under the Plans or</w:t>
            </w:r>
          </w:p>
        </w:tc>
        <w:tc>
          <w:tcPr>
            <w:tcW w:w="0" w:type="dxa"/>
            <w:vAlign w:val="bottom"/>
          </w:tcPr>
          <w:p>
            <w:pPr>
              <w:spacing w:after="0"/>
              <w:rPr>
                <w:sz w:val="1"/>
                <w:szCs w:val="1"/>
                <w:color w:val="auto"/>
              </w:rPr>
            </w:pPr>
          </w:p>
        </w:tc>
      </w:tr>
      <w:tr>
        <w:trPr>
          <w:trHeight w:val="165"/>
        </w:trPr>
        <w:tc>
          <w:tcPr>
            <w:tcW w:w="6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44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1"/>
              </w:rPr>
              <w:t>Share</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Programs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July 1, 2010 – July 31, 2010</w:t>
            </w: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$29.64</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176.5 million</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86,378</w:t>
            </w:r>
          </w:p>
        </w:tc>
        <w:tc>
          <w:tcPr>
            <w:tcW w:w="14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$30.07</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2"/>
        </w:trPr>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1, 2010 – August 31, 2010</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2,728,228</w:t>
            </w:r>
          </w:p>
        </w:tc>
        <w:tc>
          <w:tcPr>
            <w:tcW w:w="14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$30.36</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2,728,228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88.6 million(3)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83,387</w:t>
            </w: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2"/>
              </w:rPr>
              <w:t>$ 32.11</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1, 2010 – September 30, 2010</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88.6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144,903</w:t>
            </w:r>
          </w:p>
        </w:tc>
        <w:tc>
          <w:tcPr>
            <w:tcW w:w="14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$35.48</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2"/>
        </w:trPr>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2,753,228</w:t>
            </w:r>
          </w:p>
        </w:tc>
        <w:tc>
          <w:tcPr>
            <w:tcW w:w="14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$30.36</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2,753,228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88.6 million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314,668</w:t>
            </w: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$33.10</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right="260" w:hanging="452"/>
        <w:spacing w:after="0" w:line="252"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27, 2010, the Board of Directors of Lazard Ltd authorized, on a cumulative basis, the repurchase of up to $200 million in aggregate cost of Lazard Ltd Class A common stock and Lazard Group common membership interests through December 31, 2011. The share repurchase program will be used primarily to offset a portion of the shares to be issued under Lazard Ltd’s 2005 Plan and 2008 Plan. Purchases under the share repurchase program may be made in the open market or through privately negotiated transactions. Amounts shown in this line item include repurchases of both Class A common stock and Lazard Group common membership interests, and exclude the shares of Class A common stock withheld by the Company to cover estimated income taxes as described below.</w:t>
      </w:r>
    </w:p>
    <w:p>
      <w:pPr>
        <w:spacing w:after="0" w:line="4" w:lineRule="exact"/>
        <w:rPr>
          <w:rFonts w:ascii="Times New Roman" w:cs="Times New Roman" w:eastAsia="Times New Roman" w:hAnsi="Times New Roman"/>
          <w:sz w:val="18"/>
          <w:szCs w:val="18"/>
          <w:color w:val="auto"/>
        </w:rPr>
      </w:pPr>
    </w:p>
    <w:p>
      <w:pPr>
        <w:jc w:val="both"/>
        <w:ind w:left="460" w:right="20" w:hanging="452"/>
        <w:spacing w:after="0" w:line="250"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2005 Plan and the 2008 Plan, upon the vesting of RSUs, shares of Class A common stock may be withheld by the Company to cover estimated income taxes. During the three month period ended September 30, 2010, the Company withheld 314,668 shares to cover estimated taxes upon the vesting of 986,545 RSUs.</w:t>
      </w:r>
    </w:p>
    <w:p>
      <w:pPr>
        <w:spacing w:after="0" w:line="1" w:lineRule="exact"/>
        <w:rPr>
          <w:rFonts w:ascii="Times New Roman" w:cs="Times New Roman" w:eastAsia="Times New Roman" w:hAnsi="Times New Roman"/>
          <w:sz w:val="18"/>
          <w:szCs w:val="18"/>
          <w:color w:val="auto"/>
        </w:rPr>
      </w:pPr>
    </w:p>
    <w:p>
      <w:pPr>
        <w:ind w:left="460" w:right="40" w:hanging="452"/>
        <w:spacing w:after="0" w:line="261"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value of the repurchase authorization, referred to in (1) above, was reduced by the repurchase of Lazard Group common membership interests in August 2010 in the aggregate amount of $5.1 million.</w:t>
      </w:r>
    </w:p>
    <w:p>
      <w:pPr>
        <w:spacing w:after="0" w:line="11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[Removed and Reserved]</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106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2.1</w:t>
            </w: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Master Separation Agreement, dated as of May 10, 2005, by and among the Registrant, Lazard Group LLC, LAZ-MD Holdings LLC and</w:t>
            </w:r>
          </w:p>
        </w:tc>
      </w:tr>
      <w:tr>
        <w:trPr>
          <w:trHeight w:val="216"/>
        </w:trPr>
        <w:tc>
          <w:tcPr>
            <w:tcW w:w="780" w:type="dxa"/>
            <w:vAlign w:val="bottom"/>
          </w:tcPr>
          <w:p>
            <w:pPr>
              <w:spacing w:after="0"/>
              <w:rPr>
                <w:sz w:val="18"/>
                <w:szCs w:val="18"/>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LFCM Holdings LLC (incorporated by reference to Exhibit 2.1 to the Registrant’s Quarterly Report (File No. 001-32492) on Form 10-Q filed</w:t>
            </w:r>
          </w:p>
        </w:tc>
      </w:tr>
      <w:tr>
        <w:trPr>
          <w:trHeight w:val="228"/>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on June 16,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w:t>
            </w: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Amendment No. 1, dated as of November 6, 2006, to the Master Separation Agreement,</w:t>
            </w:r>
          </w:p>
        </w:tc>
      </w:tr>
      <w:tr>
        <w:trPr>
          <w:trHeight w:val="216"/>
        </w:trPr>
        <w:tc>
          <w:tcPr>
            <w:tcW w:w="780" w:type="dxa"/>
            <w:vAlign w:val="bottom"/>
          </w:tcPr>
          <w:p>
            <w:pPr>
              <w:spacing w:after="0"/>
              <w:rPr>
                <w:sz w:val="18"/>
                <w:szCs w:val="18"/>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dated as of May 10, 2005, by and among the Registrant, Lazard Group LLC and LAZ-MD Holdings LLC (incorporated by reference to Exhibit</w:t>
            </w:r>
          </w:p>
        </w:tc>
      </w:tr>
      <w:tr>
        <w:trPr>
          <w:trHeight w:val="228"/>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2.2 to the Registrant’s Quarterly Report (File No. 001-32492) on Form 10-Q filed on November 7, 2006).</w:t>
            </w:r>
          </w:p>
        </w:tc>
      </w:tr>
      <w:tr>
        <w:trPr>
          <w:trHeight w:val="325"/>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2.3</w:t>
            </w: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Second Amendment dated as of May 7, 2008, to the Master Separation Agreement dated as of May 10, 2005, as amended, by and among Lazard</w:t>
            </w:r>
          </w:p>
        </w:tc>
      </w:tr>
      <w:tr>
        <w:trPr>
          <w:trHeight w:val="216"/>
        </w:trPr>
        <w:tc>
          <w:tcPr>
            <w:tcW w:w="780" w:type="dxa"/>
            <w:vAlign w:val="bottom"/>
          </w:tcPr>
          <w:p>
            <w:pPr>
              <w:spacing w:after="0"/>
              <w:rPr>
                <w:sz w:val="18"/>
                <w:szCs w:val="18"/>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Ltd, Lazard Group LLC and LAZ-MD Holdings LLC (incorporated by reference to Exhibit 2.1 to the Registrant’s Current Report on Form 8-K</w:t>
            </w:r>
          </w:p>
        </w:tc>
      </w:tr>
      <w:tr>
        <w:trPr>
          <w:trHeight w:val="228"/>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(File No. 001-32492) filed on May 8, 2008).</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2.4</w:t>
            </w: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Class B-1 and Class C Members Transaction Agreement (incorporated by reference to Exhibit 2.2 to the Registrant’s Registration Statement</w:t>
            </w:r>
          </w:p>
        </w:tc>
      </w:tr>
      <w:tr>
        <w:trPr>
          <w:trHeight w:val="228"/>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(File No. 333-121407) on Form S-1 filed on December 17, 2004).</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3.1</w:t>
            </w: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Certificate of Incorporation and Memorandum of Association of the Registrant (incorporated by reference to Exhibit 3.1 to the Registrant’s</w:t>
            </w:r>
          </w:p>
        </w:tc>
      </w:tr>
      <w:tr>
        <w:trPr>
          <w:trHeight w:val="228"/>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Registration Statement (File No. 333-121407) on Form S-1/A filed on March 21,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3.2</w:t>
            </w: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Certificate of Incorporation in Change of Name of the Registrant (incorporated by reference to Exhibit 3.2 to the Registrant’s Registration</w:t>
            </w:r>
          </w:p>
        </w:tc>
      </w:tr>
      <w:tr>
        <w:trPr>
          <w:trHeight w:val="228"/>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Statement (File No. 333-121407) on Form S-1/A filed on March 21,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3.3</w:t>
            </w: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Amended and Restated Bye-Laws of Lazard Ltd (incorporated by reference to Exhibit 3.3 to the Registrant’s Quarterly Report (File No. 001-</w:t>
            </w:r>
          </w:p>
        </w:tc>
      </w:tr>
      <w:tr>
        <w:trPr>
          <w:trHeight w:val="228"/>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32492) on Form 10-Q filed on June 16,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3.4</w:t>
            </w: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First Amendment to Amended and Restated Bye-Laws of Lazard Ltd (incorporated by reference to Exhibit 3.4 to the Registrant’s Quarterly</w:t>
            </w:r>
          </w:p>
        </w:tc>
      </w:tr>
      <w:tr>
        <w:trPr>
          <w:trHeight w:val="228"/>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Report (File No. 001-32492) on Form 10-Q filed on May 9, 2008).</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3.5</w:t>
            </w: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Second Amendment to the Amended and Restated Bye-Laws of Lazard Ltd (incorporated by reference to Exhibit 3.5 to the Registrant’s</w:t>
            </w:r>
          </w:p>
        </w:tc>
      </w:tr>
      <w:tr>
        <w:trPr>
          <w:trHeight w:val="228"/>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Quarterly Report (File No. 001-32492) on Form 10-Q filed on April 30, 2010).</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4.1</w:t>
            </w: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Form of Specimen Certificate for Class A common stock (incorporated by reference to Exhibit 4.1 to the Registrant’s Registration Statement</w:t>
            </w:r>
          </w:p>
        </w:tc>
      </w:tr>
      <w:tr>
        <w:trPr>
          <w:trHeight w:val="228"/>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(File No. 333-121407) on Form S-1/A filed on April 11,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4.2</w:t>
            </w: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Indenture, dated as of May 10, 2005, by and between Lazard Group LLC and The Bank of New York, as Trustee (incorporated by reference to</w:t>
            </w:r>
          </w:p>
        </w:tc>
      </w:tr>
      <w:tr>
        <w:trPr>
          <w:trHeight w:val="228"/>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Exhibit 4.1 to Lazard Group LLC’s Registration Statement (File No. 333-126751) on Form S-4 filed on July 21,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4.3</w:t>
            </w: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 and Restated Third Supplemental Indenture, dated as of May 15, 2008, by and among Lazard Group LLC and The Bank of New</w:t>
            </w:r>
          </w:p>
        </w:tc>
      </w:tr>
      <w:tr>
        <w:trPr>
          <w:trHeight w:val="216"/>
        </w:trPr>
        <w:tc>
          <w:tcPr>
            <w:tcW w:w="780" w:type="dxa"/>
            <w:vAlign w:val="bottom"/>
          </w:tcPr>
          <w:p>
            <w:pPr>
              <w:spacing w:after="0"/>
              <w:rPr>
                <w:sz w:val="18"/>
                <w:szCs w:val="18"/>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York, as trustee (and incorporated by reference to Exhibit 4.1 to the Registrants’ Current Report on Form 8-K (Commission File No. 333-</w:t>
            </w:r>
          </w:p>
        </w:tc>
      </w:tr>
      <w:tr>
        <w:trPr>
          <w:trHeight w:val="228"/>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126751) filed on May 16, 2008).</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4.4</w:t>
            </w: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Fourth Supplemental Indenture, dated as of June 21, 2007, between Lazard Group LLC and The Bank of New York, as trustee (incorporated by</w:t>
            </w:r>
          </w:p>
        </w:tc>
      </w:tr>
      <w:tr>
        <w:trPr>
          <w:trHeight w:val="228"/>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reference to Exhibit 4.1 to the Registrant’s Current Report on Form 8-K (File No. 001-32492) filed on June 22, 2007).</w:t>
            </w:r>
          </w:p>
        </w:tc>
      </w:tr>
      <w:tr>
        <w:trPr>
          <w:trHeight w:val="324"/>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4.5</w:t>
            </w:r>
          </w:p>
        </w:tc>
        <w:tc>
          <w:tcPr>
            <w:tcW w:w="10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of Senior Note (included in Exhibit 4.3).</w:t>
            </w:r>
          </w:p>
        </w:tc>
      </w:tr>
      <w:tr>
        <w:trPr>
          <w:trHeight w:val="365"/>
        </w:trPr>
        <w:tc>
          <w:tcPr>
            <w:tcW w:w="780" w:type="dxa"/>
            <w:vAlign w:val="bottom"/>
          </w:tcPr>
          <w:p>
            <w:pPr>
              <w:spacing w:after="0"/>
              <w:rPr>
                <w:sz w:val="24"/>
                <w:szCs w:val="24"/>
                <w:color w:val="auto"/>
              </w:rPr>
            </w:pPr>
          </w:p>
        </w:tc>
        <w:tc>
          <w:tcPr>
            <w:tcW w:w="1064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78</w:t>
            </w:r>
          </w:p>
        </w:tc>
      </w:tr>
    </w:tbl>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certain members of LAZ-MD Holdings LLC (incorporated by reference to Exhibit 10.1 to the Registrant’s Quarterly Report (File No. 001-</w:t>
            </w:r>
          </w:p>
        </w:tc>
      </w:tr>
      <w:tr>
        <w:trPr>
          <w:trHeight w:val="228"/>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32492) on Form 10-Q filed on November 7, 2006).</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LAZ-MD Holdings LLC and Lazard Ltd. (incorporated by reference to Exhibit 10.2 to the Registrant’s Quarterly Report (File No. 001-32492)</w:t>
            </w:r>
          </w:p>
        </w:tc>
      </w:tr>
      <w:tr>
        <w:trPr>
          <w:trHeight w:val="228"/>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on Form 10-Q filed on May 9, 2008).</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Operating Agreement of Lazard Group LLC, dated as of May 10, 2005 (incorporated by reference to Exhibit 10.2 to the Registrant’s Quarterly</w:t>
            </w:r>
          </w:p>
        </w:tc>
      </w:tr>
      <w:tr>
        <w:trPr>
          <w:trHeight w:val="228"/>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Report (File No. 001-32492) on Form 10-Q filed on June 16, 2005).</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Amendment No. 1 to the Operating Agreement of Lazard Group LLC, dated as of December 19, 2005 (incorporated by reference to Exhibit</w:t>
            </w:r>
          </w:p>
        </w:tc>
      </w:tr>
      <w:tr>
        <w:trPr>
          <w:trHeight w:val="228"/>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3.01 to Lazard Group LLC’s Current Report on Form 8-K (File No. 333-126751) filed on December 19, 2005).</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Amendment No. 2, dated as of May 7, 2008, to the Operating Agreement of Lazard Group LLC, dated as of May 10, 2005 (incorporated by</w:t>
            </w:r>
          </w:p>
        </w:tc>
      </w:tr>
      <w:tr>
        <w:trPr>
          <w:trHeight w:val="228"/>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reference to Exhibit 10.3 to the Registrant’s Current Report on Form 8-K (File No. 001-32492) filed on May 8, 2008).</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Amendment No. 3, dated as of April 27, 2010, to the Operating Agreement of Lazard Group LLC, dated as of May 10, 2005 (incorporated by</w:t>
            </w:r>
          </w:p>
        </w:tc>
      </w:tr>
      <w:tr>
        <w:trPr>
          <w:trHeight w:val="228"/>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reference to Exhibit 10.6 to the Registrant’s Quarterly Report (File No. 001-32492) on Form 10-Q filed on April 30, 2010).</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Tax Receivable Agreement, dated as of May 10, 2005, by and among Ltd Sub A, Ltd Sub B and LFCM Holdings LLC (incorporated by</w:t>
            </w:r>
          </w:p>
        </w:tc>
      </w:tr>
      <w:tr>
        <w:trPr>
          <w:trHeight w:val="228"/>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reference to Exhibit 10.3 to the Registrant’s Quarterly Report (File No. 001-32492) on Form 10-Q filed on June 16, 2005).</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LFCM Holdings LLC (incorporated by reference to Exhibit 10.4 to the Registrant’s Quarterly Report (File No. 001-32492) on Form 10-Q filed</w:t>
            </w:r>
          </w:p>
        </w:tc>
      </w:tr>
      <w:tr>
        <w:trPr>
          <w:trHeight w:val="228"/>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on June 16, 2005).</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Insurance Matters Agreement, dated as of May 10, 2005, by and between Lazard Group LLC and LFCM Holdings LLC (incorporated by</w:t>
            </w:r>
          </w:p>
        </w:tc>
      </w:tr>
      <w:tr>
        <w:trPr>
          <w:trHeight w:val="228"/>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reference to Exhibit 10.5 to the Registrant’s Quarterly Report (File No. 001-32492) on Form 10-Q filed on June 16, 2005).</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Frères S.A.S., Lazard &amp; Co. Holdings Limited and LFCM Holdings LLC (incorporated by reference to Exhibit 10.6 to the Registrant’s</w:t>
            </w:r>
          </w:p>
        </w:tc>
      </w:tr>
      <w:tr>
        <w:trPr>
          <w:trHeight w:val="228"/>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Quarterly Report (File No. 001-32492) on Form 10-Q filed on June 16, 2005).</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Administrative Services Agreement, dated as of May 10, 2005, by and among LAZ-MD Holdings LLC, LFCM Holdings LLC and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Group LLC (incorporated by reference to Exhibit 10.7 to the Registrant’s Quarterly Report (File No. 001-32492) on Form 10-Q filed on June</w:t>
            </w:r>
          </w:p>
        </w:tc>
      </w:tr>
      <w:tr>
        <w:trPr>
          <w:trHeight w:val="228"/>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16, 2005).</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Business Alliance Agreement, dated as of May 10, 2005, by and between Lazard Group LLC and LFCM Holdings LLC (incorporated by</w:t>
            </w:r>
          </w:p>
        </w:tc>
      </w:tr>
      <w:tr>
        <w:trPr>
          <w:trHeight w:val="228"/>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reference to Exhibit 10.8 to the Registrant’s Quarterly Report (File No. 001-32492) on Form 10-Q filed on June 16, 2005).</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Amendment and Consent, dated February 9, 2009, to the Business Alliance Agreement, dated as of May 10, 2005, by and between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Group LLC and LFCM Holdings LLC (incorporated by reference to Exhibit 10.12 to Registrant’s Annual Report (File No. 001-32492) on Form</w:t>
            </w:r>
          </w:p>
        </w:tc>
      </w:tr>
      <w:tr>
        <w:trPr>
          <w:trHeight w:val="228"/>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10-K filed on March 2, 2009).</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Amended and Restated Operating Agreement of Lazard Strategic Coordination Company LLC, dated as of January 1, 2002 (incorporated by</w:t>
            </w:r>
          </w:p>
        </w:tc>
      </w:tr>
      <w:tr>
        <w:trPr>
          <w:trHeight w:val="228"/>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reference to Exhibit 10.16 to the Registrant’s Registration Statement (File No. 333-121407) on Form S-1/A filed on February 11, 2005).</w:t>
            </w:r>
          </w:p>
        </w:tc>
      </w:tr>
      <w:tr>
        <w:trPr>
          <w:trHeight w:val="365"/>
        </w:trPr>
        <w:tc>
          <w:tcPr>
            <w:tcW w:w="840" w:type="dxa"/>
            <w:vAlign w:val="bottom"/>
          </w:tcPr>
          <w:p>
            <w:pPr>
              <w:spacing w:after="0"/>
              <w:rPr>
                <w:sz w:val="24"/>
                <w:szCs w:val="24"/>
                <w:color w:val="auto"/>
              </w:rPr>
            </w:pPr>
          </w:p>
        </w:tc>
        <w:tc>
          <w:tcPr>
            <w:tcW w:w="10540" w:type="dxa"/>
            <w:vAlign w:val="bottom"/>
          </w:tcPr>
          <w:p>
            <w:pPr>
              <w:ind w:left="4780"/>
              <w:spacing w:after="0"/>
              <w:rPr>
                <w:sz w:val="20"/>
                <w:szCs w:val="20"/>
                <w:color w:val="auto"/>
              </w:rPr>
            </w:pPr>
            <w:r>
              <w:rPr>
                <w:rFonts w:ascii="Times New Roman" w:cs="Times New Roman" w:eastAsia="Times New Roman" w:hAnsi="Times New Roman"/>
                <w:sz w:val="18"/>
                <w:szCs w:val="18"/>
                <w:color w:val="auto"/>
              </w:rPr>
              <w:t>79</w:t>
            </w:r>
          </w:p>
        </w:tc>
      </w:tr>
    </w:tbl>
    <w:p>
      <w:pPr>
        <w:sectPr>
          <w:pgSz w:w="11900" w:h="16838" w:orient="portrait"/>
          <w:cols w:equalWidth="0" w:num="1">
            <w:col w:w="11380"/>
          </w:cols>
          <w:pgMar w:left="240" w:top="455" w:right="27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Lease, dated as of January 27, 1994, by and between Rockefeller Center Properties and Lazard Frères &amp; Co. LLC (incorporated by reference to</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Exhibit 10.19 to the Registrant’s Registration Statement (File No. 333-121407) on Form S-1/A filed on February 11,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(English translation) (incorporated by reference to Exhibit 10.20 to the Registrant’s Registration Statement (File No. 333-121407) on Form S-</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1/A filed on February 11,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Burford (Stratton) Limited, Lazard &amp; Co., Limited and Lazard LLC (incorporated by reference to Exhibit 10.21 to the Registrant’s Registration</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Statement (File No. 333-121407) on Form S-1/A filed on February 11,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2005 Equity Incentive Plan (incorporated by reference to Exhibit 10.21 to the Registrant’s Registration Statement (File No. 333-121407) on</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S-1/A filed on May 2,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Lazard Ltd’s 2008 Incentive Compensation Plan (incorporated by reference to Annex B to the Registrant’s Definitive Proxy Statement on</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Schedule 14A (File No. 001-32492) filed on March 24,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2005 Bonus Plan (incorporated by reference to Exhibit 10.23 to the Registrant’s Registration Statement (File No. 333-121407) on Form S-1/A</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filed on March 21,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Schedule I for each of Michael J. Castellano and Scott D. Hoffman (incorporated by reference to Exhibit 10.26 to the Registrant’s Quarterly</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Report (File No. 001-32492) on Form 10-Q filed on June 16,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May 4, 2005, for each of Michael J. Castellano and Scott D. Hoffman (incorporated by reference to Exhibit 10.2 to the Registrant’s Current</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Report on Form 8-K (File No. 001-32492) filed on May 8,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Second Amendment, dated as of February 26, 2009,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of May 4, 2005 (as amended from time to time), for Michael J. Castellano (incorporated by reference to Exhibit 10.26 to Registrant’s Annual</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Report (File No. 001-32492) on Form 10-K filed on March 2,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Agreements Relating to Retention and Noncompetition and Other Covenants (incorporated by reference to Exhibit 10.27 to the</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Registrant’s Registration Statement (File No. 333-121407) on Form S-1/A filed on April 11,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and Alexander F. Stern (incorporated by reference to Exhibit 10.28 to Registrant’s Annual Report (File No. 001-32492) on Form 10-K filed on</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2,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October 4, 2004, with Alexander F. Stern (incorporated by reference to Exhibit 10.2 to the Registrant’s Current Report on Form 8-K (File No.</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001-32492) filed on March 23, 2010).</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and Kenneth M. Jacobs (incorporated by reference to Exhibit 10.29 to the Registrant’s Annual Report on Form 10-K (File No. 001-32492) filed</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 March 1, 2010).</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18, 2005, with Kenneth M. Jacobs (incorporated by reference to Exhibit 10.1 to the Registrant’s Current Report on Form 8-K</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(File No. 001-32492) field on March 23, 2010).</w:t>
            </w:r>
          </w:p>
        </w:tc>
      </w:tr>
      <w:tr>
        <w:trPr>
          <w:trHeight w:val="365"/>
        </w:trPr>
        <w:tc>
          <w:tcPr>
            <w:tcW w:w="880" w:type="dxa"/>
            <w:vAlign w:val="bottom"/>
          </w:tcPr>
          <w:p>
            <w:pPr>
              <w:spacing w:after="0"/>
              <w:rPr>
                <w:sz w:val="24"/>
                <w:szCs w:val="24"/>
                <w:color w:val="auto"/>
              </w:rPr>
            </w:pPr>
          </w:p>
        </w:tc>
        <w:tc>
          <w:tcPr>
            <w:tcW w:w="1052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80</w:t>
            </w:r>
          </w:p>
        </w:tc>
      </w:tr>
    </w:tbl>
    <w:p>
      <w:pPr>
        <w:sectPr>
          <w:pgSz w:w="11900" w:h="16838" w:orient="portrait"/>
          <w:cols w:equalWidth="0" w:num="1">
            <w:col w:w="11400"/>
          </w:cols>
          <w:pgMar w:left="240" w:top="455" w:right="2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Amended and Restated Letter Agreement, effective as of January 1, 2004, between Vernon E. Jordan, Jr. and Lazard Frères &amp; Co. LLC</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(incorporated by reference to Exhibit 10.28 to the Registrant’s Quarterly Report (File No. 001-32492) on Form 10-Q filed on June 16,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6, 2006 (incorporated by reference to Exhibit 10.23 to the Registrant’s Quarterly Report (File No. 001-32492) on Form 10-Q filed on November</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Agreement, dated as of March 15, 2005, from IXIS Corporate and Investment Bank to Lazard LLC and Lazard Ltd (incorporated by</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10.27 to the Registrant’s Registration Statement (File No. 333-121407) on Form S-1/A filed on March 21,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IXIS Corporate and Investment Bank (incorporated by reference to Exhibit 10.30 to the Registrant’s Quarterly Report (File No. 001-32492) on</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10-Q filed on June 16,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Agreement, dated as of May 10, 2005, with Bruce Wasserstein family trusts (incorporated by reference to Exhibit 10.31 to the</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Registrant’s Quarterly Report (File No. 001-32492) on Form 10-Q filed on June 16,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Agreement, dated as of March 16, 2010, among Lazard Ltd, Lazard Group LLC and the Cranberry Dune 1998 Long-Term Trust</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to Exhibit 10.1 to the Registrant’s Current Report on Form 8-K (File No. 001-32492) filed on March 22, 2010).</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Description of Non-Executive Director Compensation (incorporated by reference to Exhibit 10.33 to the Registrant’s Quarterly Report (File No.</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001-32492) on Form 10-Q for the quarter ended June 30,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Form of Award Letter for Annual Grant of Deferred Stock Units to Non-Executive Directors (incorporated by reference to Exhibit 99.1 to the</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Registrant’s Current Report on Form 8-K (File No. 001-32492) filed on September 8,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Form of Agreement evidencing a grant of Restricted Stock Units to Executive Officers under the Lazard Equity Incentive Plan (incorporated by</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10.1 to the Registrant’s Current Report on Form 8-K (File No. 001-32492) filed on January 26,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Agreement evidencing a grant of Restricted Stock Units to Executive Officers under the 2008 Incentive Compensation Plan</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to Exhibit 10.41 to Registrant’s Annual Report (File No. 001-32492) on Form 10-K filed on March 2,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Agreement evidencing a grant of Deferred Cash Award to Executive Officers under the 2008 Incentive Compensation Plan</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to Exhibit 10.42 to Registrant’s Annual Report (File No. 001-32492) on Form 10-K filed on March 2,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Termination Agreement, dated as of March 31, 2006, by and among Banca Intesa S.p.A., Lazard Group LLC and Lazard &amp; Co. S.r.l.</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to Exhibit 10.1 to the Registrant’s Current Report on Form 8-K (File No. 001-32492) filed on April 4,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Amended and Restated $150 Million Subordinated Convertible Promissory Note due 2018, issued by Lazard Funding LLC to Banca Intesa</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S.p.A. (incorporated by reference to Exhibit 10.3 to the Registrant’s Current Report on Form 8-K (File No. 001-32492) filed on May 17,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Amended and Restated Guaranty of Lazard Group LLC to Banca Intesa S.p.A., dated as of May 15, 2006 (incorporated by reference to Exhibit</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10.4 to the Registrant’s Current Report on Form 8-K (File No. 001-32492) filed on May 17, 2006).</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81</w:t>
            </w:r>
          </w:p>
        </w:tc>
      </w:tr>
    </w:tbl>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10.43*</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Directors’ Fee Deferral Unit Plan (incorporated by reference to Exhibit 10.39 to Registrant’s Quarterly Report (File No. 001-32492) on Form</w:t>
            </w:r>
          </w:p>
        </w:tc>
      </w:tr>
      <w:tr>
        <w:trPr>
          <w:trHeight w:val="228"/>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10-Q filed on May 11, 2006).</w:t>
            </w:r>
          </w:p>
        </w:tc>
      </w:tr>
      <w:tr>
        <w:trPr>
          <w:trHeight w:val="312"/>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10.44*</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First Amended Form of Agreement evidencing a grant of Restricted Stock Units to Executive Officers under the Lazard 2005 Equity Incentive</w:t>
            </w:r>
          </w:p>
        </w:tc>
      </w:tr>
      <w:tr>
        <w:trPr>
          <w:trHeight w:val="228"/>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Plan (incorporated by reference to Exhibit 10.43 to Registrant’s Annual Report (File No. 001-32492) on Form 10-K filed on March 1, 2007).</w:t>
            </w:r>
          </w:p>
        </w:tc>
      </w:tr>
      <w:tr>
        <w:trPr>
          <w:trHeight w:val="312"/>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10.45</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Agreement and Plan of Merger, dated as of August 14, 2008, by and among Lazard Ltd, LAZ Sub I, Lazard Asset Management LLC and Lazard</w:t>
            </w:r>
          </w:p>
        </w:tc>
      </w:tr>
      <w:tr>
        <w:trPr>
          <w:trHeight w:val="216"/>
        </w:trPr>
        <w:tc>
          <w:tcPr>
            <w:tcW w:w="9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Asset Management Limited (incorporated by reference to Exhibit 2.1 to the Registrant’s Current Report on Form 8-K (File No. 001-32492) filed</w:t>
            </w:r>
          </w:p>
        </w:tc>
      </w:tr>
      <w:tr>
        <w:trPr>
          <w:trHeight w:val="228"/>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on August 15, 2008).</w:t>
            </w:r>
          </w:p>
        </w:tc>
      </w:tr>
      <w:tr>
        <w:trPr>
          <w:trHeight w:val="312"/>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10.46*</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Letter Agreement regarding employment dated as of April 21, 2010 between Lazard Group LLC and Gary W. Parr (incorporated by reference to</w:t>
            </w:r>
          </w:p>
        </w:tc>
      </w:tr>
      <w:tr>
        <w:trPr>
          <w:trHeight w:val="228"/>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 10.53 to the Registrant’s Quarterly Report (File No. 001-32492) on Form 10-Q filed on April 30, 2010).</w:t>
            </w:r>
          </w:p>
        </w:tc>
      </w:tr>
      <w:tr>
        <w:trPr>
          <w:trHeight w:val="312"/>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10.47</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Senior Revolving Credit Agreement, dated as of April 29, 2010, among Lazard Group LLC, the Banks from time to time parties thereto, and</w:t>
            </w:r>
          </w:p>
        </w:tc>
      </w:tr>
      <w:tr>
        <w:trPr>
          <w:trHeight w:val="216"/>
        </w:trPr>
        <w:tc>
          <w:tcPr>
            <w:tcW w:w="9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Citibank, N.A., as Administrative Agent (incorporated by reference to Exhibit 10.54 to the Registrant’s Quarterly Report (File No. 001-32492)</w:t>
            </w:r>
          </w:p>
        </w:tc>
      </w:tr>
      <w:tr>
        <w:trPr>
          <w:trHeight w:val="228"/>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on Form 10-Q filed on April 30, 2010).</w:t>
            </w:r>
          </w:p>
        </w:tc>
      </w:tr>
      <w:tr>
        <w:trPr>
          <w:trHeight w:val="312"/>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10.48*</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Form of Agreement evidencing a grant of Restricted Stock under the 2008 Incentive Compensation Plan (incorporated by reference to Exhibit</w:t>
            </w:r>
          </w:p>
        </w:tc>
      </w:tr>
      <w:tr>
        <w:trPr>
          <w:trHeight w:val="228"/>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10.55 to the Registrant’s Quarterly Report (File No. 001-32492) on Form 10-Q filed on April 30, 2010).</w:t>
            </w:r>
          </w:p>
        </w:tc>
      </w:tr>
      <w:tr>
        <w:trPr>
          <w:trHeight w:val="324"/>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12.1</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324"/>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13a-14(a) Certification of Kenneth M. Jacobs.</w:t>
            </w:r>
          </w:p>
        </w:tc>
      </w:tr>
      <w:tr>
        <w:trPr>
          <w:trHeight w:val="324"/>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13a-14(a) Certification of Michael J. Castellano.</w:t>
            </w:r>
          </w:p>
        </w:tc>
      </w:tr>
      <w:tr>
        <w:trPr>
          <w:trHeight w:val="324"/>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1350 Certification for Kenneth M. Jacobs.</w:t>
            </w:r>
          </w:p>
        </w:tc>
      </w:tr>
      <w:tr>
        <w:trPr>
          <w:trHeight w:val="324"/>
        </w:trPr>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1350 Certification for Michael J. Castellano.</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2010</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LAZARD LTD</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6"/>
          <w:szCs w:val="16"/>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14605</wp:posOffset>
            </wp:positionV>
            <wp:extent cx="24955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Name: Kenneth M. Jacobs</w:t>
      </w:r>
    </w:p>
    <w:p>
      <w:pPr>
        <w:spacing w:after="0" w:line="2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26" w:lineRule="exact"/>
        <w:rPr>
          <w:sz w:val="20"/>
          <w:szCs w:val="20"/>
          <w:color w:val="auto"/>
        </w:rPr>
      </w:pPr>
    </w:p>
    <w:p>
      <w:pPr>
        <w:ind w:left="6860"/>
        <w:spacing w:after="0"/>
        <w:tabs>
          <w:tab w:leader="none" w:pos="7260" w:val="left"/>
          <w:tab w:leader="none" w:pos="760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6"/>
          <w:szCs w:val="16"/>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Name: Michael J. Castellano</w:t>
      </w:r>
    </w:p>
    <w:p>
      <w:pPr>
        <w:spacing w:after="0" w:line="2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455" w:right="25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OF RATIO OF EARNINGS TO FIXED CHARGES (a)(b)</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ratio of earnings to fixed charges for Lazard Ltd and its subsidiaries on a consolidated basis.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6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jc w:val="center"/>
              <w:ind w:right="680"/>
              <w:spacing w:after="0" w:line="135"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360" w:type="dxa"/>
            <w:vAlign w:val="bottom"/>
            <w:gridSpan w:val="4"/>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2008</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2007</w:t>
            </w:r>
          </w:p>
        </w:tc>
        <w:tc>
          <w:tcPr>
            <w:tcW w:w="320" w:type="dxa"/>
            <w:vAlign w:val="bottom"/>
          </w:tcPr>
          <w:p>
            <w:pPr>
              <w:spacing w:after="0"/>
              <w:rPr>
                <w:sz w:val="15"/>
                <w:szCs w:val="15"/>
                <w:color w:val="auto"/>
              </w:rPr>
            </w:pPr>
          </w:p>
        </w:tc>
        <w:tc>
          <w:tcPr>
            <w:tcW w:w="6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2006</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gridSpan w:val="6"/>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w w:val="95"/>
              </w:rPr>
              <w:t>(dollars in thousands)</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from continuing operations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112,037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3"/>
              </w:rPr>
              <w:t>(182,234)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25,140</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$418,295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$327,209</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342,362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 Fixed charges</w:t>
            </w: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88,406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127,398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160,154</w:t>
            </w:r>
          </w:p>
        </w:tc>
        <w:tc>
          <w:tcPr>
            <w:tcW w:w="5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155,374</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119,606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Operating income (loss) from continuing operations before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fixed charges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200,443</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(54,836)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185,294</w:t>
            </w:r>
          </w:p>
        </w:tc>
        <w:tc>
          <w:tcPr>
            <w:tcW w:w="5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$573,669</w:t>
            </w: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$446,815</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437,013</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(c)</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73,788</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107,890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139,899</w:t>
            </w: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1"/>
              </w:rPr>
              <w:t>$ 137,110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$104,254</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(d)</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19,508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20,255</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88,406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127,398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160,154</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$155,374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$ 119,606</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2.27(f)</w:t>
            </w: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(g)</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1.16(h)</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Deficiency in the coverage of operating income (loss) from</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continuing operations before fixed charges to total fixed</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charges</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182,234</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2961640</wp:posOffset>
            </wp:positionH>
            <wp:positionV relativeFrom="paragraph">
              <wp:posOffset>-1905000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-1905000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-1905000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-1905000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-1905000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-1905000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-1905000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-1905000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-1905000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-1905000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-1905000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-1905000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-1905000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-1905000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-1905000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-1905000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-1905000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-1905000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-1047750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-1047750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-1047750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-1047750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-1047750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-1047750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-1047750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-1047750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-1047750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-1047750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-1047750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-1047750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-1047750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-1047750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-1047750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-1047750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-1047750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-1047750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-747395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-747395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-747395</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-747395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-747395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-747395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-747395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-747395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-747395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-747395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-747395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-747395</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-747395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-747395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-747395</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-747395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-747395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-747395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-172720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-172720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-172720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presented relates to the Company’s continuing operations.</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the ratio of earnings to fixed charges:</w:t>
      </w:r>
    </w:p>
    <w:p>
      <w:pPr>
        <w:spacing w:after="0" w:line="76" w:lineRule="exact"/>
        <w:rPr>
          <w:rFonts w:ascii="Times New Roman" w:cs="Times New Roman" w:eastAsia="Times New Roman" w:hAnsi="Times New Roman"/>
          <w:sz w:val="18"/>
          <w:szCs w:val="18"/>
          <w:color w:val="auto"/>
        </w:rPr>
      </w:pPr>
    </w:p>
    <w:p>
      <w:pPr>
        <w:ind w:left="780" w:right="360" w:hanging="326"/>
        <w:spacing w:after="0" w:line="310" w:lineRule="auto"/>
        <w:tabs>
          <w:tab w:leader="none" w:pos="78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for the nine month period ended September 30, 2010 and for the years ended December 31, 2009, 2008, 2007, 2006 and 2005 represent income from continuing operations before income taxes, and, for the period prior to May 10, 2005, the date of Lazard Ltd’s equity public offering, before distributions for services rendered by managing directors and employee members of LAM, and before fixed charges, and</w:t>
      </w:r>
    </w:p>
    <w:p>
      <w:pPr>
        <w:spacing w:after="0" w:line="2" w:lineRule="exact"/>
        <w:rPr>
          <w:rFonts w:ascii="Times New Roman" w:cs="Times New Roman" w:eastAsia="Times New Roman" w:hAnsi="Times New Roman"/>
          <w:sz w:val="16"/>
          <w:szCs w:val="16"/>
          <w:color w:val="auto"/>
        </w:rPr>
      </w:pPr>
    </w:p>
    <w:p>
      <w:pPr>
        <w:ind w:left="780" w:right="100" w:hanging="326"/>
        <w:spacing w:after="0" w:line="275" w:lineRule="auto"/>
        <w:tabs>
          <w:tab w:leader="none" w:pos="7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charges represent the interest expense from continuing operations and the portion of rental expense from continuing operations which represents an appropriate interest factor.</w:t>
      </w:r>
    </w:p>
    <w:p>
      <w:pPr>
        <w:spacing w:after="0" w:line="25"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fixed charges consist of the interest factor in rentals.</w:t>
      </w:r>
    </w:p>
    <w:p>
      <w:pPr>
        <w:spacing w:after="0" w:line="76"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operations for the period prior to Lazard Ltd’s equity public offering and the financing transactions on May 10, 2005 are not comparable to results of operations for subsequent periods as described below:</w:t>
      </w:r>
    </w:p>
    <w:p>
      <w:pPr>
        <w:spacing w:after="0" w:line="25" w:lineRule="exact"/>
        <w:rPr>
          <w:rFonts w:ascii="Times New Roman" w:cs="Times New Roman" w:eastAsia="Times New Roman" w:hAnsi="Times New Roman"/>
          <w:sz w:val="18"/>
          <w:szCs w:val="18"/>
          <w:color w:val="auto"/>
        </w:rPr>
      </w:pPr>
    </w:p>
    <w:p>
      <w:pPr>
        <w:ind w:left="780" w:right="80" w:hanging="326"/>
        <w:spacing w:after="0" w:line="256" w:lineRule="auto"/>
        <w:tabs>
          <w:tab w:leader="none" w:pos="7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services rendered by Lazard Ltd’s managing directors, which, as a result of Lazard Ltd operating as a limited liability company, historically had been accounted for as distributions from members’ capital, or in some cases as net income attributable to noncontrolling interests, rather than as compensation and benefits expense. As a result, Lazard Ltd’s operating income historically has not reflected payments for services rendered by its managing directors. For periods subsequent to the consummation of the equity public offering, the consolidated financial statements of Lazard Ltd include all payments for services rendered by its managing directors in compensation and benefits expense;</w:t>
      </w:r>
    </w:p>
    <w:p>
      <w:pPr>
        <w:spacing w:after="0" w:line="44"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proceeds from the financing transactions;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incremental expense related to the financing transactions.</w:t>
      </w:r>
    </w:p>
    <w:p>
      <w:pPr>
        <w:spacing w:after="0" w:line="103" w:lineRule="exact"/>
        <w:rPr>
          <w:rFonts w:ascii="Times New Roman" w:cs="Times New Roman" w:eastAsia="Times New Roman" w:hAnsi="Times New Roman"/>
          <w:sz w:val="18"/>
          <w:szCs w:val="18"/>
          <w:color w:val="auto"/>
        </w:rPr>
      </w:pPr>
    </w:p>
    <w:p>
      <w:pPr>
        <w:ind w:left="460" w:right="140" w:hanging="452"/>
        <w:spacing w:after="0" w:line="275"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nine month period ended September 30, 2010 is presented after giving effect to (i) a restructuring expense of $87,108 in the first quarter of 2010 and (ii) a charge of $24,860 in the first</w:t>
      </w:r>
    </w:p>
    <w:p>
      <w:pPr>
        <w:sectPr>
          <w:pgSz w:w="11900" w:h="16838" w:orient="portrait"/>
          <w:cols w:equalWidth="0" w:num="1">
            <w:col w:w="11420"/>
          </w:cols>
          <w:pgMar w:left="240" w:top="123" w:right="239" w:bottom="1440" w:gutter="0" w:footer="0" w:header="0"/>
        </w:sectPr>
      </w:pPr>
    </w:p>
    <w:bookmarkStart w:id="86" w:name="page87"/>
    <w:bookmarkEnd w:id="86"/>
    <w:p>
      <w:pPr>
        <w:ind w:left="452"/>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quarter of 2010 relating to the amendment of Lazard’s retirement policy with respect to RSU awards in such period. Excluding the impact of such items, the ratio of earnings to fixed charges would have been 3.53.</w:t>
      </w:r>
    </w:p>
    <w:p>
      <w:pPr>
        <w:spacing w:after="0" w:line="1" w:lineRule="exact"/>
        <w:rPr>
          <w:sz w:val="20"/>
          <w:szCs w:val="20"/>
          <w:color w:val="auto"/>
        </w:rPr>
      </w:pPr>
    </w:p>
    <w:p>
      <w:pPr>
        <w:ind w:left="452" w:right="180" w:hanging="452"/>
        <w:spacing w:after="0" w:line="250" w:lineRule="auto"/>
        <w:tabs>
          <w:tab w:leader="none" w:pos="4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(loss) for the year ended December 31, 2009 is presented after giving effect to (i) a restructuring expense of $62,550 in the first quarter of 2009, (ii) the acceleration of amortization expense of $86,514 relating to the vesting of RSUs held by Lazard’s former Chairman and Chief Executive Officer as the result of his death in October 2009 and (iii) the acceleration of amortization expense of $60,512 in the fourth quarter of 2009 relating to the accelerated vesting of the unamortized portion of previously awarded deferred cash incentive awards. Excluding the impact of such items, the ratio of earnings to fixed charges would have been 1.21.</w:t>
      </w:r>
    </w:p>
    <w:p>
      <w:pPr>
        <w:spacing w:after="0" w:line="2" w:lineRule="exact"/>
        <w:rPr>
          <w:rFonts w:ascii="Times New Roman" w:cs="Times New Roman" w:eastAsia="Times New Roman" w:hAnsi="Times New Roman"/>
          <w:sz w:val="18"/>
          <w:szCs w:val="18"/>
          <w:color w:val="auto"/>
        </w:rPr>
      </w:pPr>
    </w:p>
    <w:p>
      <w:pPr>
        <w:ind w:left="452" w:right="20" w:hanging="452"/>
        <w:spacing w:after="0" w:line="261" w:lineRule="auto"/>
        <w:tabs>
          <w:tab w:leader="none" w:pos="4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year ended December 31, 2008 is presented after giving effect to a charge of $199,550 relating to the LAM Merger. Excluding the impact of such charge, the ratio of earnings to fixed charges would have been 2.40.</w:t>
      </w:r>
    </w:p>
    <w:p>
      <w:pPr>
        <w:sectPr>
          <w:pgSz w:w="11900" w:h="16838" w:orient="portrait"/>
          <w:cols w:equalWidth="0" w:num="1">
            <w:col w:w="11412"/>
          </w:cols>
          <w:pgMar w:left="248" w:top="274"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Kenneth M. Jacobs, certify that:</w:t>
      </w:r>
    </w:p>
    <w:p>
      <w:pPr>
        <w:spacing w:after="0" w:line="158" w:lineRule="exact"/>
        <w:rPr>
          <w:sz w:val="20"/>
          <w:szCs w:val="20"/>
          <w:color w:val="auto"/>
        </w:rPr>
      </w:pPr>
    </w:p>
    <w:p>
      <w:pPr>
        <w:ind w:left="640" w:hanging="176"/>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2010 of Lazard Ltd (the “Registrant”);</w:t>
      </w:r>
    </w:p>
    <w:p>
      <w:pPr>
        <w:spacing w:after="0" w:line="157"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460" w:right="320" w:firstLine="443"/>
        <w:spacing w:after="0" w:line="262" w:lineRule="auto"/>
        <w:tabs>
          <w:tab w:leader="none" w:pos="113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1" w:lineRule="exact"/>
        <w:rPr>
          <w:rFonts w:ascii="Times New Roman" w:cs="Times New Roman" w:eastAsia="Times New Roman" w:hAnsi="Times New Roman"/>
          <w:sz w:val="18"/>
          <w:szCs w:val="18"/>
          <w:color w:val="auto"/>
        </w:rPr>
      </w:pPr>
    </w:p>
    <w:p>
      <w:pPr>
        <w:ind w:left="4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460" w:right="760" w:firstLine="443"/>
        <w:spacing w:after="0" w:line="275" w:lineRule="auto"/>
        <w:tabs>
          <w:tab w:leader="none" w:pos="113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460" w:right="160" w:firstLine="443"/>
        <w:spacing w:after="0" w:line="262" w:lineRule="auto"/>
        <w:tabs>
          <w:tab w:leader="none" w:pos="114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right="400" w:firstLine="464"/>
        <w:spacing w:after="0" w:line="275" w:lineRule="auto"/>
        <w:tabs>
          <w:tab w:leader="none" w:pos="6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13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460" w:right="120" w:firstLine="443"/>
        <w:spacing w:after="0" w:line="275" w:lineRule="auto"/>
        <w:tabs>
          <w:tab w:leader="none" w:pos="114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2010</w:t>
      </w:r>
    </w:p>
    <w:p>
      <w:pPr>
        <w:spacing w:after="0" w:line="37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137"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Michael J. Castellano, certify that:</w:t>
      </w:r>
    </w:p>
    <w:p>
      <w:pPr>
        <w:spacing w:after="0" w:line="158" w:lineRule="exact"/>
        <w:rPr>
          <w:sz w:val="20"/>
          <w:szCs w:val="20"/>
          <w:color w:val="auto"/>
        </w:rPr>
      </w:pPr>
    </w:p>
    <w:p>
      <w:pPr>
        <w:ind w:left="640" w:hanging="17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2010 of Lazard Ltd (the “Registrant”);</w:t>
      </w:r>
    </w:p>
    <w:p>
      <w:pPr>
        <w:spacing w:after="0" w:line="157"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460" w:right="320" w:firstLine="443"/>
        <w:spacing w:after="0" w:line="262" w:lineRule="auto"/>
        <w:tabs>
          <w:tab w:leader="none" w:pos="113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1" w:lineRule="exact"/>
        <w:rPr>
          <w:rFonts w:ascii="Times New Roman" w:cs="Times New Roman" w:eastAsia="Times New Roman" w:hAnsi="Times New Roman"/>
          <w:sz w:val="18"/>
          <w:szCs w:val="18"/>
          <w:color w:val="auto"/>
        </w:rPr>
      </w:pPr>
    </w:p>
    <w:p>
      <w:pPr>
        <w:ind w:left="4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460" w:right="760" w:firstLine="443"/>
        <w:spacing w:after="0" w:line="275" w:lineRule="auto"/>
        <w:tabs>
          <w:tab w:leader="none" w:pos="113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460" w:right="160" w:firstLine="443"/>
        <w:spacing w:after="0" w:line="262" w:lineRule="auto"/>
        <w:tabs>
          <w:tab w:leader="none" w:pos="114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right="400" w:firstLine="464"/>
        <w:spacing w:after="0" w:line="275" w:lineRule="auto"/>
        <w:tabs>
          <w:tab w:leader="none" w:pos="63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13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460" w:right="120" w:firstLine="443"/>
        <w:spacing w:after="0" w:line="275" w:lineRule="auto"/>
        <w:tabs>
          <w:tab w:leader="none" w:pos="114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2010</w:t>
      </w:r>
    </w:p>
    <w:p>
      <w:pPr>
        <w:spacing w:after="0" w:line="37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Michael J. Castellano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36"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Pursuant to 18 U.S.C. § 1350, the undersigned officer of Lazard Ltd (the “Registrant”) hereby certifies that the Registrant’s Quarterly Report on Form 10-Q for the quarter ended September 30, 2010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59"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37"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Pursuant to 18 U.S.C. § 1350, the undersigned officer of Lazard Ltd (the “Registrant”) hereby certifies that the Registrant’s Quarterly Report on Form 10-Q for the quarter ended September 30, 2010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Michael J. Castellano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45"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3"/>
    </w:lvl>
  </w:abstractNum>
  <w:abstractNum w:abstractNumId="7">
    <w:nsid w:val="8138641"/>
    <w:multiLevelType w:val="hybridMultilevel"/>
    <w:lvl w:ilvl="0">
      <w:lvlJc w:val="left"/>
      <w:lvlText w:val="%1."/>
      <w:numFmt w:val="decimal"/>
      <w:start w:val="4"/>
    </w:lvl>
  </w:abstractNum>
  <w:abstractNum w:abstractNumId="8">
    <w:nsid w:val="1E7FF521"/>
    <w:multiLevelType w:val="hybridMultilevel"/>
    <w:lvl w:ilvl="0">
      <w:lvlJc w:val="left"/>
      <w:lvlText w:val="%1."/>
      <w:numFmt w:val="decimal"/>
      <w:start w:val="5"/>
    </w:lvl>
  </w:abstractNum>
  <w:abstractNum w:abstractNumId="9">
    <w:nsid w:val="7C3DBD3D"/>
    <w:multiLevelType w:val="hybridMultilevel"/>
    <w:lvl w:ilvl="0">
      <w:lvlJc w:val="left"/>
      <w:lvlText w:val="%1."/>
      <w:numFmt w:val="decimal"/>
      <w:start w:val="6"/>
    </w:lvl>
  </w:abstractNum>
  <w:abstractNum w:abstractNumId="10">
    <w:nsid w:val="737B8DDC"/>
    <w:multiLevelType w:val="hybridMultilevel"/>
    <w:lvl w:ilvl="0">
      <w:lvlJc w:val="left"/>
      <w:lvlText w:val="%1."/>
      <w:numFmt w:val="decimal"/>
      <w:start w:val="7"/>
    </w:lvl>
  </w:abstractNum>
  <w:abstractNum w:abstractNumId="11">
    <w:nsid w:val="6CEAF087"/>
    <w:multiLevelType w:val="hybridMultilevel"/>
    <w:lvl w:ilvl="0">
      <w:lvlJc w:val="left"/>
      <w:lvlText w:val="%1."/>
      <w:numFmt w:val="decimal"/>
      <w:start w:val="8"/>
    </w:lvl>
  </w:abstractNum>
  <w:abstractNum w:abstractNumId="12">
    <w:nsid w:val="22221A70"/>
    <w:multiLevelType w:val="hybridMultilevel"/>
    <w:lvl w:ilvl="0">
      <w:lvlJc w:val="left"/>
      <w:lvlText w:val="(%1)"/>
      <w:numFmt w:val="lowerLetter"/>
      <w:start w:val="1"/>
    </w:lvl>
  </w:abstractNum>
  <w:abstractNum w:abstractNumId="13">
    <w:nsid w:val="4516DDE9"/>
    <w:multiLevelType w:val="hybridMultilevel"/>
    <w:lvl w:ilvl="0">
      <w:lvlJc w:val="left"/>
      <w:lvlText w:val="%1."/>
      <w:numFmt w:val="decimal"/>
      <w:start w:val="10"/>
    </w:lvl>
  </w:abstractNum>
  <w:abstractNum w:abstractNumId="14">
    <w:nsid w:val="3006C83E"/>
    <w:multiLevelType w:val="hybridMultilevel"/>
    <w:lvl w:ilvl="0">
      <w:lvlJc w:val="left"/>
      <w:lvlText w:val="(%1)"/>
      <w:numFmt w:val="lowerLetter"/>
      <w:start w:val="1"/>
    </w:lvl>
  </w:abstractNum>
  <w:abstractNum w:abstractNumId="15">
    <w:nsid w:val="614FD4A1"/>
    <w:multiLevelType w:val="hybridMultilevel"/>
    <w:lvl w:ilvl="0">
      <w:lvlJc w:val="left"/>
      <w:lvlText w:val="%1."/>
      <w:numFmt w:val="decimal"/>
      <w:start w:val="11"/>
    </w:lvl>
  </w:abstractNum>
  <w:abstractNum w:abstractNumId="16">
    <w:nsid w:val="419AC241"/>
    <w:multiLevelType w:val="hybridMultilevel"/>
    <w:lvl w:ilvl="0">
      <w:lvlJc w:val="left"/>
      <w:lvlText w:val="%1."/>
      <w:numFmt w:val="decimal"/>
      <w:start w:val="12"/>
    </w:lvl>
  </w:abstractNum>
  <w:abstractNum w:abstractNumId="17">
    <w:nsid w:val="5577F8E1"/>
    <w:multiLevelType w:val="hybridMultilevel"/>
    <w:lvl w:ilvl="0">
      <w:lvlJc w:val="left"/>
      <w:lvlText w:val="%1."/>
      <w:numFmt w:val="decimal"/>
      <w:start w:val="13"/>
    </w:lvl>
  </w:abstractNum>
  <w:abstractNum w:abstractNumId="18">
    <w:nsid w:val="440BADFC"/>
    <w:multiLevelType w:val="hybridMultilevel"/>
    <w:lvl w:ilvl="0">
      <w:lvlJc w:val="left"/>
      <w:lvlText w:val="(%1)"/>
      <w:numFmt w:val="lowerLetter"/>
      <w:start w:val="1"/>
    </w:lvl>
  </w:abstractNum>
  <w:abstractNum w:abstractNumId="19">
    <w:nsid w:val="5072367"/>
    <w:multiLevelType w:val="hybridMultilevel"/>
    <w:lvl w:ilvl="0">
      <w:lvlJc w:val="left"/>
      <w:lvlText w:val="%1."/>
      <w:numFmt w:val="decimal"/>
      <w:start w:val="14"/>
    </w:lvl>
  </w:abstractNum>
  <w:abstractNum w:abstractNumId="20">
    <w:nsid w:val="3804823E"/>
    <w:multiLevelType w:val="hybridMultilevel"/>
    <w:lvl w:ilvl="0">
      <w:lvlJc w:val="left"/>
      <w:lvlText w:val="%1."/>
      <w:numFmt w:val="decimal"/>
      <w:start w:val="15"/>
    </w:lvl>
  </w:abstractNum>
  <w:abstractNum w:abstractNumId="21">
    <w:nsid w:val="77465F01"/>
    <w:multiLevelType w:val="hybridMultilevel"/>
    <w:lvl w:ilvl="0">
      <w:lvlJc w:val="left"/>
      <w:lvlText w:val="%1."/>
      <w:numFmt w:val="decimal"/>
      <w:start w:val="16"/>
    </w:lvl>
  </w:abstractNum>
  <w:abstractNum w:abstractNumId="22">
    <w:nsid w:val="7724C67E"/>
    <w:multiLevelType w:val="hybridMultilevel"/>
    <w:lvl w:ilvl="0">
      <w:lvlJc w:val="left"/>
      <w:lvlText w:val="%1."/>
      <w:numFmt w:val="decimal"/>
      <w:start w:val="17"/>
    </w:lvl>
  </w:abstractNum>
  <w:abstractNum w:abstractNumId="23">
    <w:nsid w:val="5C482A97"/>
    <w:multiLevelType w:val="hybridMultilevel"/>
    <w:lvl w:ilvl="0">
      <w:lvlJc w:val="left"/>
      <w:lvlText w:val="%1."/>
      <w:numFmt w:val="decimal"/>
      <w:start w:val="18"/>
    </w:lvl>
  </w:abstractNum>
  <w:abstractNum w:abstractNumId="24">
    <w:nsid w:val="2463B9EA"/>
    <w:multiLevelType w:val="hybridMultilevel"/>
    <w:lvl w:ilvl="0">
      <w:lvlJc w:val="left"/>
      <w:lvlText w:val="%1."/>
      <w:numFmt w:val="decimal"/>
      <w:start w:val="19"/>
    </w:lvl>
  </w:abstractNum>
  <w:abstractNum w:abstractNumId="25">
    <w:nsid w:val="5E884ADC"/>
    <w:multiLevelType w:val="hybridMultilevel"/>
    <w:lvl w:ilvl="0">
      <w:lvlJc w:val="left"/>
      <w:lvlText w:val="%1."/>
      <w:numFmt w:val="decimal"/>
      <w:start w:val="20"/>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Letter"/>
      <w:start w:val="2"/>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lowerLetter"/>
      <w:start w:val="2"/>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lowerLetter"/>
      <w:start w:val="1"/>
    </w:lvl>
    <w:lvl w:ilvl="1">
      <w:lvlJc w:val="left"/>
      <w:lvlText w:val="•"/>
      <w:numFmt w:val="bullet"/>
      <w:start w:val="1"/>
    </w:lvl>
  </w:abstractNum>
  <w:abstractNum w:abstractNumId="49">
    <w:nsid w:val="1BA026FA"/>
    <w:multiLevelType w:val="hybridMultilevel"/>
    <w:lvl w:ilvl="0">
      <w:lvlJc w:val="left"/>
      <w:lvlText w:val="(%1)"/>
      <w:numFmt w:val="lowerLetter"/>
      <w:start w:val="7"/>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2019-12-20T20:33:35Z</dcterms:created>
  <dcterms:modified xsi:type="dcterms:W3CDTF">2019-12-20T20:33:35Z</dcterms:modified>
</cp:coreProperties>
</file>