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580" w:type="dxa"/>
        <w:tblCellMar>
          <w:top w:w="0" w:type="dxa"/>
          <w:left w:w="0" w:type="dxa"/>
          <w:bottom w:w="0" w:type="dxa"/>
          <w:right w:w="0" w:type="dxa"/>
        </w:tblCellMar>
      </w:tblPr>
      <w:tr>
        <w:trPr>
          <w:trHeight w:val="204"/>
        </w:trPr>
        <w:tc>
          <w:tcPr>
            <w:tcW w:w="2320" w:type="dxa"/>
            <w:vAlign w:val="bottom"/>
          </w:tcPr>
          <w:p>
            <w:pPr>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line="204" w:lineRule="exact"/>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76"/>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tbl>
      <w:tblPr>
        <w:tblLayout w:type="fixed"/>
        <w:tblInd w:w="1620" w:type="dxa"/>
        <w:tblCellMar>
          <w:top w:w="0" w:type="dxa"/>
          <w:left w:w="0" w:type="dxa"/>
          <w:bottom w:w="0" w:type="dxa"/>
          <w:right w:w="0" w:type="dxa"/>
        </w:tblCellMar>
      </w:tblPr>
      <w:tr>
        <w:trPr>
          <w:trHeight w:val="530"/>
        </w:trPr>
        <w:tc>
          <w:tcPr>
            <w:tcW w:w="5960" w:type="dxa"/>
            <w:vAlign w:val="bottom"/>
            <w:gridSpan w:val="3"/>
          </w:tcPr>
          <w:p>
            <w:pPr>
              <w:jc w:val="center"/>
              <w:ind w:left="2123"/>
              <w:spacing w:after="0"/>
              <w:rPr>
                <w:sz w:val="20"/>
                <w:szCs w:val="20"/>
                <w:color w:val="auto"/>
              </w:rPr>
            </w:pPr>
            <w:r>
              <w:rPr>
                <w:rFonts w:ascii="Arial" w:cs="Arial" w:eastAsia="Arial" w:hAnsi="Arial"/>
                <w:sz w:val="43"/>
                <w:szCs w:val="43"/>
                <w:b w:val="1"/>
                <w:bCs w:val="1"/>
                <w:color w:val="auto"/>
              </w:rPr>
              <w:t>LAZARD LTD</w:t>
            </w:r>
          </w:p>
        </w:tc>
        <w:tc>
          <w:tcPr>
            <w:tcW w:w="2200" w:type="dxa"/>
            <w:vAlign w:val="bottom"/>
          </w:tcPr>
          <w:p>
            <w:pPr>
              <w:spacing w:after="0"/>
              <w:rPr>
                <w:sz w:val="24"/>
                <w:szCs w:val="24"/>
                <w:color w:val="auto"/>
              </w:rPr>
            </w:pPr>
          </w:p>
        </w:tc>
      </w:tr>
      <w:tr>
        <w:trPr>
          <w:trHeight w:val="174"/>
        </w:trPr>
        <w:tc>
          <w:tcPr>
            <w:tcW w:w="5960" w:type="dxa"/>
            <w:vAlign w:val="bottom"/>
            <w:gridSpan w:val="3"/>
          </w:tcPr>
          <w:p>
            <w:pPr>
              <w:jc w:val="center"/>
              <w:ind w:left="212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2200" w:type="dxa"/>
            <w:vAlign w:val="bottom"/>
          </w:tcPr>
          <w:p>
            <w:pPr>
              <w:spacing w:after="0"/>
              <w:rPr>
                <w:sz w:val="15"/>
                <w:szCs w:val="15"/>
                <w:color w:val="auto"/>
              </w:rPr>
            </w:pPr>
          </w:p>
        </w:tc>
      </w:tr>
      <w:tr>
        <w:trPr>
          <w:trHeight w:val="258"/>
        </w:trPr>
        <w:tc>
          <w:tcPr>
            <w:tcW w:w="596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9"/>
              </w:rPr>
              <w:t>Bermuda</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98-0437848</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49"/>
        </w:trPr>
        <w:tc>
          <w:tcPr>
            <w:tcW w:w="29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49"/>
        </w:trPr>
        <w:tc>
          <w:tcPr>
            <w:tcW w:w="2900" w:type="dxa"/>
            <w:vAlign w:val="bottom"/>
          </w:tcPr>
          <w:p>
            <w:pPr>
              <w:spacing w:after="0"/>
              <w:rPr>
                <w:sz w:val="21"/>
                <w:szCs w:val="21"/>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7"/>
              </w:rPr>
              <w:t>Clarendon House</w:t>
            </w:r>
          </w:p>
        </w:tc>
        <w:tc>
          <w:tcPr>
            <w:tcW w:w="2200" w:type="dxa"/>
            <w:vAlign w:val="bottom"/>
          </w:tcPr>
          <w:p>
            <w:pPr>
              <w:spacing w:after="0"/>
              <w:rPr>
                <w:sz w:val="21"/>
                <w:szCs w:val="21"/>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2 Church Street</w:t>
            </w:r>
          </w:p>
        </w:tc>
        <w:tc>
          <w:tcPr>
            <w:tcW w:w="22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2"/>
              </w:rPr>
              <w:t>Hamilton HM11, Bermuda</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23"/>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70"/>
        </w:trPr>
        <w:tc>
          <w:tcPr>
            <w:tcW w:w="5960" w:type="dxa"/>
            <w:vAlign w:val="bottom"/>
            <w:gridSpan w:val="3"/>
          </w:tcPr>
          <w:p>
            <w:pPr>
              <w:jc w:val="center"/>
              <w:ind w:left="2143"/>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220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right="980" w:firstLine="342"/>
        <w:spacing w:after="0" w:line="268" w:lineRule="auto"/>
        <w:rPr>
          <w:sz w:val="20"/>
          <w:szCs w:val="20"/>
          <w:color w:val="auto"/>
        </w:rPr>
      </w:pPr>
      <w:r>
        <w:rPr>
          <w:rFonts w:ascii="Arial" w:cs="Arial" w:eastAsia="Arial" w:hAnsi="Arial"/>
          <w:sz w:val="18"/>
          <w:szCs w:val="18"/>
          <w:color w:val="auto"/>
        </w:rPr>
        <w:t>As of October 20, 2014, there were 129,766,091 shares of the Registrant’s Class A common stock outstanding (including 7,602,792 shares held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material operating assets other than indirect ownership as of September 30, 2014 of all of the common membership interests in Lazard Group and its controlling interest in Lazard Group.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82">
              <w:r>
                <w:rPr>
                  <w:rFonts w:ascii="Arial" w:cs="Arial" w:eastAsia="Arial" w:hAnsi="Arial"/>
                  <w:sz w:val="18"/>
                  <w:szCs w:val="18"/>
                  <w:b w:val="1"/>
                  <w:bCs w:val="1"/>
                  <w:color w:val="0000EE"/>
                  <w:w w:val="94"/>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7"/>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40" w:type="dxa"/>
            <w:vAlign w:val="bottom"/>
            <w:gridSpan w:val="8"/>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Financial Condition as of September 30, 2014 and December 31, 2013</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8"/>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Statements of Operations for the three month and nine month periods ended September 30, 2014 and 2013</w:t>
              </w:r>
            </w:hyperlink>
          </w:p>
        </w:tc>
        <w:tc>
          <w:tcPr>
            <w:tcW w:w="17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018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for the three month and nine month periods ended September 30, 2014 and 2013</w:t>
              </w:r>
            </w:hyperlink>
          </w:p>
        </w:tc>
        <w:tc>
          <w:tcPr>
            <w:tcW w:w="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nine month periods ended September 30, 2014 and 2013</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4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Condensed Consolidated Statements of Changes in Stockholders’ Equity for the nine month periods ended September 30, 2014 and 2013</w:t>
              </w:r>
            </w:hyperlink>
          </w:p>
        </w:tc>
        <w:tc>
          <w:tcPr>
            <w:tcW w:w="14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78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3900" w:type="dxa"/>
            <w:vAlign w:val="bottom"/>
          </w:tcPr>
          <w:p>
            <w:pPr>
              <w:jc w:val="right"/>
              <w:ind w:right="1952"/>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AND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44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820,584</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841,482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 and short-term investments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244,879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44,710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62,046</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89"/>
              </w:rPr>
              <w:t>Receivables (net of allowance for doubtful accounts of $29,859 and $28,777 at September 30, 2014 and December 31, 2013,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Fees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429,477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549,922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478,105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w w:val="89"/>
              </w:rPr>
              <w:t>Property (net of accumulated amortization and depreciation of $257,512 and $253,930 at September 30, 2014 and December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31, 2013, respectively)</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227,359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248,796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92"/>
              </w:rPr>
              <w:t>Goodwill and other intangible assets (net of accumulated amortization of $51,325 and $45,379 at September 30, 2014 and</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2013, respectively)</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356,254</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363,877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295,418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3,042,890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3,011,137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AND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278,334</w:t>
            </w:r>
          </w:p>
        </w:tc>
        <w:tc>
          <w:tcPr>
            <w:tcW w:w="4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275,434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517,640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1,048,350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1,048,350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11,952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536,065</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2,405,230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2,381,139</w:t>
            </w: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Series A - 7,921 shares issued and outstanding at September 30, 2014 and December 31, 2013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Class A, par value $.01 per share (500,000,000 shares authorized;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w w:val="92"/>
              </w:rPr>
              <w:t>129,766,091 and 129,056,081 shares issued and outstanding at September 30, 2014 and December 31, 2013,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rPr>
              <w:t>respectively, including shares held by subsidiaries as indicated below)</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1,298</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Class B, par value $.01 per share (1 share authorized, issued and outstanding at December 31, 2013)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657,279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737,899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333,294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2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(152,184)</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(133,004)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839,687</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7"/>
              </w:rPr>
              <w:t>Class A common stock held by subsidiaries, at cost (7,602,792 and 8,317,065 shares at September 30, 2014 and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December 31, 2013, respectively)</w:t>
            </w:r>
          </w:p>
        </w:tc>
        <w:tc>
          <w:tcPr>
            <w:tcW w:w="12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(267,117)</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(249,213)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Lazard Ltd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572,570</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65,090</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637,660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3,042,890</w:t>
            </w:r>
          </w:p>
        </w:tc>
        <w:tc>
          <w:tcPr>
            <w:tcW w:w="4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3,011,137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280" w:type="dxa"/>
            <w:vAlign w:val="bottom"/>
            <w:gridSpan w:val="3"/>
          </w:tcPr>
          <w:p>
            <w:pPr>
              <w:jc w:val="right"/>
              <w:ind w:right="433"/>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280" w:type="dxa"/>
            <w:vAlign w:val="bottom"/>
            <w:gridSpan w:val="3"/>
          </w:tcPr>
          <w:p>
            <w:pPr>
              <w:jc w:val="right"/>
              <w:ind w:right="633"/>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24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040" w:type="dxa"/>
            <w:vAlign w:val="bottom"/>
          </w:tcPr>
          <w:p>
            <w:pPr>
              <w:jc w:val="right"/>
              <w:spacing w:after="0"/>
              <w:rPr>
                <w:sz w:val="20"/>
                <w:szCs w:val="20"/>
                <w:color w:val="auto"/>
              </w:rPr>
            </w:pPr>
            <w:r>
              <w:rPr>
                <w:rFonts w:ascii="Arial" w:cs="Arial" w:eastAsia="Arial" w:hAnsi="Arial"/>
                <w:sz w:val="18"/>
                <w:szCs w:val="18"/>
                <w:color w:val="auto"/>
              </w:rPr>
              <w:t>$290,604</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$232,006</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$843,186</w:t>
            </w:r>
          </w:p>
        </w:tc>
        <w:tc>
          <w:tcPr>
            <w:tcW w:w="1060" w:type="dxa"/>
            <w:vAlign w:val="bottom"/>
          </w:tcPr>
          <w:p>
            <w:pPr>
              <w:jc w:val="right"/>
              <w:spacing w:after="0"/>
              <w:rPr>
                <w:sz w:val="20"/>
                <w:szCs w:val="20"/>
                <w:color w:val="auto"/>
              </w:rPr>
            </w:pPr>
            <w:r>
              <w:rPr>
                <w:rFonts w:ascii="Arial" w:cs="Arial" w:eastAsia="Arial" w:hAnsi="Arial"/>
                <w:sz w:val="18"/>
                <w:szCs w:val="18"/>
                <w:color w:val="auto"/>
              </w:rPr>
              <w:t>$660,351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management fees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276,940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241,478</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805,848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1,243</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1,347</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3,815</w:t>
            </w:r>
          </w:p>
        </w:tc>
        <w:tc>
          <w:tcPr>
            <w:tcW w:w="1060" w:type="dxa"/>
            <w:vAlign w:val="bottom"/>
          </w:tcPr>
          <w:p>
            <w:pPr>
              <w:jc w:val="right"/>
              <w:spacing w:after="0"/>
              <w:rPr>
                <w:sz w:val="20"/>
                <w:szCs w:val="20"/>
                <w:color w:val="auto"/>
              </w:rPr>
            </w:pPr>
            <w:r>
              <w:rPr>
                <w:rFonts w:ascii="Arial" w:cs="Arial" w:eastAsia="Arial" w:hAnsi="Arial"/>
                <w:sz w:val="18"/>
                <w:szCs w:val="18"/>
                <w:color w:val="auto"/>
              </w:rPr>
              <w:t>3,823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60,832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860"/>
              <w:spacing w:after="0"/>
              <w:rPr>
                <w:sz w:val="20"/>
                <w:szCs w:val="20"/>
                <w:color w:val="auto"/>
              </w:rPr>
            </w:pPr>
            <w:r>
              <w:rPr>
                <w:rFonts w:ascii="Arial" w:cs="Arial" w:eastAsia="Arial" w:hAnsi="Arial"/>
                <w:sz w:val="18"/>
                <w:szCs w:val="18"/>
                <w:color w:val="auto"/>
              </w:rPr>
              <w:t>Total revenue</w:t>
            </w: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581,723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500,523</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1,713,681</w:t>
            </w:r>
          </w:p>
        </w:tc>
        <w:tc>
          <w:tcPr>
            <w:tcW w:w="1060" w:type="dxa"/>
            <w:vAlign w:val="bottom"/>
          </w:tcPr>
          <w:p>
            <w:pPr>
              <w:jc w:val="right"/>
              <w:spacing w:after="0"/>
              <w:rPr>
                <w:sz w:val="20"/>
                <w:szCs w:val="20"/>
                <w:color w:val="auto"/>
              </w:rPr>
            </w:pPr>
            <w:r>
              <w:rPr>
                <w:rFonts w:ascii="Arial" w:cs="Arial" w:eastAsia="Arial" w:hAnsi="Arial"/>
                <w:sz w:val="18"/>
                <w:szCs w:val="18"/>
                <w:color w:val="auto"/>
              </w:rPr>
              <w:t>1,433,297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47,174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860"/>
              <w:spacing w:after="0"/>
              <w:rPr>
                <w:sz w:val="20"/>
                <w:szCs w:val="20"/>
                <w:color w:val="auto"/>
              </w:rPr>
            </w:pPr>
            <w:r>
              <w:rPr>
                <w:rFonts w:ascii="Arial" w:cs="Arial" w:eastAsia="Arial" w:hAnsi="Arial"/>
                <w:sz w:val="18"/>
                <w:szCs w:val="18"/>
                <w:color w:val="auto"/>
              </w:rPr>
              <w:t>Net revenue</w:t>
            </w: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566,211</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480,354</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1,666,507</w:t>
            </w:r>
          </w:p>
        </w:tc>
        <w:tc>
          <w:tcPr>
            <w:tcW w:w="1060" w:type="dxa"/>
            <w:vAlign w:val="bottom"/>
          </w:tcPr>
          <w:p>
            <w:pPr>
              <w:jc w:val="right"/>
              <w:spacing w:after="0"/>
              <w:rPr>
                <w:sz w:val="20"/>
                <w:szCs w:val="20"/>
                <w:color w:val="auto"/>
              </w:rPr>
            </w:pPr>
            <w:r>
              <w:rPr>
                <w:rFonts w:ascii="Arial" w:cs="Arial" w:eastAsia="Arial" w:hAnsi="Arial"/>
                <w:sz w:val="18"/>
                <w:szCs w:val="18"/>
                <w:color w:val="auto"/>
              </w:rPr>
              <w:t>1,372,662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1040" w:type="dxa"/>
            <w:vAlign w:val="bottom"/>
          </w:tcPr>
          <w:p>
            <w:pPr>
              <w:jc w:val="right"/>
              <w:spacing w:after="0"/>
              <w:rPr>
                <w:sz w:val="20"/>
                <w:szCs w:val="20"/>
                <w:color w:val="auto"/>
              </w:rPr>
            </w:pPr>
            <w:r>
              <w:rPr>
                <w:rFonts w:ascii="Arial" w:cs="Arial" w:eastAsia="Arial" w:hAnsi="Arial"/>
                <w:sz w:val="18"/>
                <w:szCs w:val="18"/>
                <w:color w:val="auto"/>
              </w:rPr>
              <w:t>338,612</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301,809</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1,006,101</w:t>
            </w:r>
          </w:p>
        </w:tc>
        <w:tc>
          <w:tcPr>
            <w:tcW w:w="1060" w:type="dxa"/>
            <w:vAlign w:val="bottom"/>
          </w:tcPr>
          <w:p>
            <w:pPr>
              <w:jc w:val="right"/>
              <w:spacing w:after="0"/>
              <w:rPr>
                <w:sz w:val="20"/>
                <w:szCs w:val="20"/>
                <w:color w:val="auto"/>
              </w:rPr>
            </w:pPr>
            <w:r>
              <w:rPr>
                <w:rFonts w:ascii="Arial" w:cs="Arial" w:eastAsia="Arial" w:hAnsi="Arial"/>
                <w:sz w:val="18"/>
                <w:szCs w:val="18"/>
                <w:color w:val="auto"/>
              </w:rPr>
              <w:t>910,679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 and equipment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27,393</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86,079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Marketing and business development</w:t>
            </w:r>
          </w:p>
        </w:tc>
        <w:tc>
          <w:tcPr>
            <w:tcW w:w="1040" w:type="dxa"/>
            <w:vAlign w:val="bottom"/>
          </w:tcPr>
          <w:p>
            <w:pPr>
              <w:jc w:val="right"/>
              <w:spacing w:after="0"/>
              <w:rPr>
                <w:sz w:val="20"/>
                <w:szCs w:val="20"/>
                <w:color w:val="auto"/>
              </w:rPr>
            </w:pPr>
            <w:r>
              <w:rPr>
                <w:rFonts w:ascii="Arial" w:cs="Arial" w:eastAsia="Arial" w:hAnsi="Arial"/>
                <w:sz w:val="18"/>
                <w:szCs w:val="18"/>
                <w:color w:val="auto"/>
              </w:rPr>
              <w:t>19,127</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17,077</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59,254</w:t>
            </w:r>
          </w:p>
        </w:tc>
        <w:tc>
          <w:tcPr>
            <w:tcW w:w="1060" w:type="dxa"/>
            <w:vAlign w:val="bottom"/>
          </w:tcPr>
          <w:p>
            <w:pPr>
              <w:jc w:val="right"/>
              <w:spacing w:after="0"/>
              <w:rPr>
                <w:sz w:val="20"/>
                <w:szCs w:val="20"/>
                <w:color w:val="auto"/>
              </w:rPr>
            </w:pPr>
            <w:r>
              <w:rPr>
                <w:rFonts w:ascii="Arial" w:cs="Arial" w:eastAsia="Arial" w:hAnsi="Arial"/>
                <w:sz w:val="18"/>
                <w:szCs w:val="18"/>
                <w:color w:val="auto"/>
              </w:rPr>
              <w:t>60,646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information services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23,025</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22,217</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68,466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Professional services</w:t>
            </w:r>
          </w:p>
        </w:tc>
        <w:tc>
          <w:tcPr>
            <w:tcW w:w="1040" w:type="dxa"/>
            <w:vAlign w:val="bottom"/>
          </w:tcPr>
          <w:p>
            <w:pPr>
              <w:jc w:val="right"/>
              <w:spacing w:after="0"/>
              <w:rPr>
                <w:sz w:val="20"/>
                <w:szCs w:val="20"/>
                <w:color w:val="auto"/>
              </w:rPr>
            </w:pPr>
            <w:r>
              <w:rPr>
                <w:rFonts w:ascii="Arial" w:cs="Arial" w:eastAsia="Arial" w:hAnsi="Arial"/>
                <w:sz w:val="18"/>
                <w:szCs w:val="18"/>
                <w:color w:val="auto"/>
              </w:rPr>
              <w:t>11,184</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12,904</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32,895</w:t>
            </w:r>
          </w:p>
        </w:tc>
        <w:tc>
          <w:tcPr>
            <w:tcW w:w="1060" w:type="dxa"/>
            <w:vAlign w:val="bottom"/>
          </w:tcPr>
          <w:p>
            <w:pPr>
              <w:jc w:val="right"/>
              <w:spacing w:after="0"/>
              <w:rPr>
                <w:sz w:val="20"/>
                <w:szCs w:val="20"/>
                <w:color w:val="auto"/>
              </w:rPr>
            </w:pPr>
            <w:r>
              <w:rPr>
                <w:rFonts w:ascii="Arial" w:cs="Arial" w:eastAsia="Arial" w:hAnsi="Arial"/>
                <w:sz w:val="18"/>
                <w:szCs w:val="18"/>
                <w:color w:val="auto"/>
              </w:rPr>
              <w:t>32,223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14,475</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48,490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040" w:type="dxa"/>
            <w:vAlign w:val="bottom"/>
          </w:tcPr>
          <w:p>
            <w:pPr>
              <w:jc w:val="right"/>
              <w:spacing w:after="0"/>
              <w:rPr>
                <w:sz w:val="20"/>
                <w:szCs w:val="20"/>
                <w:color w:val="auto"/>
              </w:rPr>
            </w:pPr>
            <w:r>
              <w:rPr>
                <w:rFonts w:ascii="Arial" w:cs="Arial" w:eastAsia="Arial" w:hAnsi="Arial"/>
                <w:sz w:val="18"/>
                <w:szCs w:val="18"/>
                <w:color w:val="auto"/>
              </w:rPr>
              <w:t>4,020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877</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5,946</w:t>
            </w:r>
          </w:p>
        </w:tc>
        <w:tc>
          <w:tcPr>
            <w:tcW w:w="1060" w:type="dxa"/>
            <w:vAlign w:val="bottom"/>
          </w:tcPr>
          <w:p>
            <w:pPr>
              <w:jc w:val="right"/>
              <w:spacing w:after="0"/>
              <w:rPr>
                <w:sz w:val="20"/>
                <w:szCs w:val="20"/>
                <w:color w:val="auto"/>
              </w:rPr>
            </w:pPr>
            <w:r>
              <w:rPr>
                <w:rFonts w:ascii="Arial" w:cs="Arial" w:eastAsia="Arial" w:hAnsi="Arial"/>
                <w:sz w:val="18"/>
                <w:szCs w:val="18"/>
                <w:color w:val="auto"/>
              </w:rPr>
              <w:t>2,758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(benefit) pursuant to tax receivable agreement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9,064</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Other</w:t>
            </w:r>
          </w:p>
        </w:tc>
        <w:tc>
          <w:tcPr>
            <w:tcW w:w="1040" w:type="dxa"/>
            <w:vAlign w:val="bottom"/>
          </w:tcPr>
          <w:p>
            <w:pPr>
              <w:jc w:val="right"/>
              <w:spacing w:after="0"/>
              <w:rPr>
                <w:sz w:val="20"/>
                <w:szCs w:val="20"/>
                <w:color w:val="auto"/>
              </w:rPr>
            </w:pPr>
            <w:r>
              <w:rPr>
                <w:rFonts w:ascii="Arial" w:cs="Arial" w:eastAsia="Arial" w:hAnsi="Arial"/>
                <w:sz w:val="18"/>
                <w:szCs w:val="18"/>
                <w:color w:val="auto"/>
              </w:rPr>
              <w:t>10,273</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2,484</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30,340</w:t>
            </w:r>
          </w:p>
        </w:tc>
        <w:tc>
          <w:tcPr>
            <w:tcW w:w="1060" w:type="dxa"/>
            <w:vAlign w:val="bottom"/>
          </w:tcPr>
          <w:p>
            <w:pPr>
              <w:jc w:val="right"/>
              <w:spacing w:after="0"/>
              <w:rPr>
                <w:sz w:val="20"/>
                <w:szCs w:val="20"/>
                <w:color w:val="auto"/>
              </w:rPr>
            </w:pPr>
            <w:r>
              <w:rPr>
                <w:rFonts w:ascii="Arial" w:cs="Arial" w:eastAsia="Arial" w:hAnsi="Arial"/>
                <w:sz w:val="18"/>
                <w:szCs w:val="18"/>
                <w:color w:val="auto"/>
              </w:rPr>
              <w:t>17,609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452,499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399,236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1,346,635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1,229,009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2"/>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113,712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81,118</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319,872</w:t>
            </w:r>
          </w:p>
        </w:tc>
        <w:tc>
          <w:tcPr>
            <w:tcW w:w="1060" w:type="dxa"/>
            <w:vAlign w:val="bottom"/>
          </w:tcPr>
          <w:p>
            <w:pPr>
              <w:jc w:val="right"/>
              <w:spacing w:after="0"/>
              <w:rPr>
                <w:sz w:val="20"/>
                <w:szCs w:val="20"/>
                <w:color w:val="auto"/>
              </w:rPr>
            </w:pPr>
            <w:r>
              <w:rPr>
                <w:rFonts w:ascii="Arial" w:cs="Arial" w:eastAsia="Arial" w:hAnsi="Arial"/>
                <w:sz w:val="18"/>
                <w:szCs w:val="18"/>
                <w:color w:val="auto"/>
              </w:rPr>
              <w:t>143,653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58,614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00" w:type="dxa"/>
            <w:vAlign w:val="bottom"/>
            <w:gridSpan w:val="2"/>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89,920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62,748</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261,258</w:t>
            </w:r>
          </w:p>
        </w:tc>
        <w:tc>
          <w:tcPr>
            <w:tcW w:w="1060" w:type="dxa"/>
            <w:vAlign w:val="bottom"/>
          </w:tcPr>
          <w:p>
            <w:pPr>
              <w:jc w:val="right"/>
              <w:spacing w:after="0"/>
              <w:rPr>
                <w:sz w:val="20"/>
                <w:szCs w:val="20"/>
                <w:color w:val="auto"/>
              </w:rPr>
            </w:pPr>
            <w:r>
              <w:rPr>
                <w:rFonts w:ascii="Arial" w:cs="Arial" w:eastAsia="Arial" w:hAnsi="Arial"/>
                <w:sz w:val="18"/>
                <w:szCs w:val="18"/>
                <w:color w:val="auto"/>
              </w:rPr>
              <w:t>112,318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2"/>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$88,859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$60,282</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$254,893</w:t>
            </w:r>
          </w:p>
        </w:tc>
        <w:tc>
          <w:tcPr>
            <w:tcW w:w="1060" w:type="dxa"/>
            <w:vAlign w:val="bottom"/>
          </w:tcPr>
          <w:p>
            <w:pPr>
              <w:jc w:val="right"/>
              <w:spacing w:after="0"/>
              <w:rPr>
                <w:sz w:val="20"/>
                <w:szCs w:val="20"/>
                <w:color w:val="auto"/>
              </w:rPr>
            </w:pPr>
            <w:r>
              <w:rPr>
                <w:rFonts w:ascii="Arial" w:cs="Arial" w:eastAsia="Arial" w:hAnsi="Arial"/>
                <w:sz w:val="18"/>
                <w:szCs w:val="18"/>
                <w:color w:val="auto"/>
              </w:rPr>
              <w:t>$106,995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 LAZARD LTD CLASS A COMMON STOCKHOLDERS: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b w:val="1"/>
                <w:bCs w:val="1"/>
                <w:color w:val="auto"/>
              </w:rPr>
              <w:t>WEIGHTED AVERAGE SHARES OF COMMON STOCK OUTSTANDING:</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122,206,914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122,199,954</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122,366,632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120,556,047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Diluted</w:t>
            </w:r>
          </w:p>
        </w:tc>
        <w:tc>
          <w:tcPr>
            <w:tcW w:w="1040" w:type="dxa"/>
            <w:vAlign w:val="bottom"/>
          </w:tcPr>
          <w:p>
            <w:pPr>
              <w:jc w:val="right"/>
              <w:spacing w:after="0"/>
              <w:rPr>
                <w:sz w:val="20"/>
                <w:szCs w:val="20"/>
                <w:color w:val="auto"/>
              </w:rPr>
            </w:pPr>
            <w:r>
              <w:rPr>
                <w:rFonts w:ascii="Arial" w:cs="Arial" w:eastAsia="Arial" w:hAnsi="Arial"/>
                <w:sz w:val="18"/>
                <w:szCs w:val="18"/>
                <w:color w:val="auto"/>
              </w:rPr>
              <w:t>133,566,684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134,242,144</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133,722,776</w:t>
            </w:r>
          </w:p>
        </w:tc>
        <w:tc>
          <w:tcPr>
            <w:tcW w:w="1060" w:type="dxa"/>
            <w:vAlign w:val="bottom"/>
          </w:tcPr>
          <w:p>
            <w:pPr>
              <w:jc w:val="right"/>
              <w:spacing w:after="0"/>
              <w:rPr>
                <w:sz w:val="20"/>
                <w:szCs w:val="20"/>
                <w:color w:val="auto"/>
              </w:rPr>
            </w:pPr>
            <w:r>
              <w:rPr>
                <w:rFonts w:ascii="Arial" w:cs="Arial" w:eastAsia="Arial" w:hAnsi="Arial"/>
                <w:sz w:val="18"/>
                <w:szCs w:val="18"/>
                <w:color w:val="auto"/>
              </w:rPr>
              <w:t>133,174,000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INCOME PER SHARE OF COMMON STOCK:</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Basic</w:t>
            </w:r>
          </w:p>
        </w:tc>
        <w:tc>
          <w:tcPr>
            <w:tcW w:w="1040" w:type="dxa"/>
            <w:vAlign w:val="bottom"/>
          </w:tcPr>
          <w:p>
            <w:pPr>
              <w:jc w:val="right"/>
              <w:spacing w:after="0"/>
              <w:rPr>
                <w:sz w:val="20"/>
                <w:szCs w:val="20"/>
                <w:color w:val="auto"/>
              </w:rPr>
            </w:pPr>
            <w:r>
              <w:rPr>
                <w:rFonts w:ascii="Arial" w:cs="Arial" w:eastAsia="Arial" w:hAnsi="Arial"/>
                <w:sz w:val="18"/>
                <w:szCs w:val="18"/>
                <w:color w:val="auto"/>
              </w:rPr>
              <w:t>$0.73</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$0.49</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$2.08</w:t>
            </w:r>
          </w:p>
        </w:tc>
        <w:tc>
          <w:tcPr>
            <w:tcW w:w="1060" w:type="dxa"/>
            <w:vAlign w:val="bottom"/>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Diluted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DIVIDENDS DECLARED PER SHARE OF COMMON STOCK</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$0.25</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$0.90</w:t>
            </w:r>
          </w:p>
        </w:tc>
        <w:tc>
          <w:tcPr>
            <w:tcW w:w="1060" w:type="dxa"/>
            <w:vAlign w:val="bottom"/>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660" w:type="dxa"/>
            <w:vAlign w:val="bottom"/>
            <w:gridSpan w:val="3"/>
          </w:tcPr>
          <w:p>
            <w:pPr>
              <w:jc w:val="right"/>
              <w:ind w:right="11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8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66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8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74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$ 89,920</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62,748</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261,258</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112,318</w:t>
            </w:r>
          </w:p>
        </w:tc>
        <w:tc>
          <w:tcPr>
            <w:tcW w:w="100" w:type="dxa"/>
            <w:vAlign w:val="bottom"/>
            <w:shd w:val="clear" w:color="auto" w:fill="CCEEFF"/>
          </w:tcPr>
          <w:p>
            <w:pPr>
              <w:spacing w:after="0"/>
              <w:rPr>
                <w:sz w:val="18"/>
                <w:szCs w:val="18"/>
                <w:color w:val="auto"/>
              </w:rPr>
            </w:pPr>
          </w:p>
        </w:tc>
      </w:tr>
      <w:tr>
        <w:trPr>
          <w:trHeight w:val="221"/>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70"/>
        </w:trPr>
        <w:tc>
          <w:tcPr>
            <w:tcW w:w="20" w:type="dxa"/>
            <w:vAlign w:val="bottom"/>
          </w:tcPr>
          <w:p>
            <w:pPr>
              <w:spacing w:after="0"/>
              <w:rPr>
                <w:sz w:val="6"/>
                <w:szCs w:val="6"/>
                <w:color w:val="auto"/>
              </w:rPr>
            </w:pPr>
          </w:p>
        </w:tc>
        <w:tc>
          <w:tcPr>
            <w:tcW w:w="7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(29,100)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12,157</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(18,640)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(18,610)</w:t>
            </w:r>
          </w:p>
        </w:tc>
      </w:tr>
      <w:tr>
        <w:trPr>
          <w:trHeight w:val="282"/>
        </w:trPr>
        <w:tc>
          <w:tcPr>
            <w:tcW w:w="20" w:type="dxa"/>
            <w:vAlign w:val="bottom"/>
          </w:tcPr>
          <w:p>
            <w:pPr>
              <w:spacing w:after="0"/>
              <w:rPr>
                <w:sz w:val="24"/>
                <w:szCs w:val="24"/>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264</w:t>
            </w:r>
          </w:p>
        </w:tc>
        <w:tc>
          <w:tcPr>
            <w:tcW w:w="420" w:type="dxa"/>
            <w:vAlign w:val="bottom"/>
          </w:tcPr>
          <w:p>
            <w:pPr>
              <w:spacing w:after="0"/>
              <w:rPr>
                <w:sz w:val="24"/>
                <w:szCs w:val="2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r>
      <w:tr>
        <w:trPr>
          <w:trHeight w:val="70"/>
        </w:trPr>
        <w:tc>
          <w:tcPr>
            <w:tcW w:w="20" w:type="dxa"/>
            <w:vAlign w:val="bottom"/>
          </w:tcPr>
          <w:p>
            <w:pPr>
              <w:spacing w:after="0"/>
              <w:rPr>
                <w:sz w:val="6"/>
                <w:szCs w:val="6"/>
                <w:color w:val="auto"/>
              </w:rPr>
            </w:pPr>
          </w:p>
        </w:tc>
        <w:tc>
          <w:tcPr>
            <w:tcW w:w="7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5"/>
        </w:trPr>
        <w:tc>
          <w:tcPr>
            <w:tcW w:w="20" w:type="dxa"/>
            <w:vAlign w:val="bottom"/>
          </w:tcPr>
          <w:p>
            <w:pPr>
              <w:spacing w:after="0"/>
              <w:rPr>
                <w:sz w:val="23"/>
                <w:szCs w:val="23"/>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w w:val="98"/>
              </w:rPr>
              <w:t>Actuarial gain (loss) (net of tax (expense) benefit of $(1,731) and $(25) for the three</w:t>
            </w: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060"/>
              <w:spacing w:after="0"/>
              <w:rPr>
                <w:sz w:val="20"/>
                <w:szCs w:val="20"/>
                <w:color w:val="auto"/>
              </w:rPr>
            </w:pPr>
            <w:r>
              <w:rPr>
                <w:rFonts w:ascii="Arial" w:cs="Arial" w:eastAsia="Arial" w:hAnsi="Arial"/>
                <w:sz w:val="18"/>
                <w:szCs w:val="18"/>
                <w:color w:val="auto"/>
                <w:w w:val="92"/>
              </w:rPr>
              <w:t>months ended September 30, 2014 and 2013, respectively, and $1,919 and $1,686 for</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440" w:type="dxa"/>
            <w:vAlign w:val="bottom"/>
          </w:tcPr>
          <w:p>
            <w:pPr>
              <w:ind w:left="1060"/>
              <w:spacing w:after="0"/>
              <w:rPr>
                <w:sz w:val="20"/>
                <w:szCs w:val="20"/>
                <w:color w:val="auto"/>
              </w:rPr>
            </w:pPr>
            <w:r>
              <w:rPr>
                <w:rFonts w:ascii="Arial" w:cs="Arial" w:eastAsia="Arial" w:hAnsi="Arial"/>
                <w:sz w:val="18"/>
                <w:szCs w:val="18"/>
                <w:color w:val="auto"/>
              </w:rPr>
              <w:t>the nine months ended September 30, 2014 and 2013, respectively)</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3,251</w:t>
            </w: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(3,695)</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(2,669)</w:t>
            </w:r>
          </w:p>
        </w:tc>
      </w:tr>
      <w:tr>
        <w:trPr>
          <w:trHeight w:val="70"/>
        </w:trPr>
        <w:tc>
          <w:tcPr>
            <w:tcW w:w="20" w:type="dxa"/>
            <w:vAlign w:val="bottom"/>
          </w:tcPr>
          <w:p>
            <w:pPr>
              <w:spacing w:after="0"/>
              <w:rPr>
                <w:sz w:val="6"/>
                <w:szCs w:val="6"/>
                <w:color w:val="auto"/>
              </w:rPr>
            </w:pPr>
          </w:p>
        </w:tc>
        <w:tc>
          <w:tcPr>
            <w:tcW w:w="7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8"/>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6"/>
              </w:rPr>
              <w:t>Adjustment for items reclassified to earnings (net of tax expense of $528 and $404 for</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3"/>
              </w:rPr>
              <w:t>the three months ended September 30, 2014 and 2013, respectively, and $1,391 and</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$1,206 for the nine months ended September 30, 2014 and 2013, respectively)</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4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4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4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00" w:type="dxa"/>
            <w:vAlign w:val="bottom"/>
            <w:shd w:val="clear" w:color="auto" w:fill="CCEEFF"/>
          </w:tcPr>
          <w:p>
            <w:pPr>
              <w:spacing w:after="0"/>
              <w:rPr>
                <w:sz w:val="19"/>
                <w:szCs w:val="19"/>
                <w:color w:val="auto"/>
              </w:rPr>
            </w:pP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(24,704)</w:t>
            </w:r>
          </w:p>
        </w:tc>
        <w:tc>
          <w:tcPr>
            <w:tcW w:w="580" w:type="dxa"/>
            <w:vAlign w:val="bottom"/>
          </w:tcPr>
          <w:p>
            <w:pPr>
              <w:jc w:val="right"/>
              <w:spacing w:after="0"/>
              <w:rPr>
                <w:sz w:val="20"/>
                <w:szCs w:val="20"/>
                <w:color w:val="auto"/>
              </w:rPr>
            </w:pPr>
            <w:r>
              <w:rPr>
                <w:rFonts w:ascii="Arial" w:cs="Arial" w:eastAsia="Arial" w:hAnsi="Arial"/>
                <w:sz w:val="18"/>
                <w:szCs w:val="18"/>
                <w:color w:val="auto"/>
              </w:rPr>
              <w:t>13,694</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(18,621)</w:t>
            </w:r>
          </w:p>
        </w:tc>
        <w:tc>
          <w:tcPr>
            <w:tcW w:w="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(16,835)</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65,216</w:t>
            </w: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76,442</w:t>
            </w:r>
          </w:p>
        </w:tc>
        <w:tc>
          <w:tcPr>
            <w:tcW w:w="4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242,637</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95,483</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440" w:type="dxa"/>
            <w:vAlign w:val="bottom"/>
          </w:tcPr>
          <w:p>
            <w:pPr>
              <w:spacing w:after="0" w:line="201" w:lineRule="exact"/>
              <w:rPr>
                <w:sz w:val="20"/>
                <w:szCs w:val="20"/>
                <w:color w:val="auto"/>
              </w:rPr>
            </w:pPr>
            <w:r>
              <w:rPr>
                <w:rFonts w:ascii="Arial" w:cs="Arial" w:eastAsia="Arial" w:hAnsi="Arial"/>
                <w:sz w:val="18"/>
                <w:szCs w:val="18"/>
                <w:b w:val="1"/>
                <w:bCs w:val="1"/>
                <w:color w:val="auto"/>
              </w:rPr>
              <w:t>LESS - COMPREHENSIVE INCOME ATTRIBUTABLE TO NONCONTROLLING</w:t>
            </w: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Arial" w:cs="Arial" w:eastAsia="Arial" w:hAnsi="Arial"/>
                <w:sz w:val="18"/>
                <w:szCs w:val="18"/>
                <w:b w:val="1"/>
                <w:bCs w:val="1"/>
                <w:color w:val="auto"/>
              </w:rPr>
              <w:t>INTERESTS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4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w:t>
            </w:r>
          </w:p>
        </w:tc>
        <w:tc>
          <w:tcPr>
            <w:tcW w:w="4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6,365</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LTD</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$ 64,155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73,919</w:t>
            </w:r>
          </w:p>
        </w:tc>
        <w:tc>
          <w:tcPr>
            <w:tcW w:w="15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236,272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90,282</w:t>
            </w: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PERIODS ENDED SEPTEMBER 30,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72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$ 261,258</w:t>
            </w:r>
          </w:p>
        </w:tc>
        <w:tc>
          <w:tcPr>
            <w:tcW w:w="3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$ 112,318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720" w:type="dxa"/>
            <w:vAlign w:val="bottom"/>
          </w:tcPr>
          <w:p>
            <w:pPr>
              <w:jc w:val="right"/>
              <w:spacing w:after="0"/>
              <w:rPr>
                <w:sz w:val="20"/>
                <w:szCs w:val="20"/>
                <w:color w:val="auto"/>
              </w:rPr>
            </w:pPr>
            <w:r>
              <w:rPr>
                <w:rFonts w:ascii="Arial" w:cs="Arial" w:eastAsia="Arial" w:hAnsi="Arial"/>
                <w:sz w:val="18"/>
                <w:szCs w:val="18"/>
                <w:color w:val="auto"/>
              </w:rPr>
              <w:t>26,332</w:t>
            </w:r>
          </w:p>
        </w:tc>
        <w:tc>
          <w:tcPr>
            <w:tcW w:w="3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25,465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expenses, share-based incentive compensation</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and interest rate hedge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227,896</w:t>
            </w:r>
          </w:p>
        </w:tc>
        <w:tc>
          <w:tcPr>
            <w:tcW w:w="3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239,357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720" w:type="dxa"/>
            <w:vAlign w:val="bottom"/>
          </w:tcPr>
          <w:p>
            <w:pPr>
              <w:jc w:val="right"/>
              <w:spacing w:after="0"/>
              <w:rPr>
                <w:sz w:val="20"/>
                <w:szCs w:val="20"/>
                <w:color w:val="auto"/>
              </w:rPr>
            </w:pPr>
            <w:r>
              <w:rPr>
                <w:rFonts w:ascii="Arial" w:cs="Arial" w:eastAsia="Arial" w:hAnsi="Arial"/>
                <w:sz w:val="18"/>
                <w:szCs w:val="18"/>
                <w:color w:val="auto"/>
              </w:rPr>
              <w:t>5,946</w:t>
            </w:r>
          </w:p>
        </w:tc>
        <w:tc>
          <w:tcPr>
            <w:tcW w:w="3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assets: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Deposits with banks and short-term investments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(18,626)</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25,558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15,630</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Receivables-net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(12,982)</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(55,516)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(78,820)</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(103,778)</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(81,898)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Deposits and other payables</w:t>
            </w:r>
          </w:p>
        </w:tc>
        <w:tc>
          <w:tcPr>
            <w:tcW w:w="720" w:type="dxa"/>
            <w:vAlign w:val="bottom"/>
          </w:tcPr>
          <w:p>
            <w:pPr>
              <w:jc w:val="right"/>
              <w:spacing w:after="0"/>
              <w:rPr>
                <w:sz w:val="20"/>
                <w:szCs w:val="20"/>
                <w:color w:val="auto"/>
              </w:rPr>
            </w:pPr>
            <w:r>
              <w:rPr>
                <w:rFonts w:ascii="Arial" w:cs="Arial" w:eastAsia="Arial" w:hAnsi="Arial"/>
                <w:sz w:val="18"/>
                <w:szCs w:val="18"/>
                <w:color w:val="auto"/>
              </w:rPr>
              <w:t>34,730</w:t>
            </w:r>
          </w:p>
        </w:tc>
        <w:tc>
          <w:tcPr>
            <w:tcW w:w="3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14,158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415,422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Additions to property</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(14,161)</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(54,344)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Disposals of property</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(13,138)</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(48,501)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Contributions from noncontrolling interests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Excess tax benefits from share-based incentive compensation</w:t>
            </w:r>
          </w:p>
        </w:tc>
        <w:tc>
          <w:tcPr>
            <w:tcW w:w="720" w:type="dxa"/>
            <w:vAlign w:val="bottom"/>
          </w:tcPr>
          <w:p>
            <w:pPr>
              <w:jc w:val="right"/>
              <w:spacing w:after="0"/>
              <w:rPr>
                <w:sz w:val="20"/>
                <w:szCs w:val="20"/>
                <w:color w:val="auto"/>
              </w:rPr>
            </w:pPr>
            <w:r>
              <w:rPr>
                <w:rFonts w:ascii="Arial" w:cs="Arial" w:eastAsia="Arial" w:hAnsi="Arial"/>
                <w:sz w:val="18"/>
                <w:szCs w:val="18"/>
                <w:color w:val="auto"/>
              </w:rPr>
              <w:t>1,508</w:t>
            </w:r>
          </w:p>
        </w:tc>
        <w:tc>
          <w:tcPr>
            <w:tcW w:w="3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(1,738)</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(9,182)</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Purchase of Class A common stock</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(192,657)</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(77,934)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Class A common stock dividends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(109,592)</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(83,783)</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(125,546)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(1,754)</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vMerge w:val="continue"/>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(396,096)</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(273,880)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(27,086)</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(7,309)</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20" w:type="dxa"/>
            <w:vAlign w:val="bottom"/>
            <w:gridSpan w:val="2"/>
            <w:vMerge w:val="continue"/>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(20,898)</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(161,823)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841,482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EQUIVALENTS—September 30</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$ 820,584</w:t>
            </w:r>
          </w:p>
        </w:tc>
        <w:tc>
          <w:tcPr>
            <w:tcW w:w="30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$ 688,367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40" w:type="dxa"/>
            <w:vAlign w:val="bottom"/>
            <w:gridSpan w:val="3"/>
            <w:vMerge w:val="restart"/>
          </w:tcPr>
          <w:p>
            <w:pPr>
              <w:jc w:val="center"/>
              <w:ind w:left="32"/>
              <w:spacing w:after="0" w:line="149" w:lineRule="exact"/>
              <w:rPr>
                <w:sz w:val="20"/>
                <w:szCs w:val="20"/>
                <w:color w:val="auto"/>
              </w:rPr>
            </w:pPr>
            <w:r>
              <w:rPr>
                <w:rFonts w:ascii="Arial" w:cs="Arial" w:eastAsia="Arial" w:hAnsi="Arial"/>
                <w:sz w:val="14"/>
                <w:szCs w:val="14"/>
                <w:b w:val="1"/>
                <w:bCs w:val="1"/>
                <w:color w:val="auto"/>
                <w:w w:val="82"/>
              </w:rPr>
              <w:t>Series A</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500" w:type="dxa"/>
            <w:vAlign w:val="bottom"/>
            <w:gridSpan w:val="5"/>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06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86"/>
              </w:rPr>
              <w:t>Preferred Stock</w:t>
            </w:r>
          </w:p>
        </w:tc>
        <w:tc>
          <w:tcPr>
            <w:tcW w:w="12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7"/>
              </w:rPr>
              <w:t>Held By Subsidiaries</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060" w:type="dxa"/>
            <w:vAlign w:val="bottom"/>
            <w:gridSpan w:val="5"/>
            <w:vMerge w:val="continue"/>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Paid-In-</w:t>
            </w:r>
          </w:p>
        </w:tc>
        <w:tc>
          <w:tcPr>
            <w:tcW w:w="40" w:type="dxa"/>
            <w:vAlign w:val="bottom"/>
          </w:tcPr>
          <w:p>
            <w:pPr>
              <w:spacing w:after="0"/>
              <w:rPr>
                <w:sz w:val="9"/>
                <w:szCs w:val="9"/>
                <w:color w:val="auto"/>
              </w:rPr>
            </w:pPr>
          </w:p>
        </w:tc>
        <w:tc>
          <w:tcPr>
            <w:tcW w:w="62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Retained</w:t>
            </w:r>
          </w:p>
        </w:tc>
        <w:tc>
          <w:tcPr>
            <w:tcW w:w="60" w:type="dxa"/>
            <w:vAlign w:val="bottom"/>
          </w:tcPr>
          <w:p>
            <w:pPr>
              <w:spacing w:after="0"/>
              <w:rPr>
                <w:sz w:val="9"/>
                <w:szCs w:val="9"/>
                <w:color w:val="auto"/>
              </w:rPr>
            </w:pP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500" w:type="dxa"/>
            <w:vAlign w:val="bottom"/>
            <w:gridSpan w:val="5"/>
            <w:vMerge w:val="continue"/>
          </w:tcPr>
          <w:p>
            <w:pPr>
              <w:spacing w:after="0"/>
              <w:rPr>
                <w:sz w:val="9"/>
                <w:szCs w:val="9"/>
                <w:color w:val="auto"/>
              </w:rPr>
            </w:pPr>
          </w:p>
        </w:tc>
        <w:tc>
          <w:tcPr>
            <w:tcW w:w="9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10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Earnings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Net of Tax</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2013</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128,216,424</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$1,282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846,050</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$ 182,647</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(110,541)</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12,802,938</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$(349,782)</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569,656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81,884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651,540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106,995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106,995</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5,323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112,318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40" w:type="dxa"/>
            <w:vAlign w:val="bottom"/>
          </w:tcPr>
          <w:p>
            <w:pPr>
              <w:ind w:left="200"/>
              <w:spacing w:after="0"/>
              <w:rPr>
                <w:sz w:val="20"/>
                <w:szCs w:val="20"/>
                <w:color w:val="auto"/>
              </w:rPr>
            </w:pPr>
            <w:r>
              <w:rPr>
                <w:rFonts w:ascii="Arial" w:cs="Arial" w:eastAsia="Arial" w:hAnsi="Arial"/>
                <w:sz w:val="14"/>
                <w:szCs w:val="14"/>
                <w:color w:val="auto"/>
                <w:w w:val="91"/>
              </w:rPr>
              <w:t>Other comprehensive loss - net of</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tcPr>
          <w:p>
            <w:pPr>
              <w:ind w:left="420"/>
              <w:spacing w:after="0"/>
              <w:rPr>
                <w:sz w:val="20"/>
                <w:szCs w:val="20"/>
                <w:color w:val="auto"/>
              </w:rPr>
            </w:pPr>
            <w:r>
              <w:rPr>
                <w:rFonts w:ascii="Arial" w:cs="Arial" w:eastAsia="Arial" w:hAnsi="Arial"/>
                <w:sz w:val="14"/>
                <w:szCs w:val="14"/>
                <w:color w:val="auto"/>
              </w:rPr>
              <w:t>tax</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(16,713)</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(16,713)</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(122)</w:t>
            </w: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(16,835)</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Business acquisitions and related</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equity transactions:</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40" w:type="dxa"/>
            <w:vAlign w:val="bottom"/>
          </w:tcPr>
          <w:p>
            <w:pPr>
              <w:ind w:left="200"/>
              <w:spacing w:after="0"/>
              <w:rPr>
                <w:sz w:val="20"/>
                <w:szCs w:val="20"/>
                <w:color w:val="auto"/>
              </w:rPr>
            </w:pPr>
            <w:r>
              <w:rPr>
                <w:rFonts w:ascii="Arial" w:cs="Arial" w:eastAsia="Arial" w:hAnsi="Arial"/>
                <w:sz w:val="14"/>
                <w:szCs w:val="14"/>
                <w:color w:val="auto"/>
                <w:w w:val="97"/>
              </w:rPr>
              <w:t>Class A common stock issuable</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420"/>
              <w:spacing w:after="0" w:line="149" w:lineRule="exact"/>
              <w:rPr>
                <w:sz w:val="20"/>
                <w:szCs w:val="20"/>
                <w:color w:val="auto"/>
              </w:rPr>
            </w:pPr>
            <w:r>
              <w:rPr>
                <w:rFonts w:ascii="Arial" w:cs="Arial" w:eastAsia="Arial" w:hAnsi="Arial"/>
                <w:sz w:val="14"/>
                <w:szCs w:val="14"/>
                <w:color w:val="auto"/>
              </w:rPr>
              <w:t>(including related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tcPr>
          <w:p>
            <w:pPr>
              <w:ind w:left="420"/>
              <w:spacing w:after="0"/>
              <w:rPr>
                <w:sz w:val="20"/>
                <w:szCs w:val="20"/>
                <w:color w:val="auto"/>
              </w:rPr>
            </w:pPr>
            <w:r>
              <w:rPr>
                <w:rFonts w:ascii="Arial" w:cs="Arial" w:eastAsia="Arial" w:hAnsi="Arial"/>
                <w:sz w:val="14"/>
                <w:szCs w:val="14"/>
                <w:color w:val="auto"/>
              </w:rPr>
              <w:t>amortization)</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829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829</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Delivery of Class A common</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(including dividend-</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equivalents)</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(4,994)</w:t>
            </w:r>
          </w:p>
        </w:tc>
        <w:tc>
          <w:tcPr>
            <w:tcW w:w="6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(170,988)</w:t>
            </w: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5,173</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2160" w:type="dxa"/>
            <w:vAlign w:val="bottom"/>
            <w:gridSpan w:val="2"/>
          </w:tcPr>
          <w:p>
            <w:pPr>
              <w:spacing w:after="0"/>
              <w:rPr>
                <w:sz w:val="20"/>
                <w:szCs w:val="20"/>
                <w:color w:val="auto"/>
              </w:rPr>
            </w:pPr>
            <w:r>
              <w:rPr>
                <w:rFonts w:ascii="Arial" w:cs="Arial" w:eastAsia="Arial" w:hAnsi="Arial"/>
                <w:sz w:val="14"/>
                <w:szCs w:val="14"/>
                <w:color w:val="auto"/>
                <w:w w:val="91"/>
              </w:rPr>
              <w:t>Amortization of share-based incentive</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tcPr>
          <w:p>
            <w:pPr>
              <w:ind w:left="200"/>
              <w:spacing w:after="0"/>
              <w:rPr>
                <w:sz w:val="20"/>
                <w:szCs w:val="20"/>
                <w:color w:val="auto"/>
              </w:rPr>
            </w:pPr>
            <w:r>
              <w:rPr>
                <w:rFonts w:ascii="Arial" w:cs="Arial" w:eastAsia="Arial" w:hAnsi="Arial"/>
                <w:sz w:val="14"/>
                <w:szCs w:val="14"/>
                <w:color w:val="auto"/>
              </w:rPr>
              <w:t>compensation</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182,338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182,338</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1,003</w:t>
            </w: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183,341</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Dividend-equivalents</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8,440</w:t>
            </w: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(8,604)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29"/>
        </w:trPr>
        <w:tc>
          <w:tcPr>
            <w:tcW w:w="2160" w:type="dxa"/>
            <w:vAlign w:val="bottom"/>
            <w:gridSpan w:val="2"/>
          </w:tcPr>
          <w:p>
            <w:pPr>
              <w:spacing w:after="0"/>
              <w:rPr>
                <w:sz w:val="20"/>
                <w:szCs w:val="20"/>
                <w:color w:val="auto"/>
              </w:rPr>
            </w:pPr>
            <w:r>
              <w:rPr>
                <w:rFonts w:ascii="Arial" w:cs="Arial" w:eastAsia="Arial" w:hAnsi="Arial"/>
                <w:sz w:val="14"/>
                <w:szCs w:val="14"/>
                <w:color w:val="auto"/>
              </w:rPr>
              <w:t>Class A common stock dividends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(60,931)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(60,931)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(60,931)</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Purchase of Class A common stock</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2,201,657</w:t>
            </w:r>
          </w:p>
        </w:tc>
        <w:tc>
          <w:tcPr>
            <w:tcW w:w="7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(77,934)</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(77,934)</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(77,934)</w:t>
            </w:r>
          </w:p>
        </w:tc>
        <w:tc>
          <w:tcPr>
            <w:tcW w:w="0" w:type="dxa"/>
            <w:vAlign w:val="bottom"/>
          </w:tcPr>
          <w:p>
            <w:pPr>
              <w:spacing w:after="0"/>
              <w:rPr>
                <w:sz w:val="1"/>
                <w:szCs w:val="1"/>
                <w:color w:val="auto"/>
              </w:rPr>
            </w:pPr>
          </w:p>
        </w:tc>
      </w:tr>
      <w:tr>
        <w:trPr>
          <w:trHeight w:val="205"/>
        </w:trPr>
        <w:tc>
          <w:tcPr>
            <w:tcW w:w="2160" w:type="dxa"/>
            <w:vAlign w:val="bottom"/>
            <w:gridSpan w:val="2"/>
          </w:tcPr>
          <w:p>
            <w:pPr>
              <w:spacing w:after="0"/>
              <w:rPr>
                <w:sz w:val="20"/>
                <w:szCs w:val="20"/>
                <w:color w:val="auto"/>
              </w:rPr>
            </w:pPr>
            <w:r>
              <w:rPr>
                <w:rFonts w:ascii="Arial" w:cs="Arial" w:eastAsia="Arial" w:hAnsi="Arial"/>
                <w:sz w:val="14"/>
                <w:szCs w:val="14"/>
                <w:color w:val="auto"/>
                <w:w w:val="94"/>
              </w:rPr>
              <w:t>Delivery of Class A common stock in</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200"/>
              <w:spacing w:after="0" w:line="149" w:lineRule="exact"/>
              <w:rPr>
                <w:sz w:val="20"/>
                <w:szCs w:val="20"/>
                <w:color w:val="auto"/>
              </w:rPr>
            </w:pPr>
            <w:r>
              <w:rPr>
                <w:rFonts w:ascii="Arial" w:cs="Arial" w:eastAsia="Arial" w:hAnsi="Arial"/>
                <w:sz w:val="14"/>
                <w:szCs w:val="14"/>
                <w:color w:val="auto"/>
              </w:rPr>
              <w:t>connection with shared-based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200"/>
              <w:spacing w:after="0" w:line="149" w:lineRule="exact"/>
              <w:rPr>
                <w:sz w:val="20"/>
                <w:szCs w:val="20"/>
                <w:color w:val="auto"/>
              </w:rPr>
            </w:pPr>
            <w:r>
              <w:rPr>
                <w:rFonts w:ascii="Arial" w:cs="Arial" w:eastAsia="Arial" w:hAnsi="Arial"/>
                <w:sz w:val="14"/>
                <w:szCs w:val="14"/>
                <w:color w:val="auto"/>
              </w:rPr>
              <w:t>incentive compensation and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tcPr>
          <w:p>
            <w:pPr>
              <w:ind w:left="200"/>
              <w:spacing w:after="0"/>
              <w:rPr>
                <w:sz w:val="20"/>
                <w:szCs w:val="20"/>
                <w:color w:val="auto"/>
              </w:rPr>
            </w:pPr>
            <w:r>
              <w:rPr>
                <w:rFonts w:ascii="Arial" w:cs="Arial" w:eastAsia="Arial" w:hAnsi="Arial"/>
                <w:sz w:val="14"/>
                <w:szCs w:val="14"/>
                <w:color w:val="auto"/>
              </w:rPr>
              <w:t>related tax benefit of $862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(342,898)</w:t>
            </w: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(609)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w w:val="92"/>
              </w:rPr>
              <w:t>(7,519,848)</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218,819</w:t>
            </w:r>
          </w:p>
        </w:tc>
        <w:tc>
          <w:tcPr>
            <w:tcW w:w="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(124,688)</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(124,684)</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exchange for Lazard Group</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common membership interests</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839,658</w:t>
            </w:r>
          </w:p>
        </w:tc>
        <w:tc>
          <w:tcPr>
            <w:tcW w:w="5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2160" w:type="dxa"/>
            <w:vAlign w:val="bottom"/>
            <w:gridSpan w:val="2"/>
          </w:tcPr>
          <w:p>
            <w:pPr>
              <w:spacing w:after="0"/>
              <w:rPr>
                <w:sz w:val="20"/>
                <w:szCs w:val="20"/>
                <w:color w:val="auto"/>
              </w:rPr>
            </w:pPr>
            <w:r>
              <w:rPr>
                <w:rFonts w:ascii="Arial" w:cs="Arial" w:eastAsia="Arial" w:hAnsi="Arial"/>
                <w:sz w:val="14"/>
                <w:szCs w:val="14"/>
                <w:color w:val="auto"/>
              </w:rPr>
              <w:t>Distributions to noncontrolling</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tcPr>
          <w:p>
            <w:pPr>
              <w:ind w:left="200"/>
              <w:spacing w:after="0"/>
              <w:rPr>
                <w:sz w:val="20"/>
                <w:szCs w:val="20"/>
                <w:color w:val="auto"/>
              </w:rPr>
            </w:pPr>
            <w:r>
              <w:rPr>
                <w:rFonts w:ascii="Arial" w:cs="Arial" w:eastAsia="Arial" w:hAnsi="Arial"/>
                <w:sz w:val="14"/>
                <w:szCs w:val="14"/>
                <w:color w:val="auto"/>
              </w:rPr>
              <w:t>interests, net</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(9,423)</w:t>
            </w:r>
          </w:p>
        </w:tc>
        <w:tc>
          <w:tcPr>
            <w:tcW w:w="1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(9,423)</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Adjustments related to noncontrolling</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interests</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3,984</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(598)</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3,386</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(4,386)</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 September 30, 2013</w:t>
            </w: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60" w:type="dxa"/>
            <w:vAlign w:val="bottom"/>
            <w:gridSpan w:val="2"/>
            <w:vMerge w:val="continue"/>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140" w:type="dxa"/>
            <w:vAlign w:val="bottom"/>
          </w:tcPr>
          <w:p>
            <w:pPr>
              <w:spacing w:after="0"/>
              <w:rPr>
                <w:sz w:val="13"/>
                <w:szCs w:val="13"/>
                <w:color w:val="auto"/>
              </w:rPr>
            </w:pPr>
          </w:p>
        </w:tc>
        <w:tc>
          <w:tcPr>
            <w:tcW w:w="260" w:type="dxa"/>
            <w:vAlign w:val="bottom"/>
          </w:tcPr>
          <w:p>
            <w:pPr>
              <w:spacing w:after="0" w:line="155" w:lineRule="exact"/>
              <w:rPr>
                <w:sz w:val="20"/>
                <w:szCs w:val="20"/>
                <w:color w:val="auto"/>
              </w:rPr>
            </w:pPr>
            <w:r>
              <w:rPr>
                <w:rFonts w:ascii="Arial" w:cs="Arial" w:eastAsia="Arial" w:hAnsi="Arial"/>
                <w:sz w:val="14"/>
                <w:szCs w:val="14"/>
                <w:b w:val="1"/>
                <w:bCs w:val="1"/>
                <w:color w:val="auto"/>
              </w:rPr>
              <w:t>$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129,056,082</w:t>
            </w:r>
          </w:p>
        </w:tc>
        <w:tc>
          <w:tcPr>
            <w:tcW w:w="560" w:type="dxa"/>
            <w:vAlign w:val="bottom"/>
            <w:gridSpan w:val="3"/>
          </w:tcPr>
          <w:p>
            <w:pPr>
              <w:jc w:val="right"/>
              <w:ind w:right="60"/>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1,290</w:t>
            </w: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693,741</w:t>
            </w:r>
          </w:p>
        </w:tc>
        <w:tc>
          <w:tcPr>
            <w:tcW w:w="100" w:type="dxa"/>
            <w:vAlign w:val="bottom"/>
          </w:tcPr>
          <w:p>
            <w:pPr>
              <w:spacing w:after="0"/>
              <w:rPr>
                <w:sz w:val="13"/>
                <w:szCs w:val="13"/>
                <w:color w:val="auto"/>
              </w:rPr>
            </w:pPr>
          </w:p>
        </w:tc>
        <w:tc>
          <w:tcPr>
            <w:tcW w:w="660" w:type="dxa"/>
            <w:vAlign w:val="bottom"/>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w w:val="86"/>
              </w:rPr>
              <w:t>$ 219,319</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(127,852)</w:t>
            </w:r>
          </w:p>
        </w:tc>
        <w:tc>
          <w:tcPr>
            <w:tcW w:w="7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99"/>
              </w:rPr>
              <w:t>7,313,759</w:t>
            </w:r>
          </w:p>
        </w:tc>
        <w:tc>
          <w:tcPr>
            <w:tcW w:w="76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(203,724)</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582,774</w:t>
            </w: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74,287</w:t>
            </w: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657,061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340" w:right="240" w:hanging="332"/>
        <w:spacing w:after="0" w:line="186" w:lineRule="auto"/>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Includes 128,216,423 and 129,056,081 shares of the Company’s Class A common stock issued at January 1, 2013 and September 30, 2013, respectively, and 1 share of the Company’s Class B common stock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760" w:type="dxa"/>
            <w:vAlign w:val="bottom"/>
            <w:gridSpan w:val="3"/>
            <w:vMerge w:val="restart"/>
          </w:tcPr>
          <w:p>
            <w:pPr>
              <w:jc w:val="center"/>
              <w:ind w:left="112"/>
              <w:spacing w:after="0" w:line="149" w:lineRule="exact"/>
              <w:rPr>
                <w:sz w:val="20"/>
                <w:szCs w:val="20"/>
                <w:color w:val="auto"/>
              </w:rPr>
            </w:pPr>
            <w:r>
              <w:rPr>
                <w:rFonts w:ascii="Arial" w:cs="Arial" w:eastAsia="Arial" w:hAnsi="Arial"/>
                <w:sz w:val="14"/>
                <w:szCs w:val="14"/>
                <w:b w:val="1"/>
                <w:bCs w:val="1"/>
                <w:color w:val="auto"/>
                <w:w w:val="82"/>
              </w:rPr>
              <w:t>Series A</w:t>
            </w: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500" w:type="dxa"/>
            <w:vAlign w:val="bottom"/>
            <w:gridSpan w:val="5"/>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6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8"/>
              </w:rPr>
              <w:t>Preferred Stock</w:t>
            </w:r>
          </w:p>
        </w:tc>
        <w:tc>
          <w:tcPr>
            <w:tcW w:w="134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Common Stock</w:t>
            </w:r>
          </w:p>
        </w:tc>
        <w:tc>
          <w:tcPr>
            <w:tcW w:w="7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7"/>
              </w:rPr>
              <w:t>Held By Subsidiaries</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60" w:type="dxa"/>
            <w:vAlign w:val="bottom"/>
            <w:gridSpan w:val="5"/>
            <w:vMerge w:val="continue"/>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9"/>
              </w:rPr>
              <w:t>Paid-In-</w:t>
            </w:r>
          </w:p>
        </w:tc>
        <w:tc>
          <w:tcPr>
            <w:tcW w:w="40" w:type="dxa"/>
            <w:vAlign w:val="bottom"/>
          </w:tcPr>
          <w:p>
            <w:pPr>
              <w:spacing w:after="0"/>
              <w:rPr>
                <w:sz w:val="9"/>
                <w:szCs w:val="9"/>
                <w:color w:val="auto"/>
              </w:rPr>
            </w:pPr>
          </w:p>
        </w:tc>
        <w:tc>
          <w:tcPr>
            <w:tcW w:w="70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Retained</w:t>
            </w:r>
          </w:p>
        </w:tc>
        <w:tc>
          <w:tcPr>
            <w:tcW w:w="10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500" w:type="dxa"/>
            <w:vAlign w:val="bottom"/>
            <w:gridSpan w:val="5"/>
            <w:vMerge w:val="continue"/>
          </w:tcPr>
          <w:p>
            <w:pPr>
              <w:spacing w:after="0"/>
              <w:rPr>
                <w:sz w:val="9"/>
                <w:szCs w:val="9"/>
                <w:color w:val="auto"/>
              </w:rPr>
            </w:pPr>
          </w:p>
        </w:tc>
        <w:tc>
          <w:tcPr>
            <w:tcW w:w="9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10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jc w:val="right"/>
              <w:ind w:right="38"/>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Earnings</w:t>
            </w:r>
          </w:p>
        </w:tc>
        <w:tc>
          <w:tcPr>
            <w:tcW w:w="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 of Tax</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2014</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129,056,082</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$1,291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737,899</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6"/>
              </w:rPr>
              <w:t>$ 203,236</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(133,004)</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8,317,065</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$(249,213)</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560,209</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69,789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629,998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254,893</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254,893</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6,365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261,258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60" w:type="dxa"/>
            <w:vAlign w:val="bottom"/>
          </w:tcPr>
          <w:p>
            <w:pPr>
              <w:ind w:left="200"/>
              <w:spacing w:after="0" w:line="138" w:lineRule="exact"/>
              <w:rPr>
                <w:sz w:val="20"/>
                <w:szCs w:val="20"/>
                <w:color w:val="auto"/>
              </w:rPr>
            </w:pPr>
            <w:r>
              <w:rPr>
                <w:rFonts w:ascii="Arial" w:cs="Arial" w:eastAsia="Arial" w:hAnsi="Arial"/>
                <w:sz w:val="14"/>
                <w:szCs w:val="14"/>
                <w:color w:val="auto"/>
                <w:w w:val="92"/>
              </w:rPr>
              <w:t>Other comprehensive loss - net of</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tcPr>
          <w:p>
            <w:pPr>
              <w:ind w:left="420"/>
              <w:spacing w:after="0" w:line="159" w:lineRule="exact"/>
              <w:rPr>
                <w:sz w:val="20"/>
                <w:szCs w:val="20"/>
                <w:color w:val="auto"/>
              </w:rPr>
            </w:pPr>
            <w:r>
              <w:rPr>
                <w:rFonts w:ascii="Arial" w:cs="Arial" w:eastAsia="Arial" w:hAnsi="Arial"/>
                <w:sz w:val="14"/>
                <w:szCs w:val="14"/>
                <w:color w:val="auto"/>
              </w:rPr>
              <w:t>tax</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(18,621)</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(18,621)</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(18,621)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Business acquisitions and related</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equity transactions: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60" w:type="dxa"/>
            <w:vAlign w:val="bottom"/>
          </w:tcPr>
          <w:p>
            <w:pPr>
              <w:ind w:left="200"/>
              <w:spacing w:after="0" w:line="138" w:lineRule="exact"/>
              <w:rPr>
                <w:sz w:val="20"/>
                <w:szCs w:val="20"/>
                <w:color w:val="auto"/>
              </w:rPr>
            </w:pPr>
            <w:r>
              <w:rPr>
                <w:rFonts w:ascii="Arial" w:cs="Arial" w:eastAsia="Arial" w:hAnsi="Arial"/>
                <w:sz w:val="14"/>
                <w:szCs w:val="14"/>
                <w:color w:val="auto"/>
                <w:w w:val="98"/>
              </w:rPr>
              <w:t>Class A common stock issuable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420"/>
              <w:spacing w:after="0" w:line="149" w:lineRule="exact"/>
              <w:rPr>
                <w:sz w:val="20"/>
                <w:szCs w:val="20"/>
                <w:color w:val="auto"/>
              </w:rPr>
            </w:pPr>
            <w:r>
              <w:rPr>
                <w:rFonts w:ascii="Arial" w:cs="Arial" w:eastAsia="Arial" w:hAnsi="Arial"/>
                <w:sz w:val="14"/>
                <w:szCs w:val="14"/>
                <w:color w:val="auto"/>
              </w:rPr>
              <w:t>(including related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tcPr>
          <w:p>
            <w:pPr>
              <w:ind w:left="420"/>
              <w:spacing w:after="0" w:line="159" w:lineRule="exact"/>
              <w:rPr>
                <w:sz w:val="20"/>
                <w:szCs w:val="20"/>
                <w:color w:val="auto"/>
              </w:rPr>
            </w:pPr>
            <w:r>
              <w:rPr>
                <w:rFonts w:ascii="Arial" w:cs="Arial" w:eastAsia="Arial" w:hAnsi="Arial"/>
                <w:sz w:val="14"/>
                <w:szCs w:val="14"/>
                <w:color w:val="auto"/>
              </w:rPr>
              <w:t>amortization)</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387</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387</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Amortization of share-based incentive</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159,095</w:t>
            </w: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159,095</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159,095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13,489</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(15,243)</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(1,754)</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(109,592)</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(109,592)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(109,592)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w w:val="96"/>
              </w:rPr>
              <w:t>Purchase of Class A common stock</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4,114,206</w:t>
            </w: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(192,657)</w:t>
            </w: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(192,657)</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(192,657)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Delivery of Class A common stock in</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connection with shared-based</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8"/>
              </w:rPr>
              <w:t>incentive compensation and related</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tax benefit of $1,409</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6"/>
              </w:rPr>
              <w:t>(257,127)</w:t>
            </w: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2"/>
              </w:rPr>
              <w:t>(4,828,479)</w:t>
            </w: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174,753</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(82,374)</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(82,374)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60" w:type="dxa"/>
            <w:vAlign w:val="bottom"/>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exchange for Lazard Group</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tcPr>
          <w:p>
            <w:pPr>
              <w:ind w:left="200"/>
              <w:spacing w:after="0" w:line="159" w:lineRule="exact"/>
              <w:rPr>
                <w:sz w:val="20"/>
                <w:szCs w:val="20"/>
                <w:color w:val="auto"/>
              </w:rPr>
            </w:pPr>
            <w:r>
              <w:rPr>
                <w:rFonts w:ascii="Arial" w:cs="Arial" w:eastAsia="Arial" w:hAnsi="Arial"/>
                <w:sz w:val="14"/>
                <w:szCs w:val="14"/>
                <w:color w:val="auto"/>
              </w:rPr>
              <w:t>common membership interests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710,009</w:t>
            </w:r>
          </w:p>
        </w:tc>
        <w:tc>
          <w:tcPr>
            <w:tcW w:w="6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interests, net</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(8,080)</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(8,080)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60" w:type="dxa"/>
            <w:vAlign w:val="bottom"/>
          </w:tcPr>
          <w:p>
            <w:pPr>
              <w:spacing w:after="0" w:line="138" w:lineRule="exact"/>
              <w:rPr>
                <w:sz w:val="20"/>
                <w:szCs w:val="20"/>
                <w:color w:val="auto"/>
              </w:rPr>
            </w:pPr>
            <w:r>
              <w:rPr>
                <w:rFonts w:ascii="Arial" w:cs="Arial" w:eastAsia="Arial" w:hAnsi="Arial"/>
                <w:sz w:val="14"/>
                <w:szCs w:val="14"/>
                <w:color w:val="auto"/>
                <w:w w:val="92"/>
              </w:rPr>
              <w:t>Adjustments related to noncontrolling</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tcPr>
          <w:p>
            <w:pPr>
              <w:ind w:left="200"/>
              <w:spacing w:after="0" w:line="159" w:lineRule="exact"/>
              <w:rPr>
                <w:sz w:val="20"/>
                <w:szCs w:val="20"/>
                <w:color w:val="auto"/>
              </w:rPr>
            </w:pPr>
            <w:r>
              <w:rPr>
                <w:rFonts w:ascii="Arial" w:cs="Arial" w:eastAsia="Arial" w:hAnsi="Arial"/>
                <w:sz w:val="14"/>
                <w:szCs w:val="14"/>
                <w:color w:val="auto"/>
              </w:rPr>
              <w:t>interests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3,543</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(559)</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2,984</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(2,984)</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September 30, 2014</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7,921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129,766,091</w:t>
            </w:r>
          </w:p>
        </w:tc>
        <w:tc>
          <w:tcPr>
            <w:tcW w:w="6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1,298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657,279</w:t>
            </w: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93"/>
              </w:rPr>
              <w:t>$ 333,294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(152,184)</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9"/>
              </w:rPr>
              <w:t>7,602,792</w:t>
            </w:r>
          </w:p>
        </w:tc>
        <w:tc>
          <w:tcPr>
            <w:tcW w:w="7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(267,117)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572,570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65,090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637,660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ind w:left="340" w:right="240" w:hanging="332"/>
        <w:spacing w:after="0" w:line="186"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Includes 129,056,081 and 129,766,091 shares of the Company’s Class A common stock issued at January 1, 2014 and September 30, 2014, respectively, and 1 share of the Company’s Class B common stock issued at January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5980" w:firstLine="8"/>
        <w:spacing w:after="0" w:line="344"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SIGNIFICANT ACCOUNTING POLICIES Organization</w:t>
      </w:r>
    </w:p>
    <w:p>
      <w:pPr>
        <w:spacing w:after="0" w:line="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Lazard Ltd indirectly held 100% and approximately 99.5% of all outstanding Lazard Group common membership interests as of September 30, 2014 and December 31, 2013, respectively. Lazard Ltd, through its control of the managing members of Lazard Group, controls Lazard Group, which is governed by an Operating Agreement dated as of May 10, 2005, as amended (the “Operating Agreement”). LAZ-MD Holdings LLC (“LAZ-MD Holdings”), an entity formerly owned by Lazard Group’s current and former managing directors, held approximately 0.5% of the outstanding Lazard Group common membership interests as of December 31, 2013. Additionally, LAZ-MD Holdings was the sole owner of the one issued and outstanding share of Lazard Ltd’s Class B common stock (the “Class B common stock”), which provided LAZ-MD Holdings with approximately 0.6% of the voting power, but no economic rights, in the Company as of December 31, 2013. In May 2014, the remaining outstanding Lazard Group common membership interests held by LAZ-MD Holdings were exchanged for shares of the Company’s Class A common stock, par value $0.01 per share (“Class A common stock”), and the sole issued and outstanding share of the Company’s Class B common stock was automatically converted into one share of the Company’s Class A common stock pursuant to the provisions of the Company’s bye-laws, resulting in only one outstanding class of common stock (the “Final Exchange of LAZ-MD Interests”). Following the Final Exchange of LAZ-MD Interests, Lazard Group became a wholly-owned indirect subsidiary of Lazard Ltd.</w:t>
      </w:r>
    </w:p>
    <w:p>
      <w:pPr>
        <w:spacing w:after="0" w:line="12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sole operating asset is our indirect ownership of the common membership interests of Lazard Group and our managing member interest of Lazard Group, whose principal operating activities are included in two business segments:</w:t>
      </w:r>
    </w:p>
    <w:p>
      <w:pPr>
        <w:spacing w:after="0" w:line="51" w:lineRule="exact"/>
        <w:rPr>
          <w:sz w:val="20"/>
          <w:szCs w:val="20"/>
          <w:color w:val="auto"/>
        </w:rPr>
      </w:pPr>
    </w:p>
    <w:p>
      <w:pPr>
        <w:jc w:val="both"/>
        <w:ind w:left="900" w:right="16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Basis of Presentation</w:t>
      </w:r>
      <w:r>
        <w:rPr>
          <w:rFonts w:ascii="Arial" w:cs="Arial" w:eastAsia="Arial" w:hAnsi="Arial"/>
          <w:sz w:val="16"/>
          <w:szCs w:val="16"/>
          <w:color w:val="auto"/>
        </w:rPr>
        <w:t>—The accompanying condensed consolidated financial statements of Lazard Ltd have been prepared pursuant to the rules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2013 (the “Form 10-K”). The accompanying December 31, 2013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18"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Although these estimates are based on management’s knowledge of current events and actions that Lazard may undertake in the future, actual results may differ materially from the estimates.</w:t>
      </w:r>
    </w:p>
    <w:p>
      <w:pPr>
        <w:spacing w:after="0" w:line="13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consolidated results of operations for the three month and nine month periods ended September 30, 2014 are not necessarily indicative of the results to be expected for any future interim or annual period.</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policy is to consolidate entities in which it has a controlling financial interest. The Company consolidates (i) a voting interest entity (“VOE”) where the Company either holds a majority of the voting interest in such entity or is the general partner in such entity and the third-party investors do not have the right to replace the general partner and (ii) a variable interest entity (“VIE”) where the Company absorbs a majority of the expected losses, expected residual returns, or both, of such entity. 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12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b w:val="1"/>
          <w:bCs w:val="1"/>
          <w:i w:val="1"/>
          <w:iCs w:val="1"/>
          <w:color w:val="auto"/>
        </w:rPr>
        <w:t>Deposits with Banks and Short-Term Investments</w:t>
      </w:r>
      <w:r>
        <w:rPr>
          <w:rFonts w:ascii="Arial" w:cs="Arial" w:eastAsia="Arial" w:hAnsi="Arial"/>
          <w:sz w:val="16"/>
          <w:szCs w:val="16"/>
          <w:color w:val="auto"/>
        </w:rPr>
        <w:t>—Represents LFB’s short-term deposits, including with the Banque de France and amounts placed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LFB in short-term, highly liquid securities, such as French government securities, with original maturities of 90 days or less when purchased. The level of these deposits and investments may be driven by the level of LFB customer and bank-related interest-bearing time and demand deposits (which can fluctuate significantly on a daily basis) and by changes in asset allocation. The carrying value of deposits with banks and short-term investments approximates fair value due to their short-term maturities. Under the fair value hierarchy, such amounts would be categorized within Level 1 if carried at fair value.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a detailed discussion about the Company’s significant accounting policies, see Note 2 of Notes to Consolidated Financial Statements in our Form 10-K.</w:t>
      </w:r>
    </w:p>
    <w:p>
      <w:pPr>
        <w:spacing w:after="0" w:line="32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Presentation of Unrecognized Tax Benefits</w:t>
      </w:r>
      <w:r>
        <w:rPr>
          <w:rFonts w:ascii="Arial" w:cs="Arial" w:eastAsia="Arial" w:hAnsi="Arial"/>
          <w:sz w:val="16"/>
          <w:szCs w:val="16"/>
          <w:color w:val="auto"/>
        </w:rPr>
        <w:t>—In July 2013, the Financial Accounting Standards Board (the “FASB”) issued guidance on the presentation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unrecognized tax benefits when net operating losses or tax credit carryforwards exist. The guidance requires that the unrecognized tax benefit, or a portion of such unrecognized tax benefit, be presented in the financial statements as a reduction to a deferred tax asset for a net operating loss carryforward, a similar tax loss, or a tax credit carryforward, except in certain situations, as defined in the guidance. The new presentation requirements are effective prospectively for interim and annual reporting periods beginning after December 15, 2013, with early adoption permitted. The Company elected to adopt this guidance in the fourth quarter of 2013, the impact of which did not have a material impact on the Company’s consolidated financial statements.</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—In May 2014, the FASB issued comprehensive new revenue recognition guidance. The guidance requires a</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to recognize revenue when it transfers promised services to customers in an amount that reflects the consideration to which the company expects to be entitled in exchange for those services and requires enhanced disclosures to help users of financial statements better understand the nature, amount, timing, and uncertainty of revenue that is recognized. The new guidance is effective for annual and interim periods beginning after December 15, 2016 and early adoption is not permitted. The new guidance can be applied either retrospectively to each prior reporting period presented, or as a cumulative-effect adjustment as of the date of adoption. The Company is currently evaluating the new guidance.</w:t>
      </w:r>
    </w:p>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receivables from fees, customers and other and related parties.</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three month and nine month periods ended September 30, 2014 and 2013 was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 Period</w:t>
            </w:r>
          </w:p>
        </w:tc>
        <w:tc>
          <w:tcPr>
            <w:tcW w:w="240" w:type="dxa"/>
            <w:vAlign w:val="bottom"/>
          </w:tcPr>
          <w:p>
            <w:pPr>
              <w:spacing w:after="0"/>
              <w:rPr>
                <w:sz w:val="14"/>
                <w:szCs w:val="14"/>
                <w:color w:val="auto"/>
              </w:rPr>
            </w:pPr>
          </w:p>
        </w:tc>
        <w:tc>
          <w:tcPr>
            <w:tcW w:w="1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Nine Month Period</w:t>
            </w:r>
          </w:p>
        </w:tc>
        <w:tc>
          <w:tcPr>
            <w:tcW w:w="0" w:type="dxa"/>
            <w:vAlign w:val="bottom"/>
          </w:tcPr>
          <w:p>
            <w:pPr>
              <w:spacing w:after="0"/>
              <w:rPr>
                <w:sz w:val="1"/>
                <w:szCs w:val="1"/>
                <w:color w:val="auto"/>
              </w:rPr>
            </w:pPr>
          </w:p>
        </w:tc>
      </w:tr>
      <w:tr>
        <w:trPr>
          <w:trHeight w:val="16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9"/>
              </w:rPr>
              <w:t>Ended September 30,</w:t>
            </w:r>
          </w:p>
        </w:tc>
        <w:tc>
          <w:tcPr>
            <w:tcW w:w="240" w:type="dxa"/>
            <w:vAlign w:val="bottom"/>
          </w:tcPr>
          <w:p>
            <w:pPr>
              <w:spacing w:after="0"/>
              <w:rPr>
                <w:sz w:val="14"/>
                <w:szCs w:val="14"/>
                <w:color w:val="auto"/>
              </w:rPr>
            </w:pPr>
          </w:p>
        </w:tc>
        <w:tc>
          <w:tcPr>
            <w:tcW w:w="1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Ended September 30,</w:t>
            </w: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$29,943</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$24,593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$28,777</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$23,017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2,064</w:t>
            </w:r>
          </w:p>
        </w:tc>
        <w:tc>
          <w:tcPr>
            <w:tcW w:w="28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(198)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9,567</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Charge-offs, foreign currency translation and other adjustments</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(2,148)</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1,765</w:t>
            </w:r>
          </w:p>
        </w:tc>
        <w:tc>
          <w:tcPr>
            <w:tcW w:w="1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(8,485)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vMerge w:val="continue"/>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29,859</w:t>
            </w:r>
          </w:p>
        </w:tc>
        <w:tc>
          <w:tcPr>
            <w:tcW w:w="280" w:type="dxa"/>
            <w:vAlign w:val="bottom"/>
          </w:tcPr>
          <w:p>
            <w:pPr>
              <w:spacing w:after="0"/>
              <w:rPr>
                <w:sz w:val="19"/>
                <w:szCs w:val="19"/>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26,160</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29,859</w:t>
            </w: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September 30, 2014 and December 31, 2013, the Company had receivables past due or deemed uncollectible of $35,086 and $39,341, respectively.</w:t>
      </w:r>
    </w:p>
    <w:p>
      <w:pPr>
        <w:spacing w:after="0" w:line="194"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Of the Company’s fee receivables at September 30, 2014 and December 31, 2013, $81,531 and $69,464, respectively, represented interest-bearing financing receivables. Based upon our historical loss experience,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credit quality of the counterparties, and the lack of past due or uncollectible amounts, there was no allowance for doubtful accounts required at those dates related to such receivables.</w:t>
      </w:r>
    </w:p>
    <w:p>
      <w:pPr>
        <w:spacing w:after="0" w:line="1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$426,384 and $443,211 at September 30, 2014 and December 31, 2013, respectively, approximates fair value.</w:t>
      </w:r>
    </w:p>
    <w:p>
      <w:pPr>
        <w:spacing w:after="0" w:line="25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The Company’s investments and securities sold, not yet purchased, consist of the following at September 30, 2014 and December 31, 2013: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5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Interest-bearing deposits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24,785</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60" w:type="dxa"/>
            <w:vAlign w:val="bottom"/>
            <w:gridSpan w:val="3"/>
          </w:tcPr>
          <w:p>
            <w:pPr>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7,185</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Equities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63,275</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gridSpan w:val="3"/>
          </w:tcPr>
          <w:p>
            <w:pPr>
              <w:spacing w:after="0"/>
              <w:rPr>
                <w:sz w:val="20"/>
                <w:szCs w:val="20"/>
                <w:color w:val="auto"/>
              </w:rPr>
            </w:pPr>
            <w:r>
              <w:rPr>
                <w:rFonts w:ascii="Arial" w:cs="Arial" w:eastAsia="Arial" w:hAnsi="Arial"/>
                <w:sz w:val="18"/>
                <w:szCs w:val="18"/>
                <w:color w:val="auto"/>
              </w:rPr>
              <w:t>Funds: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Alternative investments (a)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Debt (a)</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81,099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211,772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Private equity</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117,104</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114,193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446,159</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400,694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60" w:type="dxa"/>
            <w:vAlign w:val="bottom"/>
            <w:gridSpan w:val="3"/>
          </w:tcPr>
          <w:p>
            <w:pPr>
              <w:spacing w:after="0"/>
              <w:rPr>
                <w:sz w:val="20"/>
                <w:szCs w:val="20"/>
                <w:color w:val="auto"/>
              </w:rPr>
            </w:pPr>
            <w:r>
              <w:rPr>
                <w:rFonts w:ascii="Arial" w:cs="Arial" w:eastAsia="Arial" w:hAnsi="Arial"/>
                <w:sz w:val="18"/>
                <w:szCs w:val="18"/>
                <w:color w:val="auto"/>
              </w:rPr>
              <w:t>Equity method</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8,518</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549,922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478,105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Less: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Interest-bearing deposits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Equity method</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8,518</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516,619</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468,101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gridSpan w:val="3"/>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60" w:type="dxa"/>
            <w:vAlign w:val="bottom"/>
            <w:gridSpan w:val="3"/>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8,630</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$8,566, $43,779 and $166,541, respectively, at September 30, 2014 and $7,099, $31,515 and $130,481, respectively, at December 31, 2013,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(see Notes 6 and 12 of Notes to Condensed Consolidated Financial Statements).</w:t>
      </w:r>
    </w:p>
    <w:p>
      <w:pPr>
        <w:spacing w:after="0" w:line="14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Interest-bearing deposits mature within one year and are carried at cost that approximates fair value due to their short-term maturities.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and funds of funds.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and amounts related to LFI discussed above.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32"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Corporate Partners II Limited (“CP II”), a fund targeting significant noncontrolling-stake investments in established private companies, (iii) Edgewater Growth Capital Partners III, L.P. (“EGCP III”), a fund primarily making equity and buyout investments in middle market companies and (iv) Lazard Australia Corporate Opportunities Fund (“COF2”), a Lazard-managed Australian fund targeting Australian mid-market investments.</w:t>
      </w:r>
    </w:p>
    <w:p>
      <w:pPr>
        <w:spacing w:after="0" w:line="14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 which totaled $6,732 and $9,787 at September 30, 2014 and December 31, 2013, respectively (see Note 10 of Notes to Condensed Consolidated Financial Statements).</w:t>
      </w:r>
    </w:p>
    <w:p>
      <w:pPr>
        <w:spacing w:after="0" w:line="140"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During the three month and nine month periods ended September 30, 2014 and 2013, the Company reported in “revenue-other” on its condensed consolidated statements of operations gross unrealized investment gains and losses pertaining to “trading” securities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9"/>
              </w:rPr>
              <w:t>Three Month Period</w:t>
            </w:r>
          </w:p>
        </w:tc>
        <w:tc>
          <w:tcPr>
            <w:tcW w:w="1640" w:type="dxa"/>
            <w:vAlign w:val="bottom"/>
            <w:gridSpan w:val="6"/>
          </w:tcPr>
          <w:p>
            <w:pPr>
              <w:ind w:left="220"/>
              <w:spacing w:after="0"/>
              <w:rPr>
                <w:sz w:val="20"/>
                <w:szCs w:val="20"/>
                <w:color w:val="auto"/>
              </w:rPr>
            </w:pPr>
            <w:r>
              <w:rPr>
                <w:rFonts w:ascii="Arial" w:cs="Arial" w:eastAsia="Arial" w:hAnsi="Arial"/>
                <w:sz w:val="14"/>
                <w:szCs w:val="14"/>
                <w:b w:val="1"/>
                <w:bCs w:val="1"/>
                <w:color w:val="auto"/>
              </w:rPr>
              <w:t>Nine Month Period</w:t>
            </w:r>
          </w:p>
        </w:tc>
      </w:tr>
      <w:tr>
        <w:trPr>
          <w:trHeight w:val="161"/>
        </w:trPr>
        <w:tc>
          <w:tcPr>
            <w:tcW w:w="5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7"/>
              </w:rPr>
              <w:t>Ended September 30,</w:t>
            </w:r>
          </w:p>
        </w:tc>
        <w:tc>
          <w:tcPr>
            <w:tcW w:w="16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5"/>
              </w:rPr>
              <w:t>Ended September 30,</w:t>
            </w:r>
          </w:p>
        </w:tc>
      </w:tr>
      <w:tr>
        <w:trPr>
          <w:trHeight w:val="142"/>
        </w:trPr>
        <w:tc>
          <w:tcPr>
            <w:tcW w:w="512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w w:val="96"/>
              </w:rPr>
              <w:t>2014</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10,925</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$ 5,526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12,044</w:t>
            </w:r>
          </w:p>
        </w:tc>
        <w:tc>
          <w:tcPr>
            <w:tcW w:w="100" w:type="dxa"/>
            <w:vAlign w:val="bottom"/>
            <w:shd w:val="clear" w:color="auto" w:fill="CCEEFF"/>
          </w:tcPr>
          <w:p>
            <w:pPr>
              <w:spacing w:after="0"/>
              <w:rPr>
                <w:sz w:val="18"/>
                <w:szCs w:val="18"/>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13,897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$ 5,601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Pr>
          <w:p>
            <w:pPr>
              <w:spacing w:after="0"/>
              <w:rPr>
                <w:sz w:val="19"/>
                <w:szCs w:val="19"/>
                <w:color w:val="auto"/>
              </w:rPr>
            </w:pPr>
          </w:p>
        </w:tc>
      </w:tr>
    </w:tbl>
    <w:p>
      <w:pPr>
        <w:spacing w:after="0" w:line="26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net asset value (“NAV”) or its equivalent redeemable at the measurement date or within the near term without redemption restrictions, or (iii) inputs other than quoted prices that are directly observable or derived principally from, or corroborated by, market data.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920" w:right="2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0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Company’s investments in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The fair value of investments in alternative investment funds is classified as Level 2 and is valued at NAV or its equivalent, which is primarily determined based on information provided by external fund administrators. Such investments are redeemable within the near term.</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fair value of investments in debt funds is classified as Level 1 when the fair values are primarily based on the publicly reported closing price for the fund, and classified as Level 2 when the fair values are primarily based on NAV or its equivalent and are redeemable within the near term.</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fair value of investments in equity funds is classified as Level 1 or 2 as follows: publicly traded asset management funds are classified as Level 1 and are valued based on the reported closing price for the fund; and investments in asset management funds redeemable in the near term are classified as Level 2 and are valued at NAV or its equivalent, which is primarily determined based on information provided by external fund administrators.</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fair value of investments in private equity funds is classified as Level 3, and is primarily based on NAV or its equivalent. Such investments are not redeemable within the near term.</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 of Notes to Condensed Consolidated Financial Statements.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 reported information regarding an investment is based on data received from external fund administrators or pricing services, the Company reviews such information and classifies the investment at the relevant level within the fair value hierarchy.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classification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December 31, 2013 within the fair value hierarchy:</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254"/>
              <w:spacing w:after="0"/>
              <w:rPr>
                <w:sz w:val="20"/>
                <w:szCs w:val="20"/>
                <w:color w:val="auto"/>
              </w:rPr>
            </w:pPr>
            <w:r>
              <w:rPr>
                <w:rFonts w:ascii="Arial" w:cs="Arial" w:eastAsia="Arial" w:hAnsi="Arial"/>
                <w:sz w:val="14"/>
                <w:szCs w:val="14"/>
                <w:b w:val="1"/>
                <w:bCs w:val="1"/>
                <w:color w:val="auto"/>
              </w:rPr>
              <w:t>September 30, 2014</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Investments: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7,185</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61,941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63,275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36,184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36,184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81,099</w:t>
            </w:r>
          </w:p>
        </w:tc>
        <w:tc>
          <w:tcPr>
            <w:tcW w:w="0" w:type="dxa"/>
            <w:vAlign w:val="bottom"/>
          </w:tcPr>
          <w:p>
            <w:pPr>
              <w:spacing w:after="0"/>
              <w:rPr>
                <w:sz w:val="1"/>
                <w:szCs w:val="1"/>
                <w:color w:val="auto"/>
              </w:rPr>
            </w:pPr>
          </w:p>
        </w:tc>
      </w:tr>
      <w:tr>
        <w:trPr>
          <w:trHeight w:val="216"/>
        </w:trPr>
        <w:tc>
          <w:tcPr>
            <w:tcW w:w="4080" w:type="dxa"/>
            <w:vAlign w:val="bottom"/>
          </w:tcPr>
          <w:p>
            <w:pPr>
              <w:ind w:left="880"/>
              <w:spacing w:after="0"/>
              <w:rPr>
                <w:sz w:val="20"/>
                <w:szCs w:val="20"/>
                <w:color w:val="auto"/>
              </w:rPr>
            </w:pPr>
            <w:r>
              <w:rPr>
                <w:rFonts w:ascii="Arial" w:cs="Arial" w:eastAsia="Arial" w:hAnsi="Arial"/>
                <w:sz w:val="18"/>
                <w:szCs w:val="18"/>
                <w:color w:val="auto"/>
              </w:rPr>
              <w:t>Equity</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211,729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211,772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117,104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117,104</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Derivatives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8,625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355,906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118,438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525,244</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80" w:type="dxa"/>
            <w:vAlign w:val="bottom"/>
            <w:vMerge w:val="continue"/>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Derivatives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209,941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209,941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209,941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218,571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December 31, 2013</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Investments: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58,054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59,394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37,030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37,030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58,769</w:t>
            </w:r>
          </w:p>
        </w:tc>
        <w:tc>
          <w:tcPr>
            <w:tcW w:w="0" w:type="dxa"/>
            <w:vAlign w:val="bottom"/>
          </w:tcPr>
          <w:p>
            <w:pPr>
              <w:spacing w:after="0"/>
              <w:rPr>
                <w:sz w:val="1"/>
                <w:szCs w:val="1"/>
                <w:color w:val="auto"/>
              </w:rPr>
            </w:pPr>
          </w:p>
        </w:tc>
      </w:tr>
      <w:tr>
        <w:trPr>
          <w:trHeight w:val="216"/>
        </w:trPr>
        <w:tc>
          <w:tcPr>
            <w:tcW w:w="4080" w:type="dxa"/>
            <w:vAlign w:val="bottom"/>
          </w:tcPr>
          <w:p>
            <w:pPr>
              <w:ind w:left="880"/>
              <w:spacing w:after="0"/>
              <w:rPr>
                <w:sz w:val="20"/>
                <w:szCs w:val="20"/>
                <w:color w:val="auto"/>
              </w:rPr>
            </w:pPr>
            <w:r>
              <w:rPr>
                <w:rFonts w:ascii="Arial" w:cs="Arial" w:eastAsia="Arial" w:hAnsi="Arial"/>
                <w:sz w:val="18"/>
                <w:szCs w:val="18"/>
                <w:color w:val="auto"/>
              </w:rPr>
              <w:t>Equity</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190,660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190,702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114,193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114,193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Derivatives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309,160</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44,090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115,533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468,783</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80" w:type="dxa"/>
            <w:vAlign w:val="bottom"/>
            <w:vMerge w:val="continue"/>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Derivatives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164,001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164,001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164,001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168,046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120" w:type="dxa"/>
            <w:vAlign w:val="bottom"/>
            <w:vMerge w:val="restart"/>
          </w:tcPr>
          <w:p>
            <w:pPr>
              <w:jc w:val="right"/>
              <w:ind w:right="131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three month and nine 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4"/>
                <w:szCs w:val="14"/>
                <w:b w:val="1"/>
                <w:bCs w:val="1"/>
                <w:color w:val="auto"/>
                <w:w w:val="90"/>
              </w:rPr>
              <w:t>Three Months Ended September 30, 2014</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Net Unrealized/</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Realized</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Included</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Beginning</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Purchases/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Other (a)</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4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1,370</w:t>
            </w:r>
          </w:p>
        </w:tc>
        <w:tc>
          <w:tcPr>
            <w:tcW w:w="60" w:type="dxa"/>
            <w:vAlign w:val="bottom"/>
          </w:tcPr>
          <w:p>
            <w:pPr>
              <w:spacing w:after="0"/>
              <w:rPr>
                <w:sz w:val="18"/>
                <w:szCs w:val="18"/>
                <w:color w:val="auto"/>
              </w:rPr>
            </w:pPr>
          </w:p>
        </w:tc>
        <w:tc>
          <w:tcPr>
            <w:tcW w:w="2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116,895</w:t>
            </w:r>
          </w:p>
        </w:tc>
        <w:tc>
          <w:tcPr>
            <w:tcW w:w="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400" w:type="dxa"/>
            <w:vAlign w:val="bottom"/>
            <w:tcBorders>
              <w:lef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(5,769)</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117,104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0" w:type="dxa"/>
            <w:vAlign w:val="bottom"/>
            <w:tcBorders>
              <w:right w:val="single" w:sz="8" w:color="auto"/>
            </w:tcBorders>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118,265</w:t>
            </w:r>
          </w:p>
        </w:tc>
        <w:tc>
          <w:tcPr>
            <w:tcW w:w="60" w:type="dxa"/>
            <w:vAlign w:val="bottom"/>
          </w:tcPr>
          <w:p>
            <w:pPr>
              <w:spacing w:after="0"/>
              <w:rPr>
                <w:sz w:val="19"/>
                <w:szCs w:val="19"/>
                <w:color w:val="auto"/>
              </w:rPr>
            </w:pPr>
          </w:p>
        </w:tc>
        <w:tc>
          <w:tcPr>
            <w:tcW w:w="2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9"/>
                <w:szCs w:val="19"/>
                <w:color w:val="auto"/>
              </w:rPr>
            </w:pPr>
          </w:p>
        </w:tc>
        <w:tc>
          <w:tcPr>
            <w:tcW w:w="6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7,498</w:t>
            </w:r>
          </w:p>
        </w:tc>
        <w:tc>
          <w:tcPr>
            <w:tcW w:w="40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(5,769)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(4,056)</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118,438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8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jc w:val="right"/>
              <w:ind w:right="220"/>
              <w:spacing w:after="0"/>
              <w:rPr>
                <w:sz w:val="20"/>
                <w:szCs w:val="20"/>
                <w:color w:val="auto"/>
              </w:rPr>
            </w:pPr>
            <w:r>
              <w:rPr>
                <w:rFonts w:ascii="Arial" w:cs="Arial" w:eastAsia="Arial" w:hAnsi="Arial"/>
                <w:sz w:val="14"/>
                <w:szCs w:val="14"/>
                <w:b w:val="1"/>
                <w:bCs w:val="1"/>
                <w:color w:val="auto"/>
                <w:w w:val="91"/>
              </w:rPr>
              <w:t>Nine Months Ended September 30, 2014</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Net Unrealized/</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Realized</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Included</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Beginning</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 Revenue-</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Purchases/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1"/>
              </w:rPr>
              <w:t>Balance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Other (a)</w:t>
            </w:r>
          </w:p>
        </w:tc>
        <w:tc>
          <w:tcPr>
            <w:tcW w:w="420" w:type="dxa"/>
            <w:vAlign w:val="bottom"/>
          </w:tcPr>
          <w:p>
            <w:pPr>
              <w:spacing w:after="0"/>
              <w:rPr>
                <w:sz w:val="14"/>
                <w:szCs w:val="14"/>
                <w:color w:val="auto"/>
              </w:rPr>
            </w:pPr>
          </w:p>
        </w:tc>
        <w:tc>
          <w:tcPr>
            <w:tcW w:w="11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3"/>
              </w:rPr>
              <w:t>Acquisitions</w:t>
            </w:r>
          </w:p>
        </w:tc>
        <w:tc>
          <w:tcPr>
            <w:tcW w:w="11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0"/>
              </w:rPr>
              <w:t>Dispositions</w:t>
            </w:r>
          </w:p>
        </w:tc>
        <w:tc>
          <w:tcPr>
            <w:tcW w:w="10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4"/>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6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1,340</w:t>
            </w:r>
          </w:p>
        </w:tc>
        <w:tc>
          <w:tcPr>
            <w:tcW w:w="60" w:type="dxa"/>
            <w:vAlign w:val="bottom"/>
          </w:tcPr>
          <w:p>
            <w:pPr>
              <w:spacing w:after="0"/>
              <w:rPr>
                <w:sz w:val="18"/>
                <w:szCs w:val="18"/>
                <w:color w:val="auto"/>
              </w:rPr>
            </w:pPr>
          </w:p>
        </w:tc>
        <w:tc>
          <w:tcPr>
            <w:tcW w:w="2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6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114,193</w:t>
            </w:r>
          </w:p>
        </w:tc>
        <w:tc>
          <w:tcPr>
            <w:tcW w:w="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8,709</w:t>
            </w:r>
          </w:p>
        </w:tc>
        <w:tc>
          <w:tcPr>
            <w:tcW w:w="400" w:type="dxa"/>
            <w:vAlign w:val="bottom"/>
            <w:tcBorders>
              <w:lef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(10,854)</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117,104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vMerge w:val="continue"/>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115,533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9,350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8,709</w:t>
            </w:r>
          </w:p>
        </w:tc>
        <w:tc>
          <w:tcPr>
            <w:tcW w:w="400" w:type="dxa"/>
            <w:vAlign w:val="bottom"/>
          </w:tcPr>
          <w:p>
            <w:pPr>
              <w:spacing w:after="0"/>
              <w:rPr>
                <w:sz w:val="19"/>
                <w:szCs w:val="19"/>
                <w:color w:val="auto"/>
              </w:rPr>
            </w:pPr>
          </w:p>
        </w:tc>
        <w:tc>
          <w:tcPr>
            <w:tcW w:w="1120" w:type="dxa"/>
            <w:vAlign w:val="bottom"/>
            <w:gridSpan w:val="4"/>
          </w:tcPr>
          <w:p>
            <w:pPr>
              <w:jc w:val="right"/>
              <w:ind w:right="360"/>
              <w:spacing w:after="0"/>
              <w:rPr>
                <w:sz w:val="20"/>
                <w:szCs w:val="20"/>
                <w:color w:val="auto"/>
              </w:rPr>
            </w:pPr>
            <w:r>
              <w:rPr>
                <w:rFonts w:ascii="Arial" w:cs="Arial" w:eastAsia="Arial" w:hAnsi="Arial"/>
                <w:sz w:val="18"/>
                <w:szCs w:val="18"/>
                <w:color w:val="auto"/>
                <w:w w:val="90"/>
              </w:rPr>
              <w:t>$ (10,854)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(4,300)</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118,438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4"/>
                <w:szCs w:val="14"/>
                <w:b w:val="1"/>
                <w:bCs w:val="1"/>
                <w:color w:val="auto"/>
                <w:w w:val="90"/>
              </w:rPr>
              <w:t>Three Months Ended September 30, 2013</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Realized</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Included</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7"/>
              </w:rPr>
              <w:t>Beginning</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Balance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Other (a)</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40" w:type="dxa"/>
            <w:vAlign w:val="bottom"/>
          </w:tcPr>
          <w:p>
            <w:pPr>
              <w:spacing w:after="0"/>
              <w:rPr>
                <w:sz w:val="14"/>
                <w:szCs w:val="14"/>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637</w:t>
            </w:r>
          </w:p>
        </w:tc>
        <w:tc>
          <w:tcPr>
            <w:tcW w:w="6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64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650</w:t>
            </w:r>
          </w:p>
        </w:tc>
        <w:tc>
          <w:tcPr>
            <w:tcW w:w="40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Private equity funds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112,833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5,174</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2,907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(6,848)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115,568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6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113,481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5,165</w:t>
            </w:r>
          </w:p>
        </w:tc>
        <w:tc>
          <w:tcPr>
            <w:tcW w:w="6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400" w:type="dxa"/>
            <w:vAlign w:val="bottom"/>
            <w:tcBorders>
              <w:left w:val="single" w:sz="8" w:color="CCEEFF"/>
            </w:tcBorders>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(6,848)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116,891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w w:val="89"/>
              </w:rPr>
              <w:t>16</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w w:val="91"/>
              </w:rPr>
              <w:t>Nine Months Ended September 30, 2013</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Realized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Foreign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Included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Currency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Beginning</w:t>
            </w: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3"/>
              </w:rPr>
              <w:t>Sales/</w:t>
            </w: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Other (a)</w:t>
            </w:r>
          </w:p>
        </w:tc>
        <w:tc>
          <w:tcPr>
            <w:tcW w:w="4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0"/>
              </w:rPr>
              <w:t>Acquisitions</w:t>
            </w:r>
          </w:p>
        </w:tc>
        <w:tc>
          <w:tcPr>
            <w:tcW w:w="4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Adjustments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Balance</w:t>
            </w:r>
          </w:p>
        </w:tc>
        <w:tc>
          <w:tcPr>
            <w:tcW w:w="0" w:type="dxa"/>
            <w:vAlign w:val="bottom"/>
          </w:tcPr>
          <w:p>
            <w:pPr>
              <w:spacing w:after="0"/>
              <w:rPr>
                <w:sz w:val="1"/>
                <w:szCs w:val="1"/>
                <w:color w:val="auto"/>
              </w:rPr>
            </w:pP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1,095</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(3,574)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112,444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8,912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(12,716)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115,568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116,101</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9,037</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7,261</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(16,300)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792</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116,891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8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for the three month and nine month periods ended September 30, 2014 and the three month and nine month periods ended September 30, 2013 include net unrealized gains of $810, $6,346, $2,680 and $6,007, respectively.</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nine month periods ended September 30, 2014 and 2013.</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Fair Value of Certain Investments Based on NAV</w:t>
      </w:r>
      <w:r>
        <w:rPr>
          <w:rFonts w:ascii="Arial" w:cs="Arial" w:eastAsia="Arial" w:hAnsi="Arial"/>
          <w:sz w:val="18"/>
          <w:szCs w:val="18"/>
          <w:color w:val="auto"/>
        </w:rPr>
        <w:t>—The Company’s Level 2 and Level 3 investments at September 30, 2014 and December 31,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certain investments that are valued using NAV or its equivalent as a practical expedient in determining fair value. Information with respect thereto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 2014</w:t>
            </w: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0" w:type="dxa"/>
            <w:vAlign w:val="bottom"/>
            <w:gridSpan w:val="6"/>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of</w:t>
            </w:r>
          </w:p>
        </w:tc>
        <w:tc>
          <w:tcPr>
            <w:tcW w:w="24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Investments Not Redeemable</w:t>
            </w:r>
          </w:p>
        </w:tc>
        <w:tc>
          <w:tcPr>
            <w:tcW w:w="1900" w:type="dxa"/>
            <w:vAlign w:val="bottom"/>
            <w:gridSpan w:val="3"/>
          </w:tcPr>
          <w:p>
            <w:pPr>
              <w:ind w:left="240"/>
              <w:spacing w:after="0"/>
              <w:rPr>
                <w:sz w:val="20"/>
                <w:szCs w:val="20"/>
                <w:color w:val="auto"/>
              </w:rPr>
            </w:pPr>
            <w:r>
              <w:rPr>
                <w:rFonts w:ascii="Arial" w:cs="Arial" w:eastAsia="Arial" w:hAnsi="Arial"/>
                <w:sz w:val="14"/>
                <w:szCs w:val="14"/>
                <w:b w:val="1"/>
                <w:bCs w:val="1"/>
                <w:color w:val="auto"/>
                <w:w w:val="97"/>
              </w:rPr>
              <w:t>Investments Redeemable</w:t>
            </w:r>
          </w:p>
        </w:tc>
      </w:tr>
      <w:tr>
        <w:trPr>
          <w:trHeight w:val="129"/>
        </w:trPr>
        <w:tc>
          <w:tcPr>
            <w:tcW w:w="11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Unfunded</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Fair value</w:t>
            </w: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5 Years</w:t>
            </w: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Years</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196"/>
        </w:trPr>
        <w:tc>
          <w:tcPr>
            <w:tcW w:w="39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32,344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NA</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NA</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(e)</w:t>
            </w:r>
          </w:p>
        </w:tc>
        <w:tc>
          <w:tcPr>
            <w:tcW w:w="880" w:type="dxa"/>
            <w:vAlign w:val="bottom"/>
          </w:tcPr>
          <w:p>
            <w:pPr>
              <w:spacing w:after="0"/>
              <w:rPr>
                <w:sz w:val="20"/>
                <w:szCs w:val="20"/>
                <w:color w:val="auto"/>
              </w:rPr>
            </w:pPr>
            <w:r>
              <w:rPr>
                <w:rFonts w:ascii="Arial" w:cs="Arial" w:eastAsia="Arial" w:hAnsi="Arial"/>
                <w:sz w:val="18"/>
                <w:szCs w:val="18"/>
                <w:color w:val="auto"/>
                <w:w w:val="96"/>
              </w:rPr>
              <w:t>30-90 days</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76,164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19,137(f)</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00" w:type="dxa"/>
            <w:vAlign w:val="bottom"/>
          </w:tcPr>
          <w:p>
            <w:pPr>
              <w:spacing w:after="0"/>
              <w:rPr>
                <w:sz w:val="18"/>
                <w:szCs w:val="18"/>
                <w:color w:val="auto"/>
              </w:rPr>
            </w:pPr>
          </w:p>
        </w:tc>
        <w:tc>
          <w:tcPr>
            <w:tcW w:w="560" w:type="dxa"/>
            <w:vAlign w:val="bottom"/>
          </w:tcPr>
          <w:p>
            <w:pPr>
              <w:jc w:val="right"/>
              <w:ind w:right="42"/>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61%</w:t>
            </w:r>
          </w:p>
        </w:tc>
        <w:tc>
          <w:tcPr>
            <w:tcW w:w="200" w:type="dxa"/>
            <w:vAlign w:val="bottom"/>
          </w:tcPr>
          <w:p>
            <w:pPr>
              <w:spacing w:after="0"/>
              <w:rPr>
                <w:sz w:val="18"/>
                <w:szCs w:val="18"/>
                <w:color w:val="auto"/>
              </w:rPr>
            </w:pPr>
          </w:p>
        </w:tc>
        <w:tc>
          <w:tcPr>
            <w:tcW w:w="820" w:type="dxa"/>
            <w:vAlign w:val="bottom"/>
          </w:tcPr>
          <w:p>
            <w:pPr>
              <w:jc w:val="right"/>
              <w:ind w:right="117"/>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153,335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19,137</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weekly (17%), monthly (64%) and quarterly (19%)</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(11%), weekly (5%) and monthly (84%)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(14%), monthly (58%) and quarterly (28%)</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$7,518 are excluded. Such commitments are required to be funded by capital contributions from noncontrolling interest holders.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2013</w:t>
            </w: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0" w:type="dxa"/>
            <w:vAlign w:val="bottom"/>
            <w:gridSpan w:val="6"/>
          </w:tcPr>
          <w:p>
            <w:pPr>
              <w:ind w:left="180"/>
              <w:spacing w:after="0" w:line="129" w:lineRule="exact"/>
              <w:rPr>
                <w:sz w:val="20"/>
                <w:szCs w:val="20"/>
                <w:color w:val="auto"/>
              </w:rPr>
            </w:pPr>
            <w:r>
              <w:rPr>
                <w:rFonts w:ascii="Arial" w:cs="Arial" w:eastAsia="Arial" w:hAnsi="Arial"/>
                <w:sz w:val="14"/>
                <w:szCs w:val="14"/>
                <w:b w:val="1"/>
                <w:bCs w:val="1"/>
                <w:color w:val="auto"/>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of</w:t>
            </w:r>
          </w:p>
        </w:tc>
        <w:tc>
          <w:tcPr>
            <w:tcW w:w="2400" w:type="dxa"/>
            <w:vAlign w:val="bottom"/>
            <w:gridSpan w:val="6"/>
          </w:tcPr>
          <w:p>
            <w:pPr>
              <w:ind w:left="260"/>
              <w:spacing w:after="0"/>
              <w:rPr>
                <w:sz w:val="20"/>
                <w:szCs w:val="20"/>
                <w:color w:val="auto"/>
              </w:rPr>
            </w:pPr>
            <w:r>
              <w:rPr>
                <w:rFonts w:ascii="Arial" w:cs="Arial" w:eastAsia="Arial" w:hAnsi="Arial"/>
                <w:sz w:val="14"/>
                <w:szCs w:val="14"/>
                <w:b w:val="1"/>
                <w:bCs w:val="1"/>
                <w:color w:val="auto"/>
              </w:rPr>
              <w:t>Investments Not Redeemable</w:t>
            </w:r>
          </w:p>
        </w:tc>
        <w:tc>
          <w:tcPr>
            <w:tcW w:w="1900" w:type="dxa"/>
            <w:vAlign w:val="bottom"/>
            <w:gridSpan w:val="3"/>
          </w:tcPr>
          <w:p>
            <w:pPr>
              <w:ind w:left="240"/>
              <w:spacing w:after="0"/>
              <w:rPr>
                <w:sz w:val="20"/>
                <w:szCs w:val="20"/>
                <w:color w:val="auto"/>
              </w:rPr>
            </w:pPr>
            <w:r>
              <w:rPr>
                <w:rFonts w:ascii="Arial" w:cs="Arial" w:eastAsia="Arial" w:hAnsi="Arial"/>
                <w:sz w:val="14"/>
                <w:szCs w:val="14"/>
                <w:b w:val="1"/>
                <w:bCs w:val="1"/>
                <w:color w:val="auto"/>
                <w:w w:val="97"/>
              </w:rPr>
              <w:t>Investments Redeemable</w:t>
            </w:r>
          </w:p>
        </w:tc>
      </w:tr>
      <w:tr>
        <w:trPr>
          <w:trHeight w:val="129"/>
        </w:trPr>
        <w:tc>
          <w:tcPr>
            <w:tcW w:w="11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Unfunded</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Fair value</w:t>
            </w: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5 Years</w:t>
            </w: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Years</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196"/>
        </w:trPr>
        <w:tc>
          <w:tcPr>
            <w:tcW w:w="39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31,837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(e)</w:t>
            </w:r>
          </w:p>
        </w:tc>
        <w:tc>
          <w:tcPr>
            <w:tcW w:w="880" w:type="dxa"/>
            <w:vAlign w:val="bottom"/>
          </w:tcPr>
          <w:p>
            <w:pPr>
              <w:spacing w:after="0"/>
              <w:rPr>
                <w:sz w:val="20"/>
                <w:szCs w:val="20"/>
                <w:color w:val="auto"/>
              </w:rPr>
            </w:pPr>
            <w:r>
              <w:rPr>
                <w:rFonts w:ascii="Arial" w:cs="Arial" w:eastAsia="Arial" w:hAnsi="Arial"/>
                <w:sz w:val="18"/>
                <w:szCs w:val="18"/>
                <w:color w:val="auto"/>
                <w:w w:val="96"/>
              </w:rPr>
              <w:t>30-90 days</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27,135(f)</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60%</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23%</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151,269</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27,135</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weekly (17%), monthly (65%) and quarterly (18%)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monthly (95%) and quarterly (5%)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(7%), weekly (1%) and monthly (92%)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(13%), monthly (58%) and quarterly (29%)</w:t>
      </w:r>
    </w:p>
    <w:p>
      <w:pPr>
        <w:spacing w:after="0" w:line="9"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$10,613 are excluded. Such commitments are required to be funded by capital contributions from noncontrolling interest holders.</w:t>
      </w:r>
    </w:p>
    <w:p>
      <w:pPr>
        <w:spacing w:after="0" w:line="13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See Note 4 of Notes to Condensed Consolidated Financial Statements for discussion of significant investment strategies for investments with value based on NAV.</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September 30, 2014, the Company’s maximum unfunded commitments for capital contributions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funds arose from (i) commitments to CP II, which amounted to $1,644 for potential “follow-on investments” and/or for fund expenses through the earlier of February 25, 2017 or the liquidation of the fund, (ii) commitments to EGCP III, which amounted to $12,688,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 and (iii) commitments to COF2, which amounted to $4,805, through the earlier of November 11,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fund expenses (with a portion of the undrawn amount of such commitments as of that date remaining committed until November 11, 2019 in respect of “follow-on investments” and/or fund expenses) or the liquidation of the fund.</w:t>
      </w:r>
    </w:p>
    <w:p>
      <w:pPr>
        <w:spacing w:after="0" w:line="24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are included in “interest income” and “interest expense”, respectively, or “revenue-other”, depending on the nature of the underlying item, on the consolidated statements of operations.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consolidated statements of operations.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tables below present the fair values of the Company’s derivative instruments reported within “other assets” and “other liabilities” and the fair values of the Company’s derivative liabilities relating to its obligations pertaining to LFI and other similar deferred compensation arrangements (see Note 12 of Notes to Condensed Consolidated Financial Statements) on the accompanying condensed consolidated statements of financial condition as of September 30, 2014 and December 31,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6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1160" w:type="dxa"/>
            <w:vAlign w:val="bottom"/>
            <w:tcBorders>
              <w:bottom w:val="single" w:sz="8" w:color="CCEEFF"/>
            </w:tcBorders>
          </w:tcPr>
          <w:p>
            <w:pPr>
              <w:spacing w:after="0"/>
              <w:rPr>
                <w:sz w:val="14"/>
                <w:szCs w:val="14"/>
                <w:color w:val="auto"/>
              </w:rPr>
            </w:pPr>
          </w:p>
        </w:tc>
        <w:tc>
          <w:tcPr>
            <w:tcW w:w="7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9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4,464</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8,625</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LFI and other similar deferred compensation arrangements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209,921</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162,422</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209,941</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164,001</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$4,220 and $59 as of September 30, 2014, respectively, and $2,019 and $1,587 as of December 31, 2013, respectively, for contracts with the same counterparty under legally enforceable master netting agreements. Such amounts are recorded “net” in “other assets”, with receivables for net cash collateral under such contracts of $10,434 and $11,384 as of September 30, 2014 and December 31, 2013,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nine month periods ended September 30, 2014 and 2013,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9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7540" w:type="dxa"/>
            <w:vAlign w:val="bottom"/>
          </w:tcPr>
          <w:p>
            <w:pPr>
              <w:spacing w:after="0"/>
              <w:rPr>
                <w:sz w:val="14"/>
                <w:szCs w:val="14"/>
                <w:color w:val="auto"/>
              </w:rPr>
            </w:pPr>
          </w:p>
        </w:tc>
        <w:tc>
          <w:tcPr>
            <w:tcW w:w="19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5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2014</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$15,355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(5,310)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4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580" w:type="dxa"/>
            <w:vAlign w:val="bottom"/>
          </w:tcPr>
          <w:p>
            <w:pPr>
              <w:jc w:val="right"/>
              <w:spacing w:after="0"/>
              <w:rPr>
                <w:sz w:val="20"/>
                <w:szCs w:val="20"/>
                <w:color w:val="auto"/>
              </w:rPr>
            </w:pPr>
            <w:r>
              <w:rPr>
                <w:rFonts w:ascii="Arial" w:cs="Arial" w:eastAsia="Arial" w:hAnsi="Arial"/>
                <w:sz w:val="18"/>
                <w:szCs w:val="18"/>
                <w:color w:val="auto"/>
              </w:rPr>
              <w:t>5,528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(7,519)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(6,004)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(7,767)</w:t>
            </w:r>
          </w:p>
        </w:tc>
        <w:tc>
          <w:tcPr>
            <w:tcW w:w="0" w:type="dxa"/>
            <w:vAlign w:val="bottom"/>
          </w:tcPr>
          <w:p>
            <w:pPr>
              <w:spacing w:after="0"/>
              <w:rPr>
                <w:sz w:val="1"/>
                <w:szCs w:val="1"/>
                <w:color w:val="auto"/>
              </w:rPr>
            </w:pPr>
          </w:p>
        </w:tc>
      </w:tr>
      <w:tr>
        <w:trPr>
          <w:trHeight w:val="218"/>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return swaps and 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(5,436)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(6,872)</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23,718</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(19,349)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2,940</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(16,344)</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September 30, 2014 and December 31, 2013, property consists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Estimated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504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5040" w:type="dxa"/>
            <w:vAlign w:val="bottom"/>
          </w:tcPr>
          <w:p>
            <w:pPr>
              <w:spacing w:after="0"/>
              <w:rPr>
                <w:sz w:val="14"/>
                <w:szCs w:val="14"/>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Life in Years</w:t>
            </w:r>
          </w:p>
        </w:tc>
        <w:tc>
          <w:tcPr>
            <w:tcW w:w="18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r>
      <w:tr>
        <w:trPr>
          <w:trHeight w:val="210"/>
        </w:trPr>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158,551</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173,772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40" w:type="dxa"/>
            <w:vAlign w:val="bottom"/>
          </w:tcPr>
          <w:p>
            <w:pPr>
              <w:jc w:val="right"/>
              <w:spacing w:after="0"/>
              <w:rPr>
                <w:sz w:val="20"/>
                <w:szCs w:val="20"/>
                <w:color w:val="auto"/>
              </w:rPr>
            </w:pPr>
            <w:r>
              <w:rPr>
                <w:rFonts w:ascii="Arial" w:cs="Arial" w:eastAsia="Arial" w:hAnsi="Arial"/>
                <w:sz w:val="18"/>
                <w:szCs w:val="18"/>
                <w:color w:val="auto"/>
              </w:rPr>
              <w:t>3-20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169,814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175,600</w:t>
            </w:r>
          </w:p>
        </w:tc>
        <w:tc>
          <w:tcPr>
            <w:tcW w:w="8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151,270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149,598</w:t>
            </w:r>
          </w:p>
        </w:tc>
        <w:tc>
          <w:tcPr>
            <w:tcW w:w="80" w:type="dxa"/>
            <w:vAlign w:val="bottom"/>
            <w:shd w:val="clear" w:color="auto" w:fill="CCEEFF"/>
          </w:tcPr>
          <w:p>
            <w:pPr>
              <w:spacing w:after="0"/>
              <w:rPr>
                <w:sz w:val="18"/>
                <w:szCs w:val="18"/>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w:t>
            </w:r>
          </w:p>
        </w:tc>
        <w:tc>
          <w:tcPr>
            <w:tcW w:w="80" w:type="dxa"/>
            <w:vAlign w:val="bottom"/>
          </w:tcPr>
          <w:p>
            <w:pPr>
              <w:spacing w:after="0"/>
              <w:rPr>
                <w:sz w:val="19"/>
                <w:szCs w:val="19"/>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484,871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502,726</w:t>
            </w:r>
          </w:p>
        </w:tc>
        <w:tc>
          <w:tcPr>
            <w:tcW w:w="80" w:type="dxa"/>
            <w:vAlign w:val="bottom"/>
            <w:shd w:val="clear" w:color="auto" w:fill="CCEEFF"/>
          </w:tcPr>
          <w:p>
            <w:pPr>
              <w:spacing w:after="0"/>
              <w:rPr>
                <w:sz w:val="18"/>
                <w:szCs w:val="18"/>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257,512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253,930</w:t>
            </w:r>
          </w:p>
        </w:tc>
        <w:tc>
          <w:tcPr>
            <w:tcW w:w="80" w:type="dxa"/>
            <w:vAlign w:val="bottom"/>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227,359</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248,796</w:t>
            </w:r>
          </w:p>
        </w:tc>
        <w:tc>
          <w:tcPr>
            <w:tcW w:w="80" w:type="dxa"/>
            <w:vAlign w:val="bottom"/>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September 30, 2014 and December 31, 2013 are presented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220" w:type="dxa"/>
            <w:vAlign w:val="bottom"/>
            <w:gridSpan w:val="3"/>
          </w:tcPr>
          <w:p>
            <w:pPr>
              <w:ind w:left="1380"/>
              <w:spacing w:after="0"/>
              <w:rPr>
                <w:sz w:val="20"/>
                <w:szCs w:val="20"/>
                <w:color w:val="auto"/>
              </w:rPr>
            </w:pPr>
            <w:r>
              <w:rPr>
                <w:rFonts w:ascii="Arial" w:cs="Arial" w:eastAsia="Arial" w:hAnsi="Arial"/>
                <w:sz w:val="14"/>
                <w:szCs w:val="14"/>
                <w:b w:val="1"/>
                <w:bCs w:val="1"/>
                <w:color w:val="auto"/>
                <w:w w:val="85"/>
              </w:rPr>
              <w:t>September 30,</w:t>
            </w:r>
          </w:p>
        </w:tc>
        <w:tc>
          <w:tcPr>
            <w:tcW w:w="1500" w:type="dxa"/>
            <w:vAlign w:val="bottom"/>
            <w:gridSpan w:val="4"/>
          </w:tcPr>
          <w:p>
            <w:pPr>
              <w:ind w:left="6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540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343,776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345,453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12,478</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356,254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363,877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At September 30, 2014 and December 31, 2013, goodwill of $279,235 and $280,912, respectively, was attributable to the Company’s Financial Advisory segment and, at each such respective date, $64,541 of goodwill was attributable to the Company’s Asset Management segment.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nine month periods ended September 30, 2014 and 2013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$345,453</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$364,328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Business acquisitions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3,232</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(4,909)</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(15,310)</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Balance, September 30</w:t>
            </w: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8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343,776</w:t>
            </w:r>
          </w:p>
        </w:tc>
        <w:tc>
          <w:tcPr>
            <w:tcW w:w="3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350,619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September 30, 2014 and December 31, 2013,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0"/>
              </w:rPr>
              <w:t>September 30, 2014</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2013</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Amortization</w:t>
            </w:r>
          </w:p>
        </w:tc>
        <w:tc>
          <w:tcPr>
            <w:tcW w:w="6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9,624</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33,063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30,209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2,854</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33,063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28,206</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63,803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51,325</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12,478</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63,803</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45,379</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18,424</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Amortization expense of intangible assets for the three month and nine month periods ended September 30, 2014 was $4,020 and $5,946, respectively, and for the three month and nine month periods ended September 30, 2013 was $877 and $2,758, respectively. Estimated future amortization expense is as follows:</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84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8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2014 (October 1 through December 31)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2015</w:t>
            </w:r>
          </w:p>
        </w:tc>
        <w:tc>
          <w:tcPr>
            <w:tcW w:w="7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4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4"/>
          </w:tcPr>
          <w:p>
            <w:pPr>
              <w:ind w:left="220"/>
              <w:spacing w:after="0"/>
              <w:rPr>
                <w:sz w:val="20"/>
                <w:szCs w:val="20"/>
                <w:color w:val="auto"/>
              </w:rPr>
            </w:pPr>
            <w:r>
              <w:rPr>
                <w:rFonts w:ascii="Arial" w:cs="Arial" w:eastAsia="Arial" w:hAnsi="Arial"/>
                <w:sz w:val="18"/>
                <w:szCs w:val="18"/>
                <w:color w:val="auto"/>
              </w:rPr>
              <w:t>Total amortization expense</w:t>
            </w: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Approximately 46%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September 30, 2014 and December 31,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Initial</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Annual</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w w:val="92"/>
              </w:rPr>
              <w:t>Outstanding 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82"/>
              </w:rPr>
              <w:t>September</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Principal</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Maturity</w:t>
            </w: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Interest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30,</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55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Date</w:t>
            </w: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Lazard Group 6.85% Senior Notes</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600,000</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6/15/17</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548,350</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Lazard Group 4.25% Senior Notes</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500,000</w:t>
            </w:r>
          </w:p>
        </w:tc>
        <w:tc>
          <w:tcPr>
            <w:tcW w:w="5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11/14/20</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500,000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150,000</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9/25/15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1,048,350</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1,048,350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640" w:type="dxa"/>
            <w:vAlign w:val="bottom"/>
            <w:vMerge w:val="restart"/>
          </w:tcPr>
          <w:p>
            <w:pPr>
              <w:ind w:left="4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8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November 2013, and in connection with Lazard Group’s redemption of $528,500 aggregate principal amount of its then outstanding 7.125% senior notes maturing on May 15, 2015 (the “2015 Notes”), Lazard Group issued $500,000 aggregate principal amount of 4.25% senior notes maturing on November 14, 2020 (the “2020 Notes”). Interest on the 2020 Notes is payable semi-annually on May 14 and November 14 of each year.</w:t>
      </w:r>
    </w:p>
    <w:p>
      <w:pPr>
        <w:spacing w:after="0" w:line="107" w:lineRule="exact"/>
        <w:rPr>
          <w:sz w:val="20"/>
          <w:szCs w:val="20"/>
          <w:color w:val="auto"/>
        </w:rPr>
      </w:pPr>
    </w:p>
    <w:p>
      <w:pPr>
        <w:ind w:right="240" w:firstLine="456"/>
        <w:spacing w:after="0" w:line="284" w:lineRule="auto"/>
        <w:rPr>
          <w:sz w:val="20"/>
          <w:szCs w:val="20"/>
          <w:color w:val="auto"/>
        </w:rPr>
      </w:pPr>
      <w:r>
        <w:rPr>
          <w:rFonts w:ascii="Arial" w:cs="Arial" w:eastAsia="Arial" w:hAnsi="Arial"/>
          <w:sz w:val="16"/>
          <w:szCs w:val="16"/>
          <w:color w:val="auto"/>
        </w:rPr>
        <w:t>On September 25, 2012, Lazard Group entered into a $150,000, three-year senior revolving credit facility with a group of lenders (the “Credit Facility”), which expires in September 2015. The Credit Facility replaced a similar revolving credit facility which was terminated as a condition to effectiveness of the Credit Facility. Interest rates under the Credit Facility vary and are based on either a Federal Funds rate or a Eurodollar rate, in each case plus an</w:t>
      </w:r>
    </w:p>
    <w:p>
      <w:pPr>
        <w:spacing w:after="0" w:line="1" w:lineRule="exact"/>
        <w:rPr>
          <w:sz w:val="20"/>
          <w:szCs w:val="20"/>
          <w:color w:val="auto"/>
        </w:rPr>
      </w:pPr>
    </w:p>
    <w:p>
      <w:pPr>
        <w:ind w:right="500"/>
        <w:spacing w:after="0" w:line="323" w:lineRule="auto"/>
        <w:rPr>
          <w:sz w:val="20"/>
          <w:szCs w:val="20"/>
          <w:color w:val="auto"/>
        </w:rPr>
      </w:pPr>
      <w:r>
        <w:rPr>
          <w:rFonts w:ascii="Arial" w:cs="Arial" w:eastAsia="Arial" w:hAnsi="Arial"/>
          <w:sz w:val="16"/>
          <w:szCs w:val="16"/>
          <w:color w:val="auto"/>
        </w:rPr>
        <w:t>applicable margin. As of September 30, 2014, the annual interest rate for a loan accruing interest (based on the Federal Funds overnight rate), including the applicable margin, was 0.78%. At September 30, 2014 and December 31, 2013, no amounts were outstanding under the Credit Facility.</w:t>
      </w:r>
    </w:p>
    <w:p>
      <w:pPr>
        <w:spacing w:after="0" w:line="9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 the event of early redemption, where applicable. As of September 30, 2014, the Company was in compliance with such provisions. All of the Company’s senior debt obligations are unsecured.</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September 30, 2014, the Company had approximately $262,000 in unused lines of credit available to it, including the Credit Facility, and unused lines of credit available to LFB of approximately $44,000 (at September 30, 2014 exchange rates) and Edgewater of $64,000. In the second quarter of 2014, $20,000 of Edgewater’s available lines of credit was drawn down by the general partner of EGCP III to provide a loan to EGCP III to finance a certain fund investment. The loan to EGCP III was repaid in the third quarter of 2014 from a capital call made by EGCP III to its investors. In addition, LFB has access to the Eurosystem Covered Bond Purchase Program of the Banque de France.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Company’s senior debt at September 30, 2014 and December 31, 2013 is carried at historical amounts. At those dates, the fair value of such senior debt was approximately $1,141,000 and $1,117,000, respectively, and exceeded the aggregate carrying value by approximately $93,000 and $69,000, respectively. The fair value of the Company’s senior debt is based on market quotations. The Company’s senior debt would be categorized within Level 2 of the hierarchy of fair value measurements if carried at fair value.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 At September 30, 2014, minimum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rental commitments under non-cancelable operating leases, net of sublease income, are approximately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4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2014 (October 1 through December 31)</w:t>
            </w: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2015</w:t>
            </w:r>
          </w:p>
        </w:tc>
        <w:tc>
          <w:tcPr>
            <w:tcW w:w="5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77,287</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75,672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2017</w:t>
            </w:r>
          </w:p>
        </w:tc>
        <w:tc>
          <w:tcPr>
            <w:tcW w:w="5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70,321</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64,894</w:t>
            </w:r>
          </w:p>
        </w:tc>
      </w:tr>
      <w:tr>
        <w:trPr>
          <w:trHeight w:val="223"/>
        </w:trPr>
        <w:tc>
          <w:tcPr>
            <w:tcW w:w="580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3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646,775</w:t>
            </w:r>
          </w:p>
        </w:tc>
        <w:tc>
          <w:tcPr>
            <w:tcW w:w="100" w:type="dxa"/>
            <w:vAlign w:val="bottom"/>
          </w:tcPr>
          <w:p>
            <w:pPr>
              <w:spacing w:after="0"/>
              <w:rPr>
                <w:sz w:val="19"/>
                <w:szCs w:val="19"/>
                <w:color w:val="auto"/>
              </w:rPr>
            </w:pPr>
          </w:p>
        </w:tc>
      </w:tr>
      <w:tr>
        <w:trPr>
          <w:trHeight w:val="216"/>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956,108</w:t>
            </w:r>
          </w:p>
        </w:tc>
      </w:tr>
      <w:tr>
        <w:trPr>
          <w:trHeight w:val="331"/>
        </w:trPr>
        <w:tc>
          <w:tcPr>
            <w:tcW w:w="5800" w:type="dxa"/>
            <w:vAlign w:val="bottom"/>
            <w:gridSpan w:val="3"/>
          </w:tcPr>
          <w:p>
            <w:pPr>
              <w:spacing w:after="0"/>
              <w:rPr>
                <w:sz w:val="20"/>
                <w:szCs w:val="20"/>
                <w:color w:val="auto"/>
              </w:rPr>
            </w:pPr>
            <w:r>
              <w:rPr>
                <w:rFonts w:ascii="Arial" w:cs="Arial" w:eastAsia="Arial" w:hAnsi="Arial"/>
                <w:sz w:val="18"/>
                <w:szCs w:val="18"/>
                <w:color w:val="auto"/>
              </w:rPr>
              <w:t>Sublease proceeds (a)</w:t>
            </w:r>
          </w:p>
        </w:tc>
        <w:tc>
          <w:tcPr>
            <w:tcW w:w="3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82,162</w:t>
            </w:r>
          </w:p>
        </w:tc>
        <w:tc>
          <w:tcPr>
            <w:tcW w:w="100" w:type="dxa"/>
            <w:vAlign w:val="bottom"/>
          </w:tcPr>
          <w:p>
            <w:pPr>
              <w:spacing w:after="0"/>
              <w:rPr>
                <w:sz w:val="24"/>
                <w:szCs w:val="24"/>
                <w:color w:val="auto"/>
              </w:rPr>
            </w:pPr>
          </w:p>
        </w:tc>
      </w:tr>
      <w:tr>
        <w:trPr>
          <w:trHeight w:val="216"/>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lease payments</w:t>
            </w: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873,946</w:t>
            </w:r>
          </w:p>
        </w:tc>
      </w:tr>
      <w:tr>
        <w:trPr>
          <w:trHeight w:val="20"/>
        </w:trPr>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1480" w:right="220" w:hanging="567"/>
        <w:spacing w:after="0" w:line="332" w:lineRule="auto"/>
        <w:tabs>
          <w:tab w:leader="none" w:pos="1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Committed sublease income was reduced by approximately $79,600 in the third quarter of 2014 pursuant to arrangements we entered into with LFCM Holdings LLC (“LFCM Holdings”). See Note 17 of Notes to Condensed Consolidated Financial Statements.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September 30, 2014, LFB had $4,851 of such indemnifications and held $4,357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b w:val="1"/>
          <w:bCs w:val="1"/>
          <w:i w:val="1"/>
          <w:iCs w:val="1"/>
          <w:color w:val="auto"/>
        </w:rPr>
        <w:t>Certain Business Transactions</w:t>
      </w:r>
      <w:r>
        <w:rPr>
          <w:rFonts w:ascii="Arial" w:cs="Arial" w:eastAsia="Arial" w:hAnsi="Arial"/>
          <w:sz w:val="15"/>
          <w:szCs w:val="15"/>
          <w:color w:val="auto"/>
        </w:rPr>
        <w:t>—On July 15, 2009, the Company established a private equity business with Edgewater. Edgewater manages funds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9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As of September 30, 2014 and December 31, 2013, 913,722 shares are issuable on a contingent basis, and 1,371,992 shares have been earned because applicable performance thresholds have been satisfied. As of September 30, 2014 and December 31, 2013, 1,041,436 and 1,029,006, respectively, of the earned shares have been settled.</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Contingent Consideration Relating To Other Business Acquisitions</w:t>
      </w:r>
      <w:r>
        <w:rPr>
          <w:rFonts w:ascii="Arial" w:cs="Arial" w:eastAsia="Arial" w:hAnsi="Arial"/>
          <w:sz w:val="18"/>
          <w:szCs w:val="18"/>
          <w:color w:val="auto"/>
        </w:rPr>
        <w:t>—For a business acquired in 2012, at December 31, 2012, 170,988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(including dividend equivalent shares) were issuable on 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non-contingent basis. Such shares were delivered in the first quarter of 2013. The Company is obligated to issue a maximum of 202,650 additional shares of Class A common stock if certain performance thresholds are achieved by December 31, 2014.</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have varying expiration dates, are fully collateralized and generally contain requirements for the counterparty to maintain a minimum collateral level. These commitments may not represent future cash requirements as they may expire without being drawn upon. At September 30, 2014, these commitments were not material.</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See Notes 5 and 13 of Notes to Condensed Consolidated Financial Statements for information regarding commitments relating to investment capital funding commitments and obligations to fund our pension plans, respectively.</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 has various other contractual commitments arising in the ordinary course of business. In addition, from time to time, each of LFB and LFNY (See Note 17 of Notes to Condensed Consolidated Financial Statements) may enter into underwriting commitments in which it will participate as an underwriter. At September 30, 2014, LFB and LFNY had no such underwriting commitments.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b w:val="1"/>
          <w:bCs w:val="1"/>
          <w:i w:val="1"/>
          <w:iCs w:val="1"/>
          <w:color w:val="auto"/>
        </w:rPr>
        <w:t>Lazard Group Distributions—</w:t>
      </w:r>
      <w:r>
        <w:rPr>
          <w:rFonts w:ascii="Arial" w:cs="Arial" w:eastAsia="Arial" w:hAnsi="Arial"/>
          <w:sz w:val="16"/>
          <w:szCs w:val="16"/>
          <w:color w:val="auto"/>
        </w:rPr>
        <w:t>As previously described, Lazard Group’s common membership interests are held by subsidiaries of Lazard Ltd and, until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2014, also were held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incur and, until May 2014, that the members of LAZ-MD Holdings incurred, as a result of holding Lazard Group common membership interests.</w:t>
      </w:r>
    </w:p>
    <w:p>
      <w:pPr>
        <w:spacing w:after="0" w:line="1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During the nine month periods ended September 30, 2014 and 2013, Lazard Group distributed the following amounts to LAZ-MD Holdings and the subsidiaries of Lazard Ltd (none of which related to tax distributions):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3960" w:type="dxa"/>
            <w:vAlign w:val="bottom"/>
            <w:tcBorders>
              <w:bottom w:val="single" w:sz="8" w:color="CCEEFF"/>
            </w:tcBorders>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LAZ-MD Holdings</w:t>
            </w:r>
          </w:p>
        </w:tc>
        <w:tc>
          <w:tcPr>
            <w:tcW w:w="5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Subsidiaries of Lazard Ltd</w:t>
            </w: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109,592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60,931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109,805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5660" w:type="dxa"/>
            <w:vAlign w:val="bottom"/>
            <w:vMerge w:val="restart"/>
          </w:tcPr>
          <w:p>
            <w:pPr>
              <w:jc w:val="right"/>
              <w:ind w:right="3732"/>
              <w:spacing w:after="0"/>
              <w:rPr>
                <w:sz w:val="20"/>
                <w:szCs w:val="20"/>
                <w:color w:val="auto"/>
              </w:rPr>
            </w:pPr>
            <w:r>
              <w:rPr>
                <w:rFonts w:ascii="Arial" w:cs="Arial" w:eastAsia="Arial" w:hAnsi="Arial"/>
                <w:sz w:val="18"/>
                <w:szCs w:val="18"/>
                <w:color w:val="auto"/>
              </w:rPr>
              <w:t>24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6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b w:val="1"/>
          <w:bCs w:val="1"/>
          <w:i w:val="1"/>
          <w:iCs w:val="1"/>
          <w:color w:val="auto"/>
        </w:rPr>
        <w:t>Exchanges of Lazard Group Common Membership Interests</w:t>
      </w:r>
      <w:r>
        <w:rPr>
          <w:rFonts w:ascii="Arial" w:cs="Arial" w:eastAsia="Arial" w:hAnsi="Arial"/>
          <w:sz w:val="16"/>
          <w:szCs w:val="16"/>
          <w:color w:val="auto"/>
        </w:rPr>
        <w:t>—During the nine month periods ended September 30, 2014 and 2013, Lazard Ltd issued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710,009 and 839,658 shares of Class A common stock, respectively, in connection with the exchanges of a like number of Lazard Group common membership interests (received from members of LAZ-MD Holdings in exchange for a like number of LAZ-MD Holdings exchangeable interests) (see Note 1 of Notes to Condensed Consolidated Financial Statements for a discussion of the Final Exchange of LAZ-MD Interests).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“Noncontrolling Interests” below for additional information regarding Lazard Ltd’s and LAZ-MD Holdings’ ownership interests in Lazard Group.</w:t>
      </w:r>
    </w:p>
    <w:p>
      <w:pPr>
        <w:spacing w:after="0" w:line="194"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nine month period ended September 30, 2014 and for the years ended December 31, 2013, 2012 and 2011,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of Lazard Ltd authorized the repurchase of Class A common stock and Lazard Group common membership interests as set forth in the table below.</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2"/>
              </w:rPr>
              <w:t>Share</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29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Repurchase</w:t>
            </w: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gridSpan w:val="3"/>
          </w:tcPr>
          <w:p>
            <w:pPr>
              <w:jc w:val="center"/>
              <w:ind w:right="620"/>
              <w:spacing w:after="0" w:line="148" w:lineRule="exact"/>
              <w:rPr>
                <w:sz w:val="20"/>
                <w:szCs w:val="20"/>
                <w:color w:val="auto"/>
              </w:rPr>
            </w:pPr>
            <w:r>
              <w:rPr>
                <w:rFonts w:ascii="Arial" w:cs="Arial" w:eastAsia="Arial" w:hAnsi="Arial"/>
                <w:sz w:val="14"/>
                <w:szCs w:val="14"/>
                <w:b w:val="1"/>
                <w:bCs w:val="1"/>
                <w:color w:val="auto"/>
                <w:w w:val="88"/>
              </w:rPr>
              <w:t>Authorization</w:t>
            </w:r>
          </w:p>
        </w:tc>
        <w:tc>
          <w:tcPr>
            <w:tcW w:w="1780" w:type="dxa"/>
            <w:vAlign w:val="bottom"/>
            <w:gridSpan w:val="2"/>
          </w:tcPr>
          <w:p>
            <w:pPr>
              <w:ind w:left="520"/>
              <w:spacing w:after="0" w:line="14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3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February, 2011</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w:t>
            </w:r>
          </w:p>
        </w:tc>
        <w:tc>
          <w:tcPr>
            <w:tcW w:w="6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7"/>
              </w:rPr>
              <w:t>December 31, 2012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October, 2011</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2013</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2013</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October, 2012</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2014</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2013</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April, 2014</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19"/>
                <w:szCs w:val="19"/>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2005 Equity Incentive Plan (the “2005 Plan”) and the Lazard Ltd 2008 Incentive Compensation Plan (the “2008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204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6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204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52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204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6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Membership</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20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Interests Purchased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Interest</w:t>
            </w:r>
          </w:p>
        </w:tc>
      </w:tr>
      <w:tr>
        <w:trPr>
          <w:trHeight w:val="115"/>
        </w:trPr>
        <w:tc>
          <w:tcPr>
            <w:tcW w:w="822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Nine Months Ended September 30:</w:t>
            </w:r>
          </w:p>
        </w:tc>
        <w:tc>
          <w:tcPr>
            <w:tcW w:w="1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316"/>
        </w:trPr>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2013</w:t>
            </w:r>
          </w:p>
        </w:tc>
        <w:tc>
          <w:tcPr>
            <w:tcW w:w="6180" w:type="dxa"/>
            <w:vAlign w:val="bottom"/>
            <w:tcBorders>
              <w:top w:val="single" w:sz="8" w:color="CCEEFF"/>
            </w:tcBorders>
          </w:tcPr>
          <w:p>
            <w:pPr>
              <w:spacing w:after="0"/>
              <w:rPr>
                <w:sz w:val="24"/>
                <w:szCs w:val="24"/>
                <w:color w:val="auto"/>
              </w:rPr>
            </w:pPr>
          </w:p>
        </w:tc>
        <w:tc>
          <w:tcPr>
            <w:tcW w:w="1660" w:type="dxa"/>
            <w:vAlign w:val="bottom"/>
            <w:tcBorders>
              <w:top w:val="single" w:sz="8" w:color="CCEEFF"/>
            </w:tcBorders>
            <w:gridSpan w:val="2"/>
          </w:tcPr>
          <w:p>
            <w:pPr>
              <w:jc w:val="right"/>
              <w:ind w:right="520"/>
              <w:spacing w:after="0"/>
              <w:rPr>
                <w:sz w:val="20"/>
                <w:szCs w:val="20"/>
                <w:color w:val="auto"/>
              </w:rPr>
            </w:pPr>
            <w:r>
              <w:rPr>
                <w:rFonts w:ascii="Arial" w:cs="Arial" w:eastAsia="Arial" w:hAnsi="Arial"/>
                <w:sz w:val="18"/>
                <w:szCs w:val="18"/>
                <w:color w:val="auto"/>
              </w:rPr>
              <w:t>2,201,657</w:t>
            </w:r>
          </w:p>
        </w:tc>
        <w:tc>
          <w:tcPr>
            <w:tcW w:w="6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35.40</w:t>
            </w:r>
          </w:p>
        </w:tc>
        <w:tc>
          <w:tcPr>
            <w:tcW w:w="100" w:type="dxa"/>
            <w:vAlign w:val="bottom"/>
            <w:tcBorders>
              <w:top w:val="single" w:sz="8" w:color="CCEEFF"/>
            </w:tcBorders>
          </w:tcPr>
          <w:p>
            <w:pPr>
              <w:spacing w:after="0"/>
              <w:rPr>
                <w:sz w:val="24"/>
                <w:szCs w:val="24"/>
                <w:color w:val="auto"/>
              </w:rPr>
            </w:pPr>
          </w:p>
        </w:tc>
      </w:tr>
      <w:tr>
        <w:trPr>
          <w:trHeight w:val="218"/>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4,114,206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shares purchased in the nine months ended September 30, 2014 included 1,000,000 shares purchased from Natixis S.A. on June 26, 2014 for $50,340 in connection with the sale by Natixis S.A. of its entire investment in the Company’s Class A common stock. The purchase transaction closed on July 1, 2014. As of September 30, 2014, a total of $128,932 of share repurchase authorization remained available under the Company’s share repurchase program, which will expire on December 31, 2015.</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the nine month period ended September 30, 2014, the Company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—Lazard Ltd has 15,000,000 authorized shares of preferred stock, par value $0.01 per share, inclusive of its Series A and Series 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stock. Series A and Series B preferred shares were issued in connection with certain prior year business acquisitions and are each non-participating securities convertible into Class A common stock, and have no voting or dividend rights. As of both September 30, 2014 and December 31, 2013, 7,921 shares of Series A preferred stock were outstanding, and no shares of Series B preferred stock were outstanding. At September 30, 2014 and December 31, 2013, no shares of Series A preferred stock were convertible into shares of Class A common stock on a contingent or a non-contingent basis.</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 (“AOCI”)</w:t>
      </w:r>
      <w:r>
        <w:rPr>
          <w:rFonts w:ascii="Arial" w:cs="Arial" w:eastAsia="Arial" w:hAnsi="Arial"/>
          <w:sz w:val="18"/>
          <w:szCs w:val="18"/>
          <w:color w:val="auto"/>
        </w:rPr>
        <w:t>—The tables below reflect changes in the balances of each component of AOCI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nine month periods ended September 30, 2014 and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Currency</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5"/>
          </w:tcPr>
          <w:p>
            <w:pPr>
              <w:jc w:val="center"/>
              <w:ind w:right="418"/>
              <w:spacing w:after="0" w:line="149" w:lineRule="exact"/>
              <w:rPr>
                <w:sz w:val="20"/>
                <w:szCs w:val="20"/>
                <w:color w:val="auto"/>
              </w:rPr>
            </w:pPr>
            <w:r>
              <w:rPr>
                <w:rFonts w:ascii="Arial" w:cs="Arial" w:eastAsia="Arial" w:hAnsi="Arial"/>
                <w:sz w:val="14"/>
                <w:szCs w:val="14"/>
                <w:b w:val="1"/>
                <w:bCs w:val="1"/>
                <w:color w:val="auto"/>
                <w:w w:val="87"/>
              </w:rPr>
              <w:t>Employee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5"/>
          </w:tcPr>
          <w:p>
            <w:pPr>
              <w:jc w:val="center"/>
              <w:ind w:right="418"/>
              <w:spacing w:after="0" w:line="149" w:lineRule="exact"/>
              <w:rPr>
                <w:sz w:val="20"/>
                <w:szCs w:val="20"/>
                <w:color w:val="auto"/>
              </w:rPr>
            </w:pPr>
            <w:r>
              <w:rPr>
                <w:rFonts w:ascii="Arial" w:cs="Arial" w:eastAsia="Arial" w:hAnsi="Arial"/>
                <w:sz w:val="14"/>
                <w:szCs w:val="14"/>
                <w:b w:val="1"/>
                <w:bCs w:val="1"/>
                <w:color w:val="auto"/>
                <w:w w:val="88"/>
              </w:rPr>
              <w:t>Benefit</w:t>
            </w:r>
          </w:p>
        </w:tc>
        <w:tc>
          <w:tcPr>
            <w:tcW w:w="100" w:type="dxa"/>
            <w:vAlign w:val="bottom"/>
          </w:tcPr>
          <w:p>
            <w:pPr>
              <w:spacing w:after="0"/>
              <w:rPr>
                <w:sz w:val="12"/>
                <w:szCs w:val="12"/>
                <w:color w:val="auto"/>
              </w:rPr>
            </w:pPr>
          </w:p>
        </w:tc>
        <w:tc>
          <w:tcPr>
            <w:tcW w:w="1080" w:type="dxa"/>
            <w:vAlign w:val="bottom"/>
            <w:gridSpan w:val="4"/>
          </w:tcPr>
          <w:p>
            <w:pPr>
              <w:jc w:val="right"/>
              <w:ind w:right="618"/>
              <w:spacing w:after="0" w:line="149" w:lineRule="exact"/>
              <w:rPr>
                <w:sz w:val="20"/>
                <w:szCs w:val="20"/>
                <w:color w:val="auto"/>
              </w:rPr>
            </w:pPr>
            <w:r>
              <w:rPr>
                <w:rFonts w:ascii="Arial" w:cs="Arial" w:eastAsia="Arial" w:hAnsi="Arial"/>
                <w:sz w:val="14"/>
                <w:szCs w:val="14"/>
                <w:b w:val="1"/>
                <w:bCs w:val="1"/>
                <w:color w:val="auto"/>
              </w:rPr>
              <w:t>Total</w:t>
            </w:r>
          </w:p>
        </w:tc>
        <w:tc>
          <w:tcPr>
            <w:tcW w:w="12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Lazard Ltd</w:t>
            </w:r>
          </w:p>
        </w:tc>
        <w:tc>
          <w:tcPr>
            <w:tcW w:w="0" w:type="dxa"/>
            <w:vAlign w:val="bottom"/>
          </w:tcPr>
          <w:p>
            <w:pPr>
              <w:spacing w:after="0"/>
              <w:rPr>
                <w:sz w:val="1"/>
                <w:szCs w:val="1"/>
                <w:color w:val="auto"/>
              </w:rPr>
            </w:pPr>
          </w:p>
        </w:tc>
      </w:t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Adjustments</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tcPr>
          <w:p>
            <w:pPr>
              <w:jc w:val="center"/>
              <w:ind w:right="578"/>
              <w:spacing w:after="0"/>
              <w:rPr>
                <w:sz w:val="20"/>
                <w:szCs w:val="20"/>
                <w:color w:val="auto"/>
              </w:rPr>
            </w:pPr>
            <w:r>
              <w:rPr>
                <w:rFonts w:ascii="Arial" w:cs="Arial" w:eastAsia="Arial" w:hAnsi="Arial"/>
                <w:sz w:val="14"/>
                <w:szCs w:val="14"/>
                <w:b w:val="1"/>
                <w:bCs w:val="1"/>
                <w:color w:val="auto"/>
                <w:w w:val="85"/>
              </w:rPr>
              <w:t>Plans</w:t>
            </w:r>
          </w:p>
        </w:tc>
        <w:tc>
          <w:tcPr>
            <w:tcW w:w="100" w:type="dxa"/>
            <w:vAlign w:val="bottom"/>
          </w:tcPr>
          <w:p>
            <w:pPr>
              <w:spacing w:after="0"/>
              <w:rPr>
                <w:sz w:val="14"/>
                <w:szCs w:val="14"/>
                <w:color w:val="auto"/>
              </w:rPr>
            </w:pPr>
          </w:p>
        </w:tc>
        <w:tc>
          <w:tcPr>
            <w:tcW w:w="1080" w:type="dxa"/>
            <w:vAlign w:val="bottom"/>
            <w:gridSpan w:val="4"/>
          </w:tcPr>
          <w:p>
            <w:pPr>
              <w:jc w:val="right"/>
              <w:ind w:right="578"/>
              <w:spacing w:after="0"/>
              <w:rPr>
                <w:sz w:val="20"/>
                <w:szCs w:val="20"/>
                <w:color w:val="auto"/>
              </w:rPr>
            </w:pPr>
            <w:r>
              <w:rPr>
                <w:rFonts w:ascii="Arial" w:cs="Arial" w:eastAsia="Arial" w:hAnsi="Arial"/>
                <w:sz w:val="14"/>
                <w:szCs w:val="14"/>
                <w:b w:val="1"/>
                <w:bCs w:val="1"/>
                <w:color w:val="auto"/>
              </w:rPr>
              <w:t>AOCI</w:t>
            </w:r>
          </w:p>
        </w:tc>
        <w:tc>
          <w:tcPr>
            <w:tcW w:w="160" w:type="dxa"/>
            <w:vAlign w:val="bottom"/>
          </w:tcPr>
          <w:p>
            <w:pPr>
              <w:spacing w:after="0"/>
              <w:rPr>
                <w:sz w:val="14"/>
                <w:szCs w:val="14"/>
                <w:color w:val="auto"/>
              </w:rPr>
            </w:pP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4"/>
                <w:szCs w:val="14"/>
                <w:color w:val="auto"/>
              </w:rPr>
            </w:pPr>
          </w:p>
        </w:tc>
        <w:tc>
          <w:tcPr>
            <w:tcW w:w="84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(137,431</w:t>
            </w:r>
          </w:p>
        </w:tc>
        <w:tc>
          <w:tcPr>
            <w:tcW w:w="500" w:type="dxa"/>
            <w:vAlign w:val="bottom"/>
            <w:tcBorders>
              <w:top w:val="single" w:sz="8" w:color="CCEEFF"/>
              <w:right w:val="single" w:sz="8" w:color="CCEEFF"/>
            </w:tcBorders>
            <w:shd w:val="clear" w:color="auto" w:fill="CCEEFF"/>
          </w:tcPr>
          <w:p>
            <w:pPr>
              <w:jc w:val="right"/>
              <w:ind w:right="358"/>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(133,562</w:t>
            </w:r>
          </w:p>
        </w:tc>
        <w:tc>
          <w:tcPr>
            <w:tcW w:w="320" w:type="dxa"/>
            <w:vAlign w:val="bottom"/>
            <w:tcBorders>
              <w:top w:val="single" w:sz="8" w:color="CCEEFF"/>
            </w:tcBorders>
            <w:shd w:val="clear" w:color="auto" w:fill="CCEEFF"/>
          </w:tcPr>
          <w:p>
            <w:pPr>
              <w:jc w:val="right"/>
              <w:ind w:right="178"/>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(133,004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Activity January 1 to September 30, 2014: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gain (loss) before reclassifications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(18,640)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358"/>
              <w:spacing w:after="0"/>
              <w:rPr>
                <w:sz w:val="20"/>
                <w:szCs w:val="20"/>
                <w:color w:val="auto"/>
              </w:rPr>
            </w:pPr>
            <w:r>
              <w:rPr>
                <w:rFonts w:ascii="Arial" w:cs="Arial" w:eastAsia="Arial" w:hAnsi="Arial"/>
                <w:sz w:val="18"/>
                <w:szCs w:val="18"/>
                <w:color w:val="auto"/>
                <w:w w:val="91"/>
              </w:rPr>
              <w:t>(3,695)</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78"/>
              <w:spacing w:after="0"/>
              <w:rPr>
                <w:sz w:val="20"/>
                <w:szCs w:val="20"/>
                <w:color w:val="auto"/>
              </w:rPr>
            </w:pPr>
            <w:r>
              <w:rPr>
                <w:rFonts w:ascii="Arial" w:cs="Arial" w:eastAsia="Arial" w:hAnsi="Arial"/>
                <w:sz w:val="18"/>
                <w:szCs w:val="18"/>
                <w:color w:val="auto"/>
                <w:w w:val="95"/>
              </w:rPr>
              <w:t>(22,335)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(22,894)</w:t>
            </w:r>
          </w:p>
        </w:tc>
        <w:tc>
          <w:tcPr>
            <w:tcW w:w="0" w:type="dxa"/>
            <w:vAlign w:val="bottom"/>
          </w:tcPr>
          <w:p>
            <w:pPr>
              <w:spacing w:after="0"/>
              <w:rPr>
                <w:sz w:val="1"/>
                <w:szCs w:val="1"/>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3,714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3,714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8"/>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(18,640)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78"/>
              <w:spacing w:after="0"/>
              <w:rPr>
                <w:sz w:val="20"/>
                <w:szCs w:val="20"/>
                <w:color w:val="auto"/>
              </w:rPr>
            </w:pPr>
            <w:r>
              <w:rPr>
                <w:rFonts w:ascii="Arial" w:cs="Arial" w:eastAsia="Arial" w:hAnsi="Arial"/>
                <w:sz w:val="18"/>
                <w:szCs w:val="18"/>
                <w:color w:val="auto"/>
                <w:w w:val="95"/>
              </w:rPr>
              <w:t>(18,621)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(19,180)</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Balance, September 30, 2014</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(14,771)</w:t>
            </w:r>
          </w:p>
        </w:tc>
        <w:tc>
          <w:tcPr>
            <w:tcW w:w="1620" w:type="dxa"/>
            <w:vAlign w:val="bottom"/>
            <w:gridSpan w:val="7"/>
          </w:tcPr>
          <w:p>
            <w:pPr>
              <w:jc w:val="right"/>
              <w:ind w:right="35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(137,412)</w:t>
            </w:r>
          </w:p>
        </w:tc>
        <w:tc>
          <w:tcPr>
            <w:tcW w:w="1020" w:type="dxa"/>
            <w:vAlign w:val="bottom"/>
            <w:gridSpan w:val="4"/>
          </w:tcPr>
          <w:p>
            <w:pPr>
              <w:jc w:val="right"/>
              <w:ind w:right="178"/>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(152,183)</w:t>
            </w:r>
          </w:p>
        </w:tc>
        <w:tc>
          <w:tcPr>
            <w:tcW w:w="1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(152,184)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94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Currency</w:t>
            </w:r>
          </w:p>
        </w:tc>
        <w:tc>
          <w:tcPr>
            <w:tcW w:w="20" w:type="dxa"/>
            <w:vAlign w:val="bottom"/>
          </w:tcPr>
          <w:p>
            <w:pPr>
              <w:spacing w:after="0"/>
              <w:rPr>
                <w:sz w:val="12"/>
                <w:szCs w:val="12"/>
                <w:color w:val="auto"/>
              </w:rPr>
            </w:pPr>
          </w:p>
        </w:tc>
        <w:tc>
          <w:tcPr>
            <w:tcW w:w="620" w:type="dxa"/>
            <w:vAlign w:val="bottom"/>
            <w:gridSpan w:val="3"/>
          </w:tcPr>
          <w:p>
            <w:pPr>
              <w:jc w:val="center"/>
              <w:ind w:right="5"/>
              <w:spacing w:after="0" w:line="149" w:lineRule="exact"/>
              <w:rPr>
                <w:sz w:val="20"/>
                <w:szCs w:val="20"/>
                <w:color w:val="auto"/>
              </w:rPr>
            </w:pPr>
            <w:r>
              <w:rPr>
                <w:rFonts w:ascii="Arial" w:cs="Arial" w:eastAsia="Arial" w:hAnsi="Arial"/>
                <w:sz w:val="14"/>
                <w:szCs w:val="14"/>
                <w:b w:val="1"/>
                <w:bCs w:val="1"/>
                <w:color w:val="auto"/>
                <w:w w:val="90"/>
              </w:rPr>
              <w:t>Interest</w:t>
            </w:r>
          </w:p>
        </w:tc>
        <w:tc>
          <w:tcPr>
            <w:tcW w:w="2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Employee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94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20" w:type="dxa"/>
            <w:vAlign w:val="bottom"/>
          </w:tcPr>
          <w:p>
            <w:pPr>
              <w:spacing w:after="0"/>
              <w:rPr>
                <w:sz w:val="12"/>
                <w:szCs w:val="12"/>
                <w:color w:val="auto"/>
              </w:rPr>
            </w:pPr>
          </w:p>
        </w:tc>
        <w:tc>
          <w:tcPr>
            <w:tcW w:w="620" w:type="dxa"/>
            <w:vAlign w:val="bottom"/>
            <w:gridSpan w:val="3"/>
          </w:tcPr>
          <w:p>
            <w:pPr>
              <w:jc w:val="center"/>
              <w:ind w:right="5"/>
              <w:spacing w:after="0" w:line="149" w:lineRule="exact"/>
              <w:rPr>
                <w:sz w:val="20"/>
                <w:szCs w:val="20"/>
                <w:color w:val="auto"/>
              </w:rPr>
            </w:pPr>
            <w:r>
              <w:rPr>
                <w:rFonts w:ascii="Arial" w:cs="Arial" w:eastAsia="Arial" w:hAnsi="Arial"/>
                <w:sz w:val="14"/>
                <w:szCs w:val="14"/>
                <w:b w:val="1"/>
                <w:bCs w:val="1"/>
                <w:color w:val="auto"/>
                <w:w w:val="85"/>
              </w:rPr>
              <w:t>Rate</w:t>
            </w:r>
          </w:p>
        </w:tc>
        <w:tc>
          <w:tcPr>
            <w:tcW w:w="2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Benefit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right"/>
              <w:ind w:right="318"/>
              <w:spacing w:after="0" w:line="149"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Lazard Ltd</w:t>
            </w:r>
          </w:p>
        </w:tc>
        <w:tc>
          <w:tcPr>
            <w:tcW w:w="0" w:type="dxa"/>
            <w:vAlign w:val="bottom"/>
          </w:tcPr>
          <w:p>
            <w:pPr>
              <w:spacing w:after="0"/>
              <w:rPr>
                <w:sz w:val="1"/>
                <w:szCs w:val="1"/>
                <w:color w:val="auto"/>
              </w:rPr>
            </w:pPr>
          </w:p>
        </w:tc>
      </w:tr>
      <w:tr>
        <w:trPr>
          <w:trHeight w:val="161"/>
        </w:trPr>
        <w:tc>
          <w:tcPr>
            <w:tcW w:w="55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Arial" w:cs="Arial" w:eastAsia="Arial" w:hAnsi="Arial"/>
                <w:sz w:val="14"/>
                <w:szCs w:val="14"/>
                <w:b w:val="1"/>
                <w:bCs w:val="1"/>
                <w:color w:val="auto"/>
              </w:rPr>
              <w:t>Adjustments</w:t>
            </w:r>
          </w:p>
        </w:tc>
        <w:tc>
          <w:tcPr>
            <w:tcW w:w="20" w:type="dxa"/>
            <w:vAlign w:val="bottom"/>
          </w:tcPr>
          <w:p>
            <w:pPr>
              <w:spacing w:after="0"/>
              <w:rPr>
                <w:sz w:val="14"/>
                <w:szCs w:val="14"/>
                <w:color w:val="auto"/>
              </w:rPr>
            </w:pPr>
          </w:p>
        </w:tc>
        <w:tc>
          <w:tcPr>
            <w:tcW w:w="620" w:type="dxa"/>
            <w:vAlign w:val="bottom"/>
            <w:gridSpan w:val="3"/>
          </w:tcPr>
          <w:p>
            <w:pPr>
              <w:jc w:val="center"/>
              <w:ind w:right="5"/>
              <w:spacing w:after="0"/>
              <w:rPr>
                <w:sz w:val="20"/>
                <w:szCs w:val="20"/>
                <w:color w:val="auto"/>
              </w:rPr>
            </w:pPr>
            <w:r>
              <w:rPr>
                <w:rFonts w:ascii="Arial" w:cs="Arial" w:eastAsia="Arial" w:hAnsi="Arial"/>
                <w:sz w:val="14"/>
                <w:szCs w:val="14"/>
                <w:b w:val="1"/>
                <w:bCs w:val="1"/>
                <w:color w:val="auto"/>
                <w:w w:val="88"/>
              </w:rPr>
              <w:t>Hedge</w:t>
            </w:r>
          </w:p>
        </w:tc>
        <w:tc>
          <w:tcPr>
            <w:tcW w:w="2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Plans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jc w:val="right"/>
              <w:ind w:right="258"/>
              <w:spacing w:after="0"/>
              <w:rPr>
                <w:sz w:val="20"/>
                <w:szCs w:val="20"/>
                <w:color w:val="auto"/>
              </w:rPr>
            </w:pPr>
            <w:r>
              <w:rPr>
                <w:rFonts w:ascii="Arial" w:cs="Arial" w:eastAsia="Arial" w:hAnsi="Arial"/>
                <w:sz w:val="14"/>
                <w:szCs w:val="14"/>
                <w:b w:val="1"/>
                <w:bCs w:val="1"/>
                <w:color w:val="auto"/>
              </w:rPr>
              <w:t>AOCI</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14"/>
                <w:szCs w:val="14"/>
                <w:color w:val="auto"/>
              </w:rPr>
            </w:pPr>
          </w:p>
        </w:tc>
        <w:tc>
          <w:tcPr>
            <w:tcW w:w="84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19,405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(2,502</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(128,536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1"/>
              </w:rPr>
              <w:t>$ (111,633</w:t>
            </w:r>
          </w:p>
        </w:tc>
        <w:tc>
          <w:tcPr>
            <w:tcW w:w="160" w:type="dxa"/>
            <w:vAlign w:val="bottom"/>
            <w:tcBorders>
              <w:top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(110,541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Activity January 1 to September 30, 2013: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gain (loss) before reclassifications</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(18,610)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080" w:type="dxa"/>
            <w:vAlign w:val="bottom"/>
            <w:gridSpan w:val="4"/>
            <w:shd w:val="clear" w:color="auto" w:fill="CCEEFF"/>
          </w:tcPr>
          <w:p>
            <w:pPr>
              <w:jc w:val="right"/>
              <w:ind w:right="18"/>
              <w:spacing w:after="0"/>
              <w:rPr>
                <w:sz w:val="20"/>
                <w:szCs w:val="20"/>
                <w:color w:val="auto"/>
              </w:rPr>
            </w:pPr>
            <w:r>
              <w:rPr>
                <w:rFonts w:ascii="Arial" w:cs="Arial" w:eastAsia="Arial" w:hAnsi="Arial"/>
                <w:sz w:val="18"/>
                <w:szCs w:val="18"/>
                <w:color w:val="auto"/>
              </w:rPr>
              <w:t>(21,279)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(21,730)</w:t>
            </w:r>
          </w:p>
        </w:tc>
        <w:tc>
          <w:tcPr>
            <w:tcW w:w="0" w:type="dxa"/>
            <w:vAlign w:val="bottom"/>
          </w:tcPr>
          <w:p>
            <w:pPr>
              <w:spacing w:after="0"/>
              <w:rPr>
                <w:sz w:val="1"/>
                <w:szCs w:val="1"/>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5"/>
              <w:spacing w:after="0"/>
              <w:rPr>
                <w:sz w:val="20"/>
                <w:szCs w:val="20"/>
                <w:color w:val="auto"/>
              </w:rPr>
            </w:pPr>
            <w:r>
              <w:rPr>
                <w:rFonts w:ascii="Arial" w:cs="Arial" w:eastAsia="Arial" w:hAnsi="Arial"/>
                <w:sz w:val="18"/>
                <w:szCs w:val="18"/>
                <w:color w:val="auto"/>
              </w:rPr>
              <w:t>791</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18"/>
                <w:szCs w:val="18"/>
                <w:color w:val="auto"/>
              </w:rPr>
            </w:pPr>
          </w:p>
        </w:tc>
        <w:tc>
          <w:tcPr>
            <w:tcW w:w="1080" w:type="dxa"/>
            <w:vAlign w:val="bottom"/>
            <w:gridSpan w:val="4"/>
          </w:tcPr>
          <w:p>
            <w:pPr>
              <w:jc w:val="right"/>
              <w:ind w:right="78"/>
              <w:spacing w:after="0"/>
              <w:rPr>
                <w:sz w:val="20"/>
                <w:szCs w:val="20"/>
                <w:color w:val="auto"/>
              </w:rPr>
            </w:pPr>
            <w:r>
              <w:rPr>
                <w:rFonts w:ascii="Arial" w:cs="Arial" w:eastAsia="Arial" w:hAnsi="Arial"/>
                <w:sz w:val="18"/>
                <w:szCs w:val="18"/>
                <w:color w:val="auto"/>
              </w:rPr>
              <w:t>4,444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960" w:type="dxa"/>
            <w:vAlign w:val="bottom"/>
            <w:gridSpan w:val="3"/>
          </w:tcPr>
          <w:p>
            <w:pPr>
              <w:jc w:val="right"/>
              <w:ind w:right="18"/>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(18,610)</w:t>
            </w: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5"/>
              <w:spacing w:after="0"/>
              <w:rPr>
                <w:sz w:val="20"/>
                <w:szCs w:val="20"/>
                <w:color w:val="auto"/>
              </w:rPr>
            </w:pPr>
            <w:r>
              <w:rPr>
                <w:rFonts w:ascii="Arial" w:cs="Arial" w:eastAsia="Arial" w:hAnsi="Arial"/>
                <w:sz w:val="18"/>
                <w:szCs w:val="18"/>
                <w:color w:val="auto"/>
              </w:rPr>
              <w:t>791</w:t>
            </w: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8"/>
              <w:spacing w:after="0"/>
              <w:rPr>
                <w:sz w:val="20"/>
                <w:szCs w:val="20"/>
                <w:color w:val="auto"/>
              </w:rPr>
            </w:pPr>
            <w:r>
              <w:rPr>
                <w:rFonts w:ascii="Arial" w:cs="Arial" w:eastAsia="Arial" w:hAnsi="Arial"/>
                <w:sz w:val="18"/>
                <w:szCs w:val="18"/>
                <w:color w:val="auto"/>
              </w:rPr>
              <w:t>(16,835)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(17,311)</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Balance, September 30, 2013</w:t>
            </w: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(1,711)</w:t>
            </w:r>
          </w:p>
        </w:tc>
        <w:tc>
          <w:tcPr>
            <w:tcW w:w="10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(127,552)</w:t>
            </w:r>
          </w:p>
        </w:tc>
        <w:tc>
          <w:tcPr>
            <w:tcW w:w="1080" w:type="dxa"/>
            <w:vAlign w:val="bottom"/>
            <w:gridSpan w:val="4"/>
          </w:tcPr>
          <w:p>
            <w:pPr>
              <w:jc w:val="right"/>
              <w:ind w:right="1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(128,468)</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(616)</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(127,852)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500" w:type="dxa"/>
            <w:vAlign w:val="bottom"/>
          </w:tcPr>
          <w:p>
            <w:pPr>
              <w:spacing w:after="0"/>
              <w:rPr>
                <w:sz w:val="24"/>
                <w:szCs w:val="24"/>
                <w:color w:val="auto"/>
              </w:rPr>
            </w:pPr>
          </w:p>
        </w:tc>
        <w:tc>
          <w:tcPr>
            <w:tcW w:w="740" w:type="dxa"/>
            <w:vAlign w:val="bottom"/>
            <w:gridSpan w:val="3"/>
          </w:tcPr>
          <w:p>
            <w:pPr>
              <w:jc w:val="right"/>
              <w:ind w:right="355"/>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table below reflects adjustments for items reclassified out of AOCI, by component, for the three month and nine month periods ended September 30, 2014 and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5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2013</w:t>
            </w:r>
          </w:p>
        </w:tc>
        <w:tc>
          <w:tcPr>
            <w:tcW w:w="5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interest rate hedge (a)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80" w:type="dxa"/>
            <w:vAlign w:val="bottom"/>
            <w:gridSpan w:val="3"/>
          </w:tcPr>
          <w:p>
            <w:pPr>
              <w:spacing w:after="0"/>
              <w:rPr>
                <w:sz w:val="20"/>
                <w:szCs w:val="20"/>
                <w:color w:val="auto"/>
              </w:rPr>
            </w:pPr>
            <w:r>
              <w:rPr>
                <w:rFonts w:ascii="Arial" w:cs="Arial" w:eastAsia="Arial" w:hAnsi="Arial"/>
                <w:sz w:val="18"/>
                <w:szCs w:val="18"/>
                <w:color w:val="auto"/>
              </w:rPr>
              <w:t>Amortization relating to employee benefit plans (b)</w:t>
            </w:r>
          </w:p>
        </w:tc>
        <w:tc>
          <w:tcPr>
            <w:tcW w:w="16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1,673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1,627</w:t>
            </w:r>
          </w:p>
        </w:tc>
        <w:tc>
          <w:tcPr>
            <w:tcW w:w="16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related income taxes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Arial" w:cs="Arial" w:eastAsia="Arial" w:hAnsi="Arial"/>
                <w:sz w:val="18"/>
                <w:szCs w:val="18"/>
                <w:color w:val="auto"/>
              </w:rPr>
              <w:t>Net of tax</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1,223</w:t>
            </w:r>
          </w:p>
        </w:tc>
        <w:tc>
          <w:tcPr>
            <w:tcW w:w="16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3,714</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1,487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“interest expense” on the condensed consolidated statements of operations.</w:t>
      </w:r>
    </w:p>
    <w:p>
      <w:pPr>
        <w:spacing w:after="0" w:line="15"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of Notes to Condensed Consolidated Financial Statements). Such amount is included in “compensation and benefits” expense on the condensed consolidated statement of operations.</w:t>
      </w:r>
    </w:p>
    <w:p>
      <w:pPr>
        <w:spacing w:after="0" w:line="13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(i) Lazard Group by LAZ-MD Holdings until May 2014 and (ii)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Edgewater’s management vehicles that the Company is deemed to control, but does not own. Following the Final Exchange of LAZ-MD Interests, Lazard Group became a wholly-owned indirect subsidiary of Lazard Ltd.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ownership interests in Lazard Group held by Lazard Ltd and LAZ-MD Holdings: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320" w:type="dxa"/>
            <w:vAlign w:val="bottom"/>
            <w:gridSpan w:val="2"/>
          </w:tcPr>
          <w:p>
            <w:pPr>
              <w:ind w:left="660"/>
              <w:spacing w:after="0"/>
              <w:rPr>
                <w:sz w:val="20"/>
                <w:szCs w:val="20"/>
                <w:color w:val="auto"/>
              </w:rPr>
            </w:pPr>
            <w:r>
              <w:rPr>
                <w:rFonts w:ascii="Arial" w:cs="Arial" w:eastAsia="Arial" w:hAnsi="Arial"/>
                <w:sz w:val="14"/>
                <w:szCs w:val="14"/>
                <w:b w:val="1"/>
                <w:bCs w:val="1"/>
                <w:color w:val="auto"/>
                <w:w w:val="90"/>
              </w:rPr>
              <w:t>Lazard Ltd</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LAZ-MD Holdings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92"/>
              </w:rPr>
              <w:t>Lazard Group</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43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Common</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Common</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91"/>
              </w:rPr>
              <w:t>As of September 30:</w:t>
            </w:r>
          </w:p>
        </w:tc>
        <w:tc>
          <w:tcPr>
            <w:tcW w:w="438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60" w:type="dxa"/>
            <w:vAlign w:val="bottom"/>
          </w:tcPr>
          <w:p>
            <w:pPr>
              <w:jc w:val="right"/>
              <w:ind w:right="182"/>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60" w:type="dxa"/>
            <w:vAlign w:val="bottom"/>
          </w:tcPr>
          <w:p>
            <w:pPr>
              <w:jc w:val="right"/>
              <w:ind w:right="182"/>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Membership</w:t>
            </w:r>
          </w:p>
        </w:tc>
        <w:tc>
          <w:tcPr>
            <w:tcW w:w="0" w:type="dxa"/>
            <w:vAlign w:val="bottom"/>
          </w:tcPr>
          <w:p>
            <w:pPr>
              <w:spacing w:after="0"/>
              <w:rPr>
                <w:sz w:val="1"/>
                <w:szCs w:val="1"/>
                <w:color w:val="auto"/>
              </w:rPr>
            </w:pPr>
          </w:p>
        </w:tc>
      </w:tr>
      <w:tr>
        <w:trPr>
          <w:trHeight w:val="153"/>
        </w:trPr>
        <w:tc>
          <w:tcPr>
            <w:tcW w:w="1260" w:type="dxa"/>
            <w:vAlign w:val="bottom"/>
            <w:tcBorders>
              <w:bottom w:val="single" w:sz="8" w:color="auto"/>
            </w:tcBorders>
            <w:vMerge w:val="continue"/>
          </w:tcPr>
          <w:p>
            <w:pPr>
              <w:spacing w:after="0"/>
              <w:rPr>
                <w:sz w:val="12"/>
                <w:szCs w:val="12"/>
                <w:color w:val="auto"/>
              </w:rPr>
            </w:pPr>
          </w:p>
        </w:tc>
        <w:tc>
          <w:tcPr>
            <w:tcW w:w="4380" w:type="dxa"/>
            <w:vAlign w:val="bottom"/>
          </w:tcPr>
          <w:p>
            <w:pPr>
              <w:spacing w:after="0"/>
              <w:rPr>
                <w:sz w:val="12"/>
                <w:szCs w:val="12"/>
                <w:color w:val="auto"/>
              </w:rPr>
            </w:pPr>
          </w:p>
        </w:tc>
        <w:tc>
          <w:tcPr>
            <w:tcW w:w="132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5"/>
              </w:rPr>
              <w:t>Interests</w:t>
            </w:r>
          </w:p>
        </w:tc>
        <w:tc>
          <w:tcPr>
            <w:tcW w:w="116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8"/>
              </w:rPr>
              <w:t>Ownership</w:t>
            </w:r>
          </w:p>
        </w:tc>
        <w:tc>
          <w:tcPr>
            <w:tcW w:w="112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5"/>
              </w:rPr>
              <w:t>Interests</w:t>
            </w:r>
          </w:p>
        </w:tc>
        <w:tc>
          <w:tcPr>
            <w:tcW w:w="116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w w:val="85"/>
              </w:rPr>
              <w:t>Ownership</w:t>
            </w:r>
          </w:p>
        </w:tc>
        <w:tc>
          <w:tcPr>
            <w:tcW w:w="102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20"/>
        </w:trPr>
        <w:tc>
          <w:tcPr>
            <w:tcW w:w="1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2013</w:t>
            </w:r>
          </w:p>
        </w:tc>
        <w:tc>
          <w:tcPr>
            <w:tcW w:w="438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vMerge w:val="continue"/>
            <w:shd w:val="clear" w:color="auto" w:fill="CCEEFF"/>
          </w:tcPr>
          <w:p>
            <w:pPr>
              <w:spacing w:after="0"/>
              <w:rPr>
                <w:sz w:val="17"/>
                <w:szCs w:val="17"/>
                <w:color w:val="auto"/>
              </w:rPr>
            </w:pPr>
          </w:p>
        </w:tc>
        <w:tc>
          <w:tcPr>
            <w:tcW w:w="4380" w:type="dxa"/>
            <w:vAlign w:val="bottom"/>
            <w:vMerge w:val="continue"/>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129,056,081</w:t>
            </w:r>
          </w:p>
        </w:tc>
        <w:tc>
          <w:tcPr>
            <w:tcW w:w="38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99.5%</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710,009</w:t>
            </w:r>
          </w:p>
        </w:tc>
        <w:tc>
          <w:tcPr>
            <w:tcW w:w="38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0.5%</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129,766,090</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2014</w:t>
            </w:r>
          </w:p>
        </w:tc>
        <w:tc>
          <w:tcPr>
            <w:tcW w:w="5700" w:type="dxa"/>
            <w:vAlign w:val="bottom"/>
            <w:gridSpan w:val="3"/>
          </w:tcPr>
          <w:p>
            <w:pPr>
              <w:jc w:val="right"/>
              <w:ind w:right="380"/>
              <w:spacing w:after="0"/>
              <w:rPr>
                <w:sz w:val="20"/>
                <w:szCs w:val="20"/>
                <w:color w:val="auto"/>
              </w:rPr>
            </w:pPr>
            <w:r>
              <w:rPr>
                <w:rFonts w:ascii="Arial" w:cs="Arial" w:eastAsia="Arial" w:hAnsi="Arial"/>
                <w:sz w:val="18"/>
                <w:szCs w:val="18"/>
                <w:color w:val="auto"/>
              </w:rPr>
              <w:t>129,766,090</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129,766,090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nine month periods ended September 30, 2014 and 2013 did not materially impact Lazard Ltd’s stockholders’ equity.</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nine month periods ended September 30, 2014 and 2013 and noncontrolling interests as of September 30, 2014 and December 31, 2013 in the Company’s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Net Income (Loss) Attributable To</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86"/>
              </w:rPr>
              <w:t>Noncontrolling Interests</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940" w:type="dxa"/>
            <w:vAlign w:val="bottom"/>
            <w:gridSpan w:val="4"/>
          </w:tcPr>
          <w:p>
            <w:pPr>
              <w:jc w:val="right"/>
              <w:ind w:right="580"/>
              <w:spacing w:after="0" w:line="129" w:lineRule="exact"/>
              <w:rPr>
                <w:sz w:val="20"/>
                <w:szCs w:val="20"/>
                <w:color w:val="auto"/>
              </w:rPr>
            </w:pPr>
            <w:r>
              <w:rPr>
                <w:rFonts w:ascii="Arial" w:cs="Arial" w:eastAsia="Arial" w:hAnsi="Arial"/>
                <w:sz w:val="14"/>
                <w:szCs w:val="14"/>
                <w:b w:val="1"/>
                <w:bCs w:val="1"/>
                <w:color w:val="auto"/>
                <w:w w:val="96"/>
              </w:rPr>
              <w:t>Three Months Ended</w:t>
            </w:r>
          </w:p>
        </w:tc>
        <w:tc>
          <w:tcPr>
            <w:tcW w:w="1420" w:type="dxa"/>
            <w:vAlign w:val="bottom"/>
            <w:gridSpan w:val="3"/>
          </w:tcPr>
          <w:p>
            <w:pPr>
              <w:jc w:val="right"/>
              <w:ind w:right="56"/>
              <w:spacing w:after="0" w:line="129" w:lineRule="exact"/>
              <w:rPr>
                <w:sz w:val="20"/>
                <w:szCs w:val="20"/>
                <w:color w:val="auto"/>
              </w:rPr>
            </w:pPr>
            <w:r>
              <w:rPr>
                <w:rFonts w:ascii="Arial" w:cs="Arial" w:eastAsia="Arial" w:hAnsi="Arial"/>
                <w:sz w:val="14"/>
                <w:szCs w:val="14"/>
                <w:b w:val="1"/>
                <w:bCs w:val="1"/>
                <w:color w:val="auto"/>
                <w:w w:val="96"/>
              </w:rPr>
              <w:t>Nine Months Ended</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9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52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2014</w:t>
            </w:r>
          </w:p>
        </w:tc>
        <w:tc>
          <w:tcPr>
            <w:tcW w:w="980" w:type="dxa"/>
            <w:vAlign w:val="bottom"/>
            <w:tcBorders>
              <w:top w:val="single" w:sz="8" w:color="auto"/>
            </w:tcBorders>
            <w:gridSpan w:val="2"/>
          </w:tcPr>
          <w:p>
            <w:pPr>
              <w:jc w:val="right"/>
              <w:ind w:right="57"/>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50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4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$ 1,060</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$ 2,018</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$5,732</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$4,671</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LAZ-MD Holdings</w:t>
            </w:r>
          </w:p>
        </w:tc>
        <w:tc>
          <w:tcPr>
            <w:tcW w:w="4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365</w:t>
            </w:r>
          </w:p>
        </w:tc>
        <w:tc>
          <w:tcPr>
            <w:tcW w:w="500" w:type="dxa"/>
            <w:vAlign w:val="bottom"/>
          </w:tcPr>
          <w:p>
            <w:pPr>
              <w:jc w:val="right"/>
              <w:spacing w:after="0"/>
              <w:rPr>
                <w:sz w:val="20"/>
                <w:szCs w:val="20"/>
                <w:color w:val="auto"/>
              </w:rPr>
            </w:pPr>
            <w:r>
              <w:rPr>
                <w:rFonts w:ascii="Arial" w:cs="Arial" w:eastAsia="Arial" w:hAnsi="Arial"/>
                <w:sz w:val="18"/>
                <w:szCs w:val="18"/>
                <w:color w:val="auto"/>
              </w:rPr>
              <w:t>631</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00" w:type="dxa"/>
            <w:vAlign w:val="bottom"/>
            <w:vMerge w:val="continue"/>
          </w:tcPr>
          <w:p>
            <w:pPr>
              <w:spacing w:after="0"/>
              <w:rPr>
                <w:sz w:val="19"/>
                <w:szCs w:val="19"/>
                <w:color w:val="auto"/>
              </w:rPr>
            </w:pPr>
          </w:p>
        </w:tc>
        <w:tc>
          <w:tcPr>
            <w:tcW w:w="4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$ 1,061</w:t>
            </w:r>
          </w:p>
        </w:tc>
        <w:tc>
          <w:tcPr>
            <w:tcW w:w="42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$ 2,466</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6,365</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340" w:type="dxa"/>
            <w:vAlign w:val="bottom"/>
            <w:vMerge w:val="restart"/>
          </w:tcPr>
          <w:p>
            <w:pPr>
              <w:jc w:val="right"/>
              <w:ind w:right="1952"/>
              <w:spacing w:after="0"/>
              <w:rPr>
                <w:sz w:val="20"/>
                <w:szCs w:val="20"/>
                <w:color w:val="auto"/>
              </w:rPr>
            </w:pPr>
            <w:r>
              <w:rPr>
                <w:rFonts w:ascii="Arial" w:cs="Arial" w:eastAsia="Arial" w:hAnsi="Arial"/>
                <w:sz w:val="18"/>
                <w:szCs w:val="18"/>
                <w:color w:val="auto"/>
              </w:rPr>
              <w:t>27</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w w:val="97"/>
              </w:rPr>
              <w:t>Noncontrolling Interests As Of</w:t>
            </w:r>
          </w:p>
        </w:tc>
        <w:tc>
          <w:tcPr>
            <w:tcW w:w="0" w:type="dxa"/>
            <w:vAlign w:val="bottom"/>
          </w:tcPr>
          <w:p>
            <w:pPr>
              <w:spacing w:after="0"/>
              <w:rPr>
                <w:sz w:val="1"/>
                <w:szCs w:val="1"/>
                <w:color w:val="auto"/>
              </w:rPr>
            </w:pPr>
          </w:p>
        </w:tc>
      </w:tr>
      <w:tr>
        <w:trPr>
          <w:trHeight w:val="129"/>
        </w:trPr>
        <w:tc>
          <w:tcPr>
            <w:tcW w:w="8360" w:type="dxa"/>
            <w:vAlign w:val="bottom"/>
          </w:tcPr>
          <w:p>
            <w:pPr>
              <w:spacing w:after="0"/>
              <w:rPr>
                <w:sz w:val="11"/>
                <w:szCs w:val="11"/>
                <w:color w:val="auto"/>
              </w:rPr>
            </w:pPr>
          </w:p>
        </w:tc>
        <w:tc>
          <w:tcPr>
            <w:tcW w:w="170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64,360</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66,641</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LAZ-MD Holdings</w:t>
            </w:r>
          </w:p>
        </w:tc>
        <w:tc>
          <w:tcPr>
            <w:tcW w:w="200" w:type="dxa"/>
            <w:vAlign w:val="bottom"/>
          </w:tcPr>
          <w:p>
            <w:pPr>
              <w:spacing w:after="0"/>
              <w:rPr>
                <w:sz w:val="18"/>
                <w:szCs w:val="18"/>
                <w:color w:val="auto"/>
              </w:rPr>
            </w:pPr>
          </w:p>
        </w:tc>
        <w:tc>
          <w:tcPr>
            <w:tcW w:w="150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6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65,090</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69,789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i w:val="1"/>
          <w:iCs w:val="1"/>
          <w:color w:val="auto"/>
        </w:rPr>
        <w:t>Dividend Declared, October 2014</w:t>
      </w:r>
      <w:r>
        <w:rPr>
          <w:rFonts w:ascii="Arial" w:cs="Arial" w:eastAsia="Arial" w:hAnsi="Arial"/>
          <w:sz w:val="18"/>
          <w:szCs w:val="18"/>
          <w:b w:val="1"/>
          <w:bCs w:val="1"/>
          <w:color w:val="auto"/>
        </w:rPr>
        <w:t>—</w:t>
      </w:r>
      <w:r>
        <w:rPr>
          <w:rFonts w:ascii="Arial" w:cs="Arial" w:eastAsia="Arial" w:hAnsi="Arial"/>
          <w:sz w:val="18"/>
          <w:szCs w:val="18"/>
          <w:color w:val="auto"/>
        </w:rPr>
        <w:t>On October 22, 2014, Lazard Ltd announced a quarterly dividend of $0.30 per share on its Class A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payable on November 14, 2014, to stockholders of record on November 3, 2014.</w:t>
      </w:r>
    </w:p>
    <w:p>
      <w:pPr>
        <w:spacing w:after="0" w:line="24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three month and nine month periods ended September 30, 2014 and 2013,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units (“RSUs”)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performance-based restricted stock units (“PRSUs”) and restricted stock awards) and “professional services” expense (with respect to deferred stock units (“DSUs”)) within the Company’s accompanying condensed consolidated statements of operations for the three month and nine month periods ended September 30, 2014 and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5"/>
              </w:rPr>
              <w:t>September 30,</w:t>
            </w: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2014</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2"/>
                <w:szCs w:val="12"/>
                <w:color w:val="auto"/>
              </w:rPr>
            </w:pPr>
          </w:p>
        </w:tc>
        <w:tc>
          <w:tcPr>
            <w:tcW w:w="68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36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RSUs (a)</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$39,091</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$46,095</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$132,307</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$163,184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6,467</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11,657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Restricted Stock (b)</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2,637</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2,627</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13,493</w:t>
            </w:r>
          </w:p>
        </w:tc>
        <w:tc>
          <w:tcPr>
            <w:tcW w:w="660" w:type="dxa"/>
            <w:vAlign w:val="bottom"/>
          </w:tcPr>
          <w:p>
            <w:pPr>
              <w:jc w:val="right"/>
              <w:spacing w:after="0"/>
              <w:rPr>
                <w:sz w:val="20"/>
                <w:szCs w:val="20"/>
                <w:color w:val="auto"/>
              </w:rPr>
            </w:pPr>
            <w:r>
              <w:rPr>
                <w:rFonts w:ascii="Arial" w:cs="Arial" w:eastAsia="Arial" w:hAnsi="Arial"/>
                <w:sz w:val="18"/>
                <w:szCs w:val="18"/>
                <w:color w:val="auto"/>
              </w:rPr>
              <w:t>9,712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36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80" w:type="dxa"/>
            <w:vAlign w:val="bottom"/>
          </w:tcPr>
          <w:p>
            <w:pPr>
              <w:ind w:left="440"/>
              <w:spacing w:after="0"/>
              <w:rPr>
                <w:sz w:val="20"/>
                <w:szCs w:val="20"/>
                <w:color w:val="auto"/>
              </w:rPr>
            </w:pPr>
            <w:r>
              <w:rPr>
                <w:rFonts w:ascii="Arial" w:cs="Arial" w:eastAsia="Arial" w:hAnsi="Arial"/>
                <w:sz w:val="18"/>
                <w:szCs w:val="18"/>
                <w:color w:val="auto"/>
              </w:rPr>
              <w:t>Total</w:t>
            </w:r>
          </w:p>
        </w:tc>
        <w:tc>
          <w:tcPr>
            <w:tcW w:w="4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46,787</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55,260</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159,095</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183,341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40" w:type="dxa"/>
            <w:vAlign w:val="bottom"/>
            <w:vMerge w:val="restart"/>
          </w:tcPr>
          <w:p>
            <w:pPr>
              <w:jc w:val="right"/>
              <w:ind w:right="1632"/>
              <w:spacing w:after="0"/>
              <w:rPr>
                <w:sz w:val="20"/>
                <w:szCs w:val="20"/>
                <w:color w:val="auto"/>
              </w:rPr>
            </w:pPr>
            <w:r>
              <w:rPr>
                <w:rFonts w:ascii="Arial" w:cs="Arial" w:eastAsia="Arial" w:hAnsi="Arial"/>
                <w:sz w:val="18"/>
                <w:szCs w:val="18"/>
                <w:color w:val="auto"/>
              </w:rPr>
              <w:t>28</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right="16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charges relating to the cost saving initiatives of $9,099 for the nine month period ended September 30, 2013 (see Note 14 of Notes to Condensed Consolidated Financial Statements).</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charges relating to the cost saving initiatives of $247 for the nine month period ended September 30, 2013.</w:t>
      </w:r>
    </w:p>
    <w:p>
      <w:pPr>
        <w:spacing w:after="0" w:line="165"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1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For purposes of calculating diluted net income per share, RSUs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nine month periods ended September 30, 2014 and 2013, issuances of RSUs pertaining to such dividend participation rights and respective charges to “retained earnings”, net of estimated forfeitures (with corresponding credits to “additional paid-in-capital”),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10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6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RSUs issued</w:t>
            </w:r>
          </w:p>
        </w:tc>
        <w:tc>
          <w:tcPr>
            <w:tcW w:w="2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288,272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257,418</w:t>
            </w:r>
          </w:p>
        </w:tc>
        <w:tc>
          <w:tcPr>
            <w:tcW w:w="100" w:type="dxa"/>
            <w:vAlign w:val="bottom"/>
            <w:shd w:val="clear" w:color="auto" w:fill="CCEEFF"/>
          </w:tcPr>
          <w:p>
            <w:pPr>
              <w:spacing w:after="0"/>
              <w:rPr>
                <w:sz w:val="18"/>
                <w:szCs w:val="18"/>
                <w:color w:val="auto"/>
              </w:rPr>
            </w:pPr>
          </w:p>
        </w:tc>
      </w:tr>
      <w:tr>
        <w:trPr>
          <w:trHeight w:val="222"/>
        </w:trPr>
        <w:tc>
          <w:tcPr>
            <w:tcW w:w="666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4000" w:type="dxa"/>
            <w:vAlign w:val="bottom"/>
            <w:gridSpan w:val="3"/>
          </w:tcPr>
          <w:p>
            <w:pPr>
              <w:jc w:val="right"/>
              <w:ind w:right="660"/>
              <w:spacing w:after="0"/>
              <w:rPr>
                <w:sz w:val="20"/>
                <w:szCs w:val="20"/>
                <w:color w:val="auto"/>
              </w:rPr>
            </w:pPr>
            <w:r>
              <w:rPr>
                <w:rFonts w:ascii="Arial" w:cs="Arial" w:eastAsia="Arial" w:hAnsi="Arial"/>
                <w:sz w:val="18"/>
                <w:szCs w:val="18"/>
                <w:color w:val="auto"/>
              </w:rPr>
              <w:t>$ 13,489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8,440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Non-executive members of the Board of Directors (“Non-Executive Directors”) receive approximately 55% of their annual compensation for service on the Board of Directors and its committees in the form of DSUs, which resulted in 26,360 and 39,315 DSUs granted during the nine month periods ended September 30, 2014 and 2013,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and, for purposes of calculating diluted net income per share, are included in the diluted weighted average shares of Class A common stock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outstanding using the “treasury stock” method. DSUs include a cash dividend participation right equivalent to any ordinary quarterly dividends paid on Class A common stock, and resulted in nominal cash payments for the nine month periods ended September 30, 2014 and 2013.</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nine month periods ended September 30, 2014 and 2013, 6,381 and 5,880 DSUs, respectively, had been granted pursuant to such Plan.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nine month periods ended September 30, 2014 and 2013:</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RSUs</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w w:val="90"/>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1140" w:type="dxa"/>
            <w:vAlign w:val="bottom"/>
            <w:gridSpan w:val="4"/>
          </w:tcPr>
          <w:p>
            <w:pPr>
              <w:jc w:val="center"/>
              <w:ind w:left="178"/>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4"/>
                <w:szCs w:val="14"/>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Fair Value</w:t>
            </w: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Units</w:t>
            </w:r>
          </w:p>
        </w:tc>
        <w:tc>
          <w:tcPr>
            <w:tcW w:w="38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16,630,009</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251,434</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Granted (including 288,272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3,733,113</w:t>
            </w:r>
          </w:p>
        </w:tc>
        <w:tc>
          <w:tcPr>
            <w:tcW w:w="32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42.75</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32,741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(210,458)</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(6,529,801)</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37.86</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13,622,863</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3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284,175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00" w:type="dxa"/>
            <w:vAlign w:val="bottom"/>
            <w:shd w:val="clear" w:color="auto" w:fill="CCEEFF"/>
          </w:tcPr>
          <w:p>
            <w:pPr>
              <w:spacing w:after="0"/>
              <w:rPr>
                <w:sz w:val="18"/>
                <w:szCs w:val="18"/>
                <w:color w:val="auto"/>
              </w:rPr>
            </w:pPr>
          </w:p>
        </w:tc>
      </w:tr>
      <w:tr>
        <w:trPr>
          <w:trHeight w:val="20"/>
        </w:trPr>
        <w:tc>
          <w:tcPr>
            <w:tcW w:w="622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6220" w:type="dxa"/>
            <w:vAlign w:val="bottom"/>
            <w:gridSpan w:val="2"/>
          </w:tcPr>
          <w:p>
            <w:pPr>
              <w:spacing w:after="0"/>
              <w:rPr>
                <w:sz w:val="20"/>
                <w:szCs w:val="20"/>
                <w:color w:val="auto"/>
              </w:rPr>
            </w:pPr>
            <w:r>
              <w:rPr>
                <w:rFonts w:ascii="Arial" w:cs="Arial" w:eastAsia="Arial" w:hAnsi="Arial"/>
                <w:sz w:val="18"/>
                <w:szCs w:val="18"/>
                <w:color w:val="auto"/>
              </w:rPr>
              <w:t>Balance, January 1, 2013</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21,481,131</w:t>
            </w:r>
          </w:p>
        </w:tc>
        <w:tc>
          <w:tcPr>
            <w:tcW w:w="320" w:type="dxa"/>
            <w:vAlign w:val="bottom"/>
          </w:tcPr>
          <w:p>
            <w:pPr>
              <w:spacing w:after="0"/>
              <w:rPr>
                <w:sz w:val="24"/>
                <w:szCs w:val="24"/>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33.92</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204,496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Granted (including 257,418 RSUs relating to dividend participation)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4,868,963</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(239,117)</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34.63</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(9,363,792)</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6220" w:type="dxa"/>
            <w:vAlign w:val="bottom"/>
            <w:gridSpan w:val="2"/>
          </w:tcPr>
          <w:p>
            <w:pPr>
              <w:spacing w:after="0"/>
              <w:rPr>
                <w:sz w:val="20"/>
                <w:szCs w:val="20"/>
                <w:color w:val="auto"/>
              </w:rPr>
            </w:pPr>
            <w:r>
              <w:rPr>
                <w:rFonts w:ascii="Arial" w:cs="Arial" w:eastAsia="Arial" w:hAnsi="Arial"/>
                <w:sz w:val="18"/>
                <w:szCs w:val="18"/>
                <w:color w:val="auto"/>
              </w:rPr>
              <w:t>Balance, September 30, 2013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16,747,185</w:t>
            </w:r>
          </w:p>
        </w:tc>
        <w:tc>
          <w:tcPr>
            <w:tcW w:w="320" w:type="dxa"/>
            <w:vAlign w:val="bottom"/>
          </w:tcPr>
          <w:p>
            <w:pPr>
              <w:spacing w:after="0"/>
              <w:rPr>
                <w:sz w:val="19"/>
                <w:szCs w:val="19"/>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34.30</w:t>
            </w: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249,691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RSUs that vested during the nine month periods ended September 30, 2014 and 2013, the Company satisfied its minimum statutory tax withholding requirements in lieu of issuing 1,876,398 and 3,471,813 shares of Class A common stock in the respective nine month periods. Accordingly, 4,653,403 and 5,891,979 shares of Class A common stock held by the Company were delivered during the nine month periods ended September 30, 2014 and 2013, respectively.</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fourth quarter of 2012, 958,213 RSUs were modified through forward purchase agreements into liability awards. Such liability awards were settled on March 1, 2013 for $28,612. During the nine month period ended September 30, 2013, compensation expense of $1,690 was recorded for such liability awards.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September 30, 2014, estimated unrecognized RSU compensation expense was approximately $168,382, with such expense expected to be recognized over a weighted average period of approximately 1.1 years subsequent to September 30, 2014.</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nine month periods ended September 30, 2014 and 2013:</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9"/>
              </w:rPr>
              <w:t>Restricted</w:t>
            </w:r>
          </w:p>
        </w:tc>
        <w:tc>
          <w:tcPr>
            <w:tcW w:w="10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575,054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449,911</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45.52</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(12,097)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(205,075)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35.23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807,793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80" w:type="dxa"/>
            <w:vAlign w:val="bottom"/>
            <w:shd w:val="clear" w:color="auto" w:fill="CCEEFF"/>
          </w:tcPr>
          <w:p>
            <w:pPr>
              <w:spacing w:after="0"/>
              <w:rPr>
                <w:sz w:val="18"/>
                <w:szCs w:val="18"/>
                <w:color w:val="auto"/>
              </w:rPr>
            </w:pPr>
          </w:p>
        </w:tc>
      </w:tr>
      <w:tr>
        <w:trPr>
          <w:trHeight w:val="20"/>
        </w:trPr>
        <w:tc>
          <w:tcPr>
            <w:tcW w:w="702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6"/>
        </w:trPr>
        <w:tc>
          <w:tcPr>
            <w:tcW w:w="7020" w:type="dxa"/>
            <w:vAlign w:val="bottom"/>
            <w:gridSpan w:val="2"/>
          </w:tcPr>
          <w:p>
            <w:pPr>
              <w:spacing w:after="0"/>
              <w:rPr>
                <w:sz w:val="20"/>
                <w:szCs w:val="20"/>
                <w:color w:val="auto"/>
              </w:rPr>
            </w:pPr>
            <w:r>
              <w:rPr>
                <w:rFonts w:ascii="Arial" w:cs="Arial" w:eastAsia="Arial" w:hAnsi="Arial"/>
                <w:sz w:val="18"/>
                <w:szCs w:val="18"/>
                <w:color w:val="auto"/>
              </w:rPr>
              <w:t>Balance, January 1, 2013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1,972,609</w:t>
            </w:r>
          </w:p>
        </w:tc>
        <w:tc>
          <w:tcPr>
            <w:tcW w:w="300" w:type="dxa"/>
            <w:vAlign w:val="bottom"/>
          </w:tcPr>
          <w:p>
            <w:pPr>
              <w:spacing w:after="0"/>
              <w:rPr>
                <w:sz w:val="24"/>
                <w:szCs w:val="24"/>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34.85</w:t>
            </w:r>
          </w:p>
        </w:tc>
        <w:tc>
          <w:tcPr>
            <w:tcW w:w="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368,736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(35,794)</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33.35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(1,728,509)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80" w:type="dxa"/>
            <w:vAlign w:val="bottom"/>
            <w:shd w:val="clear" w:color="auto" w:fill="CCEEFF"/>
          </w:tcPr>
          <w:p>
            <w:pPr>
              <w:spacing w:after="0"/>
              <w:rPr>
                <w:sz w:val="18"/>
                <w:szCs w:val="18"/>
                <w:color w:val="auto"/>
              </w:rPr>
            </w:pP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color w:val="auto"/>
              </w:rPr>
              <w:t>Balance, September 30, 2013</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577,042</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32.72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nine month periods ended September 30, 2014 and 2013, the Company satisfied its minimum statutory tax withholding requirements in lieu of delivering 29,999 and 18,631 shares of Class A common stock during the respective nine month periods. Accordingly, 175,076 and 1,709,878 shares of Class A common stock held by the Company were delivered during the nine month periods ended September 30, 2014 and 2013, respectively.</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restricted stock awards include a cash dividend participation right equivalent to any ordinary quarterly dividends paid on Class A common stock during the period, which will vest concurrently with the underlying restricted stock award. At September 30, 2014, estimated unrecognized restricted stock expense was approximately $13,460, with such expense to be recognized over a weighted average period of approximately 1.4 years subsequent to September 30, 2014.</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can range from zero to two times the target number (or, for PRSUs granted in 2013, three times the target number in the event of a substantial increase in fiscal year 2014 revenue (adjusted for certain items)). The PRSUs granted in 2014 will vest on a single date three years following the date of the grant and the PRSUs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granted in 2013 will vest 33% in March 2015 and 67% in March 2016, in each case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receive dividend equivalents at the same rate that dividends are paid on Class A common stock during such period. These dividend equivalents are credited as RSUs that are not subject to the performance-based vesting criteria but are otherwise subject to the same restrictions as the underlying PRSUs to which they relate.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activity relating to PRSUs during the nine month periods ended September 30, 2014 and 2013 at the target level:</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7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7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76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PRSUs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7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448,128</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360,783</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19"/>
                <w:szCs w:val="19"/>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808,911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7"/>
        </w:trPr>
        <w:tc>
          <w:tcPr>
            <w:tcW w:w="7620" w:type="dxa"/>
            <w:vAlign w:val="bottom"/>
          </w:tcPr>
          <w:p>
            <w:pPr>
              <w:spacing w:after="0"/>
              <w:rPr>
                <w:sz w:val="20"/>
                <w:szCs w:val="20"/>
                <w:color w:val="auto"/>
              </w:rPr>
            </w:pPr>
            <w:r>
              <w:rPr>
                <w:rFonts w:ascii="Arial" w:cs="Arial" w:eastAsia="Arial" w:hAnsi="Arial"/>
                <w:sz w:val="18"/>
                <w:szCs w:val="18"/>
                <w:color w:val="auto"/>
              </w:rPr>
              <w:t>Balance, January 1, 2013</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448,128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8"/>
                <w:szCs w:val="18"/>
                <w:color w:val="auto"/>
              </w:rPr>
            </w:pP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Balance, September 30, 2013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448,128</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September 30, 2014, the total estimated unrecognized compensation expense was approximately $23,850, and the Company expects to amortize such expense over a weighted-average period of approximately 1.6 years subsequent to September 30, 2014.</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Commencing in February 2011, the Company granted LFI to eligible employees. In connection with the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activity relating to LFI and other similar deferred compensation arrangements during the nine 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2013:</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78"/>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60,433</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92,728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92,728</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(54,293)</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(1,320)</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(57,287)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6,527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Balance, September 30, 2014</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94,003</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209,921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78"/>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47,445</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72,217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72,217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(22,903)</w:t>
            </w:r>
          </w:p>
        </w:tc>
        <w:tc>
          <w:tcPr>
            <w:tcW w:w="0" w:type="dxa"/>
            <w:vAlign w:val="bottom"/>
          </w:tcPr>
          <w:p>
            <w:pPr>
              <w:spacing w:after="0"/>
              <w:rPr>
                <w:sz w:val="1"/>
                <w:szCs w:val="1"/>
                <w:color w:val="auto"/>
              </w:rPr>
            </w:pPr>
          </w:p>
        </w:tc>
      </w:tr>
      <w:tr>
        <w:trPr>
          <w:trHeight w:val="229"/>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(765)</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(44,195)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7,767</w:t>
            </w:r>
          </w:p>
        </w:tc>
        <w:tc>
          <w:tcPr>
            <w:tcW w:w="0" w:type="dxa"/>
            <w:vAlign w:val="bottom"/>
          </w:tcPr>
          <w:p>
            <w:pPr>
              <w:spacing w:after="0"/>
              <w:rPr>
                <w:sz w:val="1"/>
                <w:szCs w:val="1"/>
                <w:color w:val="auto"/>
              </w:rPr>
            </w:pP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Balance, September 30, 2013</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74,485</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156,306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1.7 years subsequent to September 30, 2014.</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nine month periods ended September 30, 2014 and 2013: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gridSpan w:val="5"/>
          </w:tcPr>
          <w:p>
            <w:pPr>
              <w:ind w:left="380"/>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net of forfeitures (a)</w:t>
            </w:r>
          </w:p>
        </w:tc>
        <w:tc>
          <w:tcPr>
            <w:tcW w:w="1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$21,310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$15,049</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$63,226</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Change in the fair value of underlying investments</w:t>
            </w:r>
          </w:p>
        </w:tc>
        <w:tc>
          <w:tcPr>
            <w:tcW w:w="15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(5,528)</w:t>
            </w: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7,519</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6,004</w:t>
            </w:r>
          </w:p>
        </w:tc>
        <w:tc>
          <w:tcPr>
            <w:tcW w:w="580" w:type="dxa"/>
            <w:vAlign w:val="bottom"/>
          </w:tcPr>
          <w:p>
            <w:pPr>
              <w:jc w:val="right"/>
              <w:spacing w:after="0"/>
              <w:rPr>
                <w:sz w:val="20"/>
                <w:szCs w:val="20"/>
                <w:color w:val="auto"/>
              </w:rPr>
            </w:pPr>
            <w:r>
              <w:rPr>
                <w:rFonts w:ascii="Arial" w:cs="Arial" w:eastAsia="Arial" w:hAnsi="Arial"/>
                <w:sz w:val="18"/>
                <w:szCs w:val="18"/>
                <w:color w:val="auto"/>
              </w:rPr>
              <w:t>7,767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15,782</w:t>
            </w: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22,568</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69,230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54,917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charges relating to the cost saving initiatives of $2,665 for the nine month period ended September 30, 2013 (see Note 14 of Notes to Condensed Consolidated Financial Statements).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(the “Trustees”). Management also evaluates from time to time whether to make voluntary contributions to the plans.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April 30, 2012, the Company and the Trustees of the U.K. pension plans concluded the December 31, 2010 triennial valuations of the plans. In connection with such valuations and a previously negotiated agreement with the Trustees, the Company and the Trustees agreed upon pension funding terms (the “agreement”) pursuant to which the Company agreed to make plan contributions of 1 million British pounds during each year from 2012 through 2020 inclusive and to make annual contributions of 1 million British pounds into an account security arrangement during each year from 2014 through 2020 inclusive. It was further agreed that, to the extent that the value of the plans’ assets falls short of the funding target for June 1, 2020 that has been agreed upon with the Trustees, the assets from the account security arrangement would be released into the plans at that date. Additionally, the Company agreed to fund the expenses of administering the plans, including certain regulator levies and the cost of other professional advisors to the plans. The terms of the agreement are subject to adjustment based on the results of subsequent triennial valuations, the first of which is currently underway. The aggregate amount in the account security arrangement was approximately $18,200 and $16,900 at September 30, 2014 and December 31, 2013, respectively, and has been recorded in “cash deposited with clearing organizations and other segregated cash” on the accompanying condensed consolidated statements of financial condition. Income on the account security arrangement accretes to the Company and is recorded in interest income.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post-retirement plans for the three month and nine month periods ended September 30, 2014 and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5"/>
          </w:tcPr>
          <w:p>
            <w:pPr>
              <w:jc w:val="right"/>
              <w:spacing w:after="0"/>
              <w:rPr>
                <w:sz w:val="20"/>
                <w:szCs w:val="20"/>
                <w:color w:val="auto"/>
              </w:rPr>
            </w:pPr>
            <w:r>
              <w:rPr>
                <w:rFonts w:ascii="Arial" w:cs="Arial" w:eastAsia="Arial" w:hAnsi="Arial"/>
                <w:sz w:val="14"/>
                <w:szCs w:val="14"/>
                <w:b w:val="1"/>
                <w:bCs w:val="1"/>
                <w:color w:val="auto"/>
              </w:rPr>
              <w:t>Pension Plans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540" w:type="dxa"/>
            <w:vAlign w:val="bottom"/>
            <w:tcBorders>
              <w:top w:val="single" w:sz="8" w:color="auto"/>
              <w:bottom w:val="single" w:sz="8" w:color="auto"/>
            </w:tcBorders>
            <w:gridSpan w:val="9"/>
          </w:tcPr>
          <w:p>
            <w:pPr>
              <w:jc w:val="right"/>
              <w:ind w:right="440"/>
              <w:spacing w:after="0" w:line="142" w:lineRule="exact"/>
              <w:rPr>
                <w:sz w:val="20"/>
                <w:szCs w:val="20"/>
                <w:color w:val="auto"/>
              </w:rPr>
            </w:pPr>
            <w:r>
              <w:rPr>
                <w:rFonts w:ascii="Arial" w:cs="Arial" w:eastAsia="Arial" w:hAnsi="Arial"/>
                <w:sz w:val="14"/>
                <w:szCs w:val="14"/>
                <w:b w:val="1"/>
                <w:bCs w:val="1"/>
                <w:color w:val="auto"/>
                <w:w w:val="87"/>
              </w:rPr>
              <w:t>Three Months Ended September 30,</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560" w:type="dxa"/>
            <w:vAlign w:val="bottom"/>
            <w:gridSpan w:val="3"/>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76"/>
              </w:rPr>
              <w:t>2013</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Benefit Cost (Credit):</w:t>
            </w: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12"/>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74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rPr>
              <w:t>7,636</w:t>
            </w:r>
          </w:p>
        </w:tc>
        <w:tc>
          <w:tcPr>
            <w:tcW w:w="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6,744</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5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740" w:type="dxa"/>
            <w:vAlign w:val="bottom"/>
            <w:gridSpan w:val="4"/>
          </w:tcPr>
          <w:p>
            <w:pPr>
              <w:jc w:val="right"/>
              <w:ind w:right="52"/>
              <w:spacing w:after="0"/>
              <w:rPr>
                <w:sz w:val="20"/>
                <w:szCs w:val="20"/>
                <w:color w:val="auto"/>
              </w:rPr>
            </w:pPr>
            <w:r>
              <w:rPr>
                <w:rFonts w:ascii="Arial" w:cs="Arial" w:eastAsia="Arial" w:hAnsi="Arial"/>
                <w:sz w:val="18"/>
                <w:szCs w:val="18"/>
                <w:color w:val="auto"/>
              </w:rPr>
              <w:t>(8,253)</w:t>
            </w:r>
          </w:p>
        </w:tc>
        <w:tc>
          <w:tcPr>
            <w:tcW w:w="6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(6,701)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12"/>
              <w:spacing w:after="0"/>
              <w:rPr>
                <w:sz w:val="20"/>
                <w:szCs w:val="20"/>
                <w:color w:val="auto"/>
              </w:rPr>
            </w:pPr>
            <w:r>
              <w:rPr>
                <w:rFonts w:ascii="Arial" w:cs="Arial" w:eastAsia="Arial" w:hAnsi="Arial"/>
                <w:sz w:val="18"/>
                <w:szCs w:val="18"/>
                <w:color w:val="auto"/>
              </w:rPr>
              <w:t>708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708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 (gain)</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w:t>
            </w:r>
          </w:p>
        </w:tc>
        <w:tc>
          <w:tcPr>
            <w:tcW w:w="50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220"/>
              <w:spacing w:after="0"/>
              <w:rPr>
                <w:sz w:val="20"/>
                <w:szCs w:val="20"/>
                <w:color w:val="auto"/>
              </w:rPr>
            </w:pPr>
            <w:r>
              <w:rPr>
                <w:rFonts w:ascii="Arial" w:cs="Arial" w:eastAsia="Arial" w:hAnsi="Arial"/>
                <w:sz w:val="18"/>
                <w:szCs w:val="18"/>
                <w:color w:val="auto"/>
              </w:rPr>
              <w:t>Net benefit cost (credit)</w:t>
            </w:r>
          </w:p>
        </w:tc>
        <w:tc>
          <w:tcPr>
            <w:tcW w:w="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vMerge w:val="continue"/>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9"/>
              </w:rPr>
              <w:t>$ 1,454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$ 1,985</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3"/>
          </w:tcPr>
          <w:p>
            <w:pPr>
              <w:jc w:val="right"/>
              <w:ind w:right="480"/>
              <w:spacing w:after="0"/>
              <w:rPr>
                <w:sz w:val="20"/>
                <w:szCs w:val="20"/>
                <w:color w:val="auto"/>
              </w:rPr>
            </w:pPr>
            <w:r>
              <w:rPr>
                <w:rFonts w:ascii="Arial" w:cs="Arial" w:eastAsia="Arial" w:hAnsi="Arial"/>
                <w:sz w:val="18"/>
                <w:szCs w:val="18"/>
                <w:color w:val="auto"/>
              </w:rPr>
              <w:t>(75)</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w w:val="85"/>
              </w:rPr>
              <w:t>Pension Plans</w:t>
            </w:r>
          </w:p>
        </w:tc>
        <w:tc>
          <w:tcPr>
            <w:tcW w:w="100" w:type="dxa"/>
            <w:vAlign w:val="bottom"/>
          </w:tcPr>
          <w:p>
            <w:pPr>
              <w:spacing w:after="0"/>
              <w:rPr>
                <w:sz w:val="24"/>
                <w:szCs w:val="24"/>
                <w:color w:val="auto"/>
              </w:rPr>
            </w:pPr>
          </w:p>
        </w:tc>
        <w:tc>
          <w:tcPr>
            <w:tcW w:w="13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540" w:type="dxa"/>
            <w:vAlign w:val="bottom"/>
            <w:tcBorders>
              <w:top w:val="single" w:sz="8" w:color="auto"/>
              <w:bottom w:val="single" w:sz="8" w:color="auto"/>
            </w:tcBorders>
            <w:gridSpan w:val="9"/>
          </w:tcPr>
          <w:p>
            <w:pPr>
              <w:jc w:val="right"/>
              <w:ind w:right="440"/>
              <w:spacing w:after="0" w:line="142" w:lineRule="exact"/>
              <w:rPr>
                <w:sz w:val="20"/>
                <w:szCs w:val="20"/>
                <w:color w:val="auto"/>
              </w:rPr>
            </w:pPr>
            <w:r>
              <w:rPr>
                <w:rFonts w:ascii="Arial" w:cs="Arial" w:eastAsia="Arial" w:hAnsi="Arial"/>
                <w:sz w:val="14"/>
                <w:szCs w:val="14"/>
                <w:b w:val="1"/>
                <w:bCs w:val="1"/>
                <w:color w:val="auto"/>
                <w:w w:val="90"/>
              </w:rPr>
              <w:t>Nine Months Ended September 30,</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Benefit Cost (Credit):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718</w:t>
            </w: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500"/>
              <w:spacing w:after="0"/>
              <w:rPr>
                <w:sz w:val="20"/>
                <w:szCs w:val="20"/>
                <w:color w:val="auto"/>
              </w:rPr>
            </w:pPr>
            <w:r>
              <w:rPr>
                <w:rFonts w:ascii="Arial" w:cs="Arial" w:eastAsia="Arial" w:hAnsi="Arial"/>
                <w:sz w:val="18"/>
                <w:szCs w:val="18"/>
                <w:color w:val="auto"/>
              </w:rPr>
              <w:t>938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520"/>
              <w:spacing w:after="0"/>
              <w:rPr>
                <w:sz w:val="20"/>
                <w:szCs w:val="20"/>
                <w:color w:val="auto"/>
              </w:rPr>
            </w:pPr>
            <w:r>
              <w:rPr>
                <w:rFonts w:ascii="Arial" w:cs="Arial" w:eastAsia="Arial" w:hAnsi="Arial"/>
                <w:sz w:val="18"/>
                <w:szCs w:val="18"/>
                <w:color w:val="auto"/>
              </w:rPr>
              <w:t>24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6"/>
              </w:rPr>
              <w:t>$ 39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22,807</w:t>
            </w:r>
          </w:p>
        </w:tc>
        <w:tc>
          <w:tcPr>
            <w:tcW w:w="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8"/>
              </w:rPr>
              <w:t>20,193</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9"/>
              </w:rPr>
              <w:t>146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9"/>
              </w:rPr>
              <w:t>(24,560)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w w:val="89"/>
              </w:rPr>
              <w:t>(20,090)</w:t>
            </w:r>
          </w:p>
        </w:tc>
        <w:tc>
          <w:tcPr>
            <w:tcW w:w="100" w:type="dxa"/>
            <w:vAlign w:val="bottom"/>
          </w:tcPr>
          <w:p>
            <w:pPr>
              <w:spacing w:after="0"/>
              <w:rPr>
                <w:sz w:val="18"/>
                <w:szCs w:val="18"/>
                <w:color w:val="auto"/>
              </w:rPr>
            </w:pPr>
          </w:p>
        </w:tc>
        <w:tc>
          <w:tcPr>
            <w:tcW w:w="8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2,176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18"/>
                <w:szCs w:val="18"/>
                <w:color w:val="auto"/>
              </w:rPr>
            </w:pPr>
          </w:p>
        </w:tc>
        <w:tc>
          <w:tcPr>
            <w:tcW w:w="8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 (gain)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5"/>
              </w:rPr>
              <w:t>(396)</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220"/>
              <w:spacing w:after="0"/>
              <w:rPr>
                <w:sz w:val="20"/>
                <w:szCs w:val="20"/>
                <w:color w:val="auto"/>
              </w:rPr>
            </w:pPr>
            <w:r>
              <w:rPr>
                <w:rFonts w:ascii="Arial" w:cs="Arial" w:eastAsia="Arial" w:hAnsi="Arial"/>
                <w:sz w:val="18"/>
                <w:szCs w:val="18"/>
                <w:color w:val="auto"/>
              </w:rPr>
              <w:t>Net benefit cost (credit)</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4,466</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5,900</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3"/>
          </w:tcPr>
          <w:p>
            <w:pPr>
              <w:jc w:val="right"/>
              <w:ind w:right="460"/>
              <w:spacing w:after="0"/>
              <w:rPr>
                <w:sz w:val="20"/>
                <w:szCs w:val="20"/>
                <w:color w:val="auto"/>
              </w:rPr>
            </w:pPr>
            <w:r>
              <w:rPr>
                <w:rFonts w:ascii="Arial" w:cs="Arial" w:eastAsia="Arial" w:hAnsi="Arial"/>
                <w:sz w:val="18"/>
                <w:szCs w:val="18"/>
                <w:color w:val="auto"/>
                <w:w w:val="85"/>
              </w:rPr>
              <w:t>(226)</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SAVING INITIATIVES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October 2012, the Company announced cost saving initiatives (the “Cost Saving Initiatives”) relating to the Company’s operations. These initiatives include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Expenses associated with the implementation of the Cost Saving Initiatives were completed during the second quarter of 2013. The Company incurred these expenses, by segment, as reflected in the tables below:</w:t>
      </w:r>
    </w:p>
    <w:p>
      <w:pPr>
        <w:spacing w:after="0" w:line="3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Financial</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4"/>
              </w:rPr>
              <w:t>Asset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Advisory</w:t>
            </w:r>
          </w:p>
        </w:tc>
        <w:tc>
          <w:tcPr>
            <w:tcW w:w="32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Management</w:t>
            </w:r>
          </w:p>
        </w:tc>
        <w:tc>
          <w:tcPr>
            <w:tcW w:w="3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Nine Month Period Ended September 30, 2013:</w:t>
            </w:r>
          </w:p>
        </w:tc>
        <w:tc>
          <w:tcPr>
            <w:tcW w:w="1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440" w:type="dxa"/>
            <w:vAlign w:val="bottom"/>
            <w:gridSpan w:val="3"/>
          </w:tcPr>
          <w:p>
            <w:pPr>
              <w:jc w:val="right"/>
              <w:ind w:right="340"/>
              <w:spacing w:after="0"/>
              <w:rPr>
                <w:sz w:val="20"/>
                <w:szCs w:val="20"/>
                <w:color w:val="auto"/>
              </w:rPr>
            </w:pPr>
            <w:r>
              <w:rPr>
                <w:rFonts w:ascii="Arial" w:cs="Arial" w:eastAsia="Arial" w:hAnsi="Arial"/>
                <w:sz w:val="18"/>
                <w:szCs w:val="18"/>
                <w:color w:val="auto"/>
              </w:rPr>
              <w:t>$45,746</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236</w:t>
            </w:r>
          </w:p>
        </w:tc>
        <w:tc>
          <w:tcPr>
            <w:tcW w:w="36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5,417</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$51,399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2,033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11,272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6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47,779</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235</w:t>
            </w:r>
          </w:p>
        </w:tc>
        <w:tc>
          <w:tcPr>
            <w:tcW w:w="36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16,689</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64,703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520" w:type="dxa"/>
            <w:vAlign w:val="bottom"/>
            <w:vMerge w:val="restart"/>
          </w:tcPr>
          <w:p>
            <w:pPr>
              <w:jc w:val="right"/>
              <w:ind w:right="452"/>
              <w:spacing w:after="0"/>
              <w:rPr>
                <w:sz w:val="20"/>
                <w:szCs w:val="20"/>
                <w:color w:val="auto"/>
              </w:rPr>
            </w:pPr>
            <w:r>
              <w:rPr>
                <w:rFonts w:ascii="Arial" w:cs="Arial" w:eastAsia="Arial" w:hAnsi="Arial"/>
                <w:sz w:val="18"/>
                <w:szCs w:val="18"/>
                <w:color w:val="auto"/>
              </w:rPr>
              <w:t>35</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5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9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Advisory</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Management</w:t>
            </w:r>
          </w:p>
        </w:tc>
        <w:tc>
          <w:tcPr>
            <w:tcW w:w="28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182"/>
        </w:trPr>
        <w:tc>
          <w:tcPr>
            <w:tcW w:w="5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Cumulative October 2012 Through</w:t>
            </w:r>
          </w:p>
        </w:tc>
        <w:tc>
          <w:tcPr>
            <w:tcW w:w="6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September 30, 2013:</w:t>
            </w:r>
          </w:p>
        </w:tc>
        <w:tc>
          <w:tcPr>
            <w:tcW w:w="6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$121,879</w:t>
            </w:r>
          </w:p>
        </w:tc>
        <w:tc>
          <w:tcPr>
            <w:tcW w:w="5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12,292</w:t>
            </w:r>
          </w:p>
        </w:tc>
        <w:tc>
          <w:tcPr>
            <w:tcW w:w="1500" w:type="dxa"/>
            <w:vAlign w:val="bottom"/>
            <w:gridSpan w:val="3"/>
          </w:tcPr>
          <w:p>
            <w:pPr>
              <w:jc w:val="right"/>
              <w:ind w:right="600"/>
              <w:spacing w:after="0"/>
              <w:rPr>
                <w:sz w:val="20"/>
                <w:szCs w:val="20"/>
                <w:color w:val="auto"/>
              </w:rPr>
            </w:pPr>
            <w:r>
              <w:rPr>
                <w:rFonts w:ascii="Arial" w:cs="Arial" w:eastAsia="Arial" w:hAnsi="Arial"/>
                <w:sz w:val="18"/>
                <w:szCs w:val="18"/>
                <w:color w:val="auto"/>
              </w:rPr>
              <w:t>$ 17,215</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$151,386</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11,729</w:t>
            </w:r>
          </w:p>
        </w:tc>
        <w:tc>
          <w:tcPr>
            <w:tcW w:w="6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15,893</w:t>
            </w:r>
          </w:p>
        </w:tc>
        <w:tc>
          <w:tcPr>
            <w:tcW w:w="100" w:type="dxa"/>
            <w:vAlign w:val="bottom"/>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$ 125,311</w:t>
            </w:r>
          </w:p>
        </w:tc>
        <w:tc>
          <w:tcPr>
            <w:tcW w:w="5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13,024</w:t>
            </w:r>
          </w:p>
        </w:tc>
        <w:tc>
          <w:tcPr>
            <w:tcW w:w="1500" w:type="dxa"/>
            <w:vAlign w:val="bottom"/>
            <w:gridSpan w:val="3"/>
          </w:tcPr>
          <w:p>
            <w:pPr>
              <w:jc w:val="right"/>
              <w:ind w:right="600"/>
              <w:spacing w:after="0"/>
              <w:rPr>
                <w:sz w:val="20"/>
                <w:szCs w:val="20"/>
                <w:color w:val="auto"/>
              </w:rPr>
            </w:pPr>
            <w:r>
              <w:rPr>
                <w:rFonts w:ascii="Arial" w:cs="Arial" w:eastAsia="Arial" w:hAnsi="Arial"/>
                <w:sz w:val="18"/>
                <w:szCs w:val="18"/>
                <w:color w:val="auto"/>
              </w:rPr>
              <w:t>$ 28,944</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167,279</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Activity related to the obligations pursuant to the Cost Saving Initiatives during the nine month period ended September 30, 2014 was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Accrued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0"/>
              </w:rPr>
              <w:t>Other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3"/>
              </w:rPr>
              <w:t>and Benefits</w:t>
            </w:r>
          </w:p>
        </w:tc>
        <w:tc>
          <w:tcPr>
            <w:tcW w:w="3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Liabilities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17,216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(9,815)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(9,965)</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Balance, September 30, 2014</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2,045</w:t>
            </w:r>
          </w:p>
        </w:tc>
        <w:tc>
          <w:tcPr>
            <w:tcW w:w="36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5,206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7,251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a portion of Lazard Group’s operating income. 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recorded income tax provisions of $23,792 and $58,614 for the three month and nine month periods ended September 30, 2014, respectively, and $18,370 and $31,335 for the three month and nine month periods ended September 30, 2013, respectively, representing effective tax rates of 20.9%, 18.3%, 22.6% and 21.8%, respectively. The difference between the U.S. federal statutory rate of 35.0% and the effective tax rates reflected above principally relates to (i) Lazard Group primarily operating as a limited liability company in the U.S., (ii) taxes payable to foreign jurisdictions that are not offset against U.S. income taxes, (iii) foreign source income (loss) not subject to U.S. income taxes (including interest on intercompany financings), (iv) change in the U.S. federal valuation allowance affecting the provision for income taxes, (v) Lazard Group’s income from U.S. operations attributable to noncontrolling interests, and (vi) U.S. state and local taxes (primarily UBT), which are incremental to the U.S. federal statutory tax rate.</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Substantially all of Lazard’s foreign operations are conducted in “pass-through” entities for U.S. income tax purposes and the Company provides for U.S. income taxes on a current basis for substantially all of those earnings. The repatriation of prior earnings attributable to “non-pass-through” entities would not result in the recognition of a material amount of additional U.S. income taxes.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redemption of partnership interests that were held by former and current managing directors of the Company (including the Company’s executive officers) in connection with the Company’s separation and recapitalization that occurred in May 2005, and the subsequent exchanges of LAZ-MD Holdings exchangeable interests for shares of Class A common stock, have resulted in increases in the tax basis of the tangible and/or intangible assets of Lazard Group. The tax receivable agreement dated as of May 10, 2005 with LFCM Holdings requires the Company to pay LFCM Holdings 85% of the cash savings, if any, in U.S. federal, state and local income tax or franchise tax that the Company actually realizes as a result of these increases in tax basis. The Company records provisions for payments under the tax receivable agreement to the extent they are probable and estimable. For the three month and nine month periods ended September 30, 2014, the Company recorded a “provision (benefit) pursuant to tax receivable agreement” on the condensed consolidated statements of operations of $(176) and $9,064, respectively (no provision was required for the three month and nine month periods ended September 30, 2013), with the liability related thereto included within “related party payables” on the condensed consolidated statement of financial condition (see Note 17 of Notes to Condensed Consolidated Financial Statements).</w:t>
      </w:r>
    </w:p>
    <w:p>
      <w:pPr>
        <w:spacing w:after="0" w:line="24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Company’s basic and diluted net income per share calculations for the three month and nine month periods ended September 30, 2014 and 2013 are computed as described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 plus applicable adjustments to such net income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of shares of Class A common stock issuable on a non-contingent basis.</w:t>
      </w:r>
    </w:p>
    <w:p>
      <w:pPr>
        <w:spacing w:after="0" w:line="132"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i w:val="1"/>
          <w:iCs w:val="1"/>
          <w:color w:val="auto"/>
        </w:rPr>
        <w:t>Denominator</w:t>
      </w:r>
      <w:r>
        <w:rPr>
          <w:rFonts w:ascii="Arial" w:cs="Arial" w:eastAsia="Arial" w:hAnsi="Arial"/>
          <w:sz w:val="16"/>
          <w:szCs w:val="16"/>
          <w:color w:val="auto"/>
        </w:rPr>
        <w:t>—utilizes the weighted average number of shares of Class A common stock outstanding for the respective periods, plus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to such shares associated with shares of Class A common stock issuable on a non-contingent basis.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 as in the basic net income per share calculation described above, plus,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applicable and dilutive, (i) changes in net income attributable to noncontrolling interests resulting from assumed Class A common stock issuances in connection with share-based incentive compensation and, on an “as-if-exchanged” basis, amounts applicable to LAZ-MD Holdings exchangeable interests and (ii) income tax related to (i) above.</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Denominator</w:t>
      </w:r>
      <w:r>
        <w:rPr>
          <w:rFonts w:ascii="Arial" w:cs="Arial" w:eastAsia="Arial" w:hAnsi="Arial"/>
          <w:sz w:val="16"/>
          <w:szCs w:val="16"/>
          <w:color w:val="auto"/>
        </w:rPr>
        <w:t>—utilizes the weighted average number of shares of Class A common stock outstanding for the respective periods as in the basic 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per share calculation described above, plus, to the extent dilutive, the incremental number of shares of Class A common stock required to settle share-based incentive compensation and LAZ-MD Holdings exchangeable interests, using the “treasury stock” method or the “as-if-exchanged” basis, as applicable.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calculations of the Company’s basic and diluted net income per share and weighted average shares outstanding for the three month and nine month periods ended September 30, 2014 and 2013 are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280" w:type="dxa"/>
            <w:vAlign w:val="bottom"/>
            <w:gridSpan w:val="3"/>
          </w:tcPr>
          <w:p>
            <w:pPr>
              <w:jc w:val="right"/>
              <w:ind w:right="43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280" w:type="dxa"/>
            <w:vAlign w:val="bottom"/>
            <w:gridSpan w:val="3"/>
          </w:tcPr>
          <w:p>
            <w:pPr>
              <w:jc w:val="right"/>
              <w:ind w:right="634"/>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24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ind w:left="400"/>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Lazard Ltd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2"/>
              </w:rPr>
              <w:t>$254,893</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5"/>
              </w:rPr>
              <w:t>Add (deduct) - adjustment associated with Class A common stock issuable on a non-</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contingent basis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 basic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254,893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Adjustments to income relating to interest expense and changes in net income</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attributable to noncontrolling interests resulting from assumed Class A common</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5"/>
              </w:rPr>
              <w:t>stock issuances in connection with share-based incentive compensation and</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exchangeable interests, net of tax</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Lazard Ltd - diluted</w:t>
            </w: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2"/>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$88,856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$60,598</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$255,497</w:t>
            </w:r>
          </w:p>
        </w:tc>
        <w:tc>
          <w:tcPr>
            <w:tcW w:w="1060" w:type="dxa"/>
            <w:vAlign w:val="bottom"/>
          </w:tcPr>
          <w:p>
            <w:pPr>
              <w:jc w:val="right"/>
              <w:spacing w:after="0"/>
              <w:rPr>
                <w:sz w:val="20"/>
                <w:szCs w:val="20"/>
                <w:color w:val="auto"/>
              </w:rPr>
            </w:pPr>
            <w:r>
              <w:rPr>
                <w:rFonts w:ascii="Arial" w:cs="Arial" w:eastAsia="Arial" w:hAnsi="Arial"/>
                <w:sz w:val="18"/>
                <w:szCs w:val="18"/>
                <w:color w:val="auto"/>
              </w:rPr>
              <w:t>$107,782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6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121,800,294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121,441,956</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121,954,428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119,797,545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0"/>
              </w:rPr>
              <w:t>Add - adjustment for shares of Class A common stock issuable on a non-contingent basis</w:t>
            </w:r>
          </w:p>
        </w:tc>
        <w:tc>
          <w:tcPr>
            <w:tcW w:w="1040" w:type="dxa"/>
            <w:vAlign w:val="bottom"/>
          </w:tcPr>
          <w:p>
            <w:pPr>
              <w:jc w:val="right"/>
              <w:spacing w:after="0"/>
              <w:rPr>
                <w:sz w:val="20"/>
                <w:szCs w:val="20"/>
                <w:color w:val="auto"/>
              </w:rPr>
            </w:pPr>
            <w:r>
              <w:rPr>
                <w:rFonts w:ascii="Arial" w:cs="Arial" w:eastAsia="Arial" w:hAnsi="Arial"/>
                <w:sz w:val="18"/>
                <w:szCs w:val="18"/>
                <w:color w:val="auto"/>
              </w:rPr>
              <w:t>406,620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757,998</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412,204</w:t>
            </w:r>
          </w:p>
        </w:tc>
        <w:tc>
          <w:tcPr>
            <w:tcW w:w="1060" w:type="dxa"/>
            <w:vAlign w:val="bottom"/>
          </w:tcPr>
          <w:p>
            <w:pPr>
              <w:jc w:val="right"/>
              <w:spacing w:after="0"/>
              <w:rPr>
                <w:sz w:val="20"/>
                <w:szCs w:val="20"/>
                <w:color w:val="auto"/>
              </w:rPr>
            </w:pPr>
            <w:r>
              <w:rPr>
                <w:rFonts w:ascii="Arial" w:cs="Arial" w:eastAsia="Arial" w:hAnsi="Arial"/>
                <w:sz w:val="18"/>
                <w:szCs w:val="18"/>
                <w:color w:val="auto"/>
              </w:rPr>
              <w:t>758,502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number of shares of Class A common stock outstanding - basic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122,206,914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122,199,954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122,366,632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120,556,047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Weighted average number of incremental shares of Class A common stock issuable</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from share-based incentive compensation and exchangeable interests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11,359,770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12,042,190</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11,356,144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12,617,953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w w:val="97"/>
              </w:rPr>
              <w:t>Weighted average number of shares of Class A common stock outstanding - diluted</w:t>
            </w: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2"/>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133,566,684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134,242,144</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133,722,776</w:t>
            </w:r>
          </w:p>
        </w:tc>
        <w:tc>
          <w:tcPr>
            <w:tcW w:w="1060" w:type="dxa"/>
            <w:vAlign w:val="bottom"/>
          </w:tcPr>
          <w:p>
            <w:pPr>
              <w:jc w:val="right"/>
              <w:spacing w:after="0"/>
              <w:rPr>
                <w:sz w:val="20"/>
                <w:szCs w:val="20"/>
                <w:color w:val="auto"/>
              </w:rPr>
            </w:pPr>
            <w:r>
              <w:rPr>
                <w:rFonts w:ascii="Arial" w:cs="Arial" w:eastAsia="Arial" w:hAnsi="Arial"/>
                <w:sz w:val="18"/>
                <w:szCs w:val="18"/>
                <w:color w:val="auto"/>
              </w:rPr>
              <w:t>133,174,000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per share of Class A common stock:</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Basic</w:t>
            </w:r>
          </w:p>
        </w:tc>
        <w:tc>
          <w:tcPr>
            <w:tcW w:w="1040" w:type="dxa"/>
            <w:vAlign w:val="bottom"/>
          </w:tcPr>
          <w:p>
            <w:pPr>
              <w:jc w:val="right"/>
              <w:spacing w:after="0"/>
              <w:rPr>
                <w:sz w:val="20"/>
                <w:szCs w:val="20"/>
                <w:color w:val="auto"/>
              </w:rPr>
            </w:pPr>
            <w:r>
              <w:rPr>
                <w:rFonts w:ascii="Arial" w:cs="Arial" w:eastAsia="Arial" w:hAnsi="Arial"/>
                <w:sz w:val="18"/>
                <w:szCs w:val="18"/>
                <w:color w:val="auto"/>
              </w:rPr>
              <w:t>$0.73</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$0.49</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$2.08</w:t>
            </w:r>
          </w:p>
        </w:tc>
        <w:tc>
          <w:tcPr>
            <w:tcW w:w="1060" w:type="dxa"/>
            <w:vAlign w:val="bottom"/>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jc w:val="right"/>
              <w:ind w:right="612"/>
              <w:spacing w:after="0"/>
              <w:rPr>
                <w:sz w:val="20"/>
                <w:szCs w:val="20"/>
                <w:color w:val="auto"/>
              </w:rPr>
            </w:pPr>
            <w:r>
              <w:rPr>
                <w:rFonts w:ascii="Arial" w:cs="Arial" w:eastAsia="Arial" w:hAnsi="Arial"/>
                <w:sz w:val="18"/>
                <w:szCs w:val="18"/>
                <w:color w:val="auto"/>
              </w:rPr>
              <w:t>38</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5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are set forth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Arial" w:cs="Arial" w:eastAsia="Arial" w:hAnsi="Arial"/>
                <w:sz w:val="14"/>
                <w:szCs w:val="14"/>
                <w:b w:val="1"/>
                <w:bCs w:val="1"/>
                <w:color w:val="auto"/>
                <w:w w:val="85"/>
              </w:rPr>
              <w:t>September 30,</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8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LFCM Holdings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7,794</w:t>
            </w: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r>
      <w:tr>
        <w:trPr>
          <w:trHeight w:val="222"/>
        </w:trPr>
        <w:tc>
          <w:tcPr>
            <w:tcW w:w="836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7,920</w:t>
            </w:r>
          </w:p>
        </w:tc>
        <w:tc>
          <w:tcPr>
            <w:tcW w:w="10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LFCM Holdings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11,754</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r>
      <w:tr>
        <w:trPr>
          <w:trHeight w:val="222"/>
        </w:trPr>
        <w:tc>
          <w:tcPr>
            <w:tcW w:w="836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11,952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LFCM Holdings owned and operated the capital markets business and fund management activities, as well as other specified non-operating assets and liabilities, that were transferred to it by Lazard Group (referred to as the “separated businesses”) in May 2005 and is owned by former and current managing directors of the Company (including the Company’s executive officers). In addition to the master separation agreement, dated as of May 10, 2005, by and among Lazard Ltd, Lazard Group, LAZ-MD Holdings and LFCM Holdings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In addition, LFCM Holdings and Lazard Group entered into a business alliance agreement (the “business alliance agreement”) and a license agreement (the “license agreement”). Certain of these agreements are described in more detail in the Company’s Form 10-K.</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the third quarter of 2014, the Company entered into arrangements with LFCM Holdings and certain of its subsidiaries (“LFCM”) pursuant to which, among other things, the Company has acquired certain assets from LFCM relating to its convertible securities business, the business alliance provided for in the business alliance agreement has been terminated, and LFCM has relinquished certain license rights previously granted under the license agreement. In addition, LFCM surrendered certain leasehold interests, including leasehold improvements, to the Company, and was relieved of obligations to pay related sublease rent. See Note 10 of Notes to Condensed Consolidated Financial Statements. The Company does not believe that any of these arrangements will have a material effect on its consolidated financial position or results of operations.</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acquired assets will facilitate the execution of exchange offers and other transactions related to financial advice provided by the Company’s convertible securities practice group. In addition, the Company may act as an underwriter in public offerings and other distributions of securities from time to time, primarily relating to its Financial Advisory business.</w:t>
      </w:r>
    </w:p>
    <w:p>
      <w:pPr>
        <w:spacing w:after="0" w:line="140"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For the three month and nine month periods ended September 30, 2014, amounts recorded by Lazard Group relating to the administrative services agreement amounted to $220 and $812, respectively, and net referral fees for underwriting, private placement, M&amp;A and restructuring transactions under the business alliance agreement amounted to $54 and $795, respectively. For the three month and nine month periods ended September 30, 2013,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amounts recorded by Lazard Group relating to the administrative services agreement amounted to $534 and $1,466, respectively, and net referral fees for underwriting, private placement, M&amp;A and restructuring transactions under the business alliance agreement amounted to $1,633 and $1,163,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Receivables from LFCM Holdings and its subsidiaries as of September 30, 2014 and December 31, 2013 include $139 and $3,112, respectively, related to administrative and support services and other receivables which include sublease income and reimbursement of expenses incurred on behalf of LFCM Holdings, and, at December 31, 2013, $4,682 related to referral fees for underwriting and private placement transactions. Payables to LFCM Holdings and its subsidiaries at September 30, 2014 and December 31, 2013 include $1,427 and $3,051, respectively, relating to referral fees for Financial Advisory and other transactions, and, at September 30, 2014 and December 31, 2013, $10,327 and $1,249, respectively, related to obligations pursuant to the tax receivable agreement (see Note 15 of Notes to Condensed Consolidated Financial Statements).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Other payables at December 31, 2013 primarily relate to referral fees for M&amp;A and restructuring transactions with MBA Lazard Holdings S.A. and its affiliates, an Argentina-based group in which the Company has a 50% ownership interest.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Lazard Group provides certain administrative and support services to LAZ-MD Holdings through the administrative services agreement. Lazard Group charges LAZ-MD Holdings for these services based on Lazard Group’s cost allocation methodology and, for the three month and nine month periods ended September 30, 2014, such charges amounted to $250 and $750, respectively. For the three month and nine month periods ending September 30, 2013, such charges amounted to $250 and $750, respectively.</w:t>
      </w:r>
    </w:p>
    <w:p>
      <w:pPr>
        <w:spacing w:after="0" w:line="265"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total aggregate indebtedness recorded in LFNY’s Financial and Operational Combined Uniform Single (“FOCUS”) report filed with the Financial Industry Regulatory Authority (“FINRA”), or $100, whichever is greater. At September 30, 2014, LFNY’s regulatory net capital was $180,909, which exceeded the minimum requirement by $178,043.</w:t>
      </w:r>
    </w:p>
    <w:p>
      <w:pPr>
        <w:spacing w:after="0" w:line="113"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Conduct Authority. At September 30, 2014, the aggregate regulatory net capital of the U.K. Subsidiaries was $91,003, which exceeded the minimum requirement by $72,842.</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CFLF, under which asset management and commercial banking activities are carried out in France, is subject to regulation by the ACPR for its banking activities conducted through its subsidiary, LFB.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investment services activities of the Paris group, exercised through LFB and other subsidiaries of CFLF, primarily LFG (asset management), also are subject to regulation and supervision by the Autorité des Marchés Financiers. At September 30, 2014, the consolidated regulatory net capital of CFLF was $139,613, which exceeded the minimum requirement set for regulatory capital levels by $102,948.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new supervision, the combined European regulated group is required to comply with periodic financial, regulatory net capital and other reporting obligations.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 (which is similar to the information that the Company had already been providing informally). This new supervision under, and provision of information to, the ACPR became effective December 31, 2013.</w:t>
      </w:r>
    </w:p>
    <w:p>
      <w:pPr>
        <w:spacing w:after="0" w:line="12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September 30, 2014, for those subsidiaries with regulatory capital requirements, their aggregate net capital was $100,054, which exceeded the minimum required capital by $72,757.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2014, each of these subsidiaries individually was in compliance with its regulatory capital requirements.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25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11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Company’s segment information for the three month and nine month periods ended September 30, 2014 and 2013 is prepared using the following methodology:</w:t>
      </w:r>
    </w:p>
    <w:p>
      <w:pPr>
        <w:spacing w:after="0" w:line="5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4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6"/>
              </w:rPr>
              <w:t>2013(a)</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2013(a)</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44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291,089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233,842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847,354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0" w:type="dxa"/>
            <w:vAlign w:val="bottom"/>
          </w:tcPr>
          <w:p>
            <w:pPr>
              <w:ind w:left="118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255,230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218,015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754,449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674,689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(9,078)</w:t>
            </w:r>
          </w:p>
        </w:tc>
        <w:tc>
          <w:tcPr>
            <w:tcW w:w="0" w:type="dxa"/>
            <w:vAlign w:val="bottom"/>
          </w:tcPr>
          <w:p>
            <w:pPr>
              <w:spacing w:after="0"/>
              <w:rPr>
                <w:sz w:val="1"/>
                <w:szCs w:val="1"/>
                <w:color w:val="auto"/>
              </w:rPr>
            </w:pPr>
          </w:p>
        </w:tc>
      </w:tr>
      <w:tr>
        <w:trPr>
          <w:trHeight w:val="20"/>
        </w:trPr>
        <w:tc>
          <w:tcPr>
            <w:tcW w:w="2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600" w:type="dxa"/>
            <w:vAlign w:val="bottom"/>
            <w:gridSpan w:val="3"/>
            <w:vMerge w:val="continue"/>
          </w:tcPr>
          <w:p>
            <w:pPr>
              <w:spacing w:after="0"/>
              <w:rPr>
                <w:sz w:val="24"/>
                <w:szCs w:val="24"/>
                <w:color w:val="auto"/>
              </w:rPr>
            </w:pPr>
          </w:p>
        </w:tc>
        <w:tc>
          <w:tcPr>
            <w:tcW w:w="4400" w:type="dxa"/>
            <w:vAlign w:val="bottom"/>
          </w:tcPr>
          <w:p>
            <w:pPr>
              <w:ind w:left="1180"/>
              <w:spacing w:after="0"/>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291,967</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252,094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848,695</w:t>
            </w:r>
          </w:p>
        </w:tc>
        <w:tc>
          <w:tcPr>
            <w:tcW w:w="4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741,618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191,501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168,895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552,499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0" w:type="dxa"/>
            <w:vAlign w:val="bottom"/>
            <w:vMerge w:val="restart"/>
          </w:tcPr>
          <w:p>
            <w:pPr>
              <w:ind w:left="118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100,466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83,199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296,196</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230,092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44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Net Revenue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(16,845)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(29,542)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0" w:type="dxa"/>
            <w:vAlign w:val="bottom"/>
          </w:tcPr>
          <w:p>
            <w:pPr>
              <w:ind w:left="118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12,326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39,687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42,794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(22,613)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(17,908)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(69,229)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(77,361)</w:t>
            </w:r>
          </w:p>
        </w:tc>
        <w:tc>
          <w:tcPr>
            <w:tcW w:w="0" w:type="dxa"/>
            <w:vAlign w:val="bottom"/>
          </w:tcPr>
          <w:p>
            <w:pPr>
              <w:spacing w:after="0"/>
              <w:rPr>
                <w:sz w:val="1"/>
                <w:szCs w:val="1"/>
                <w:color w:val="auto"/>
              </w:rPr>
            </w:pPr>
          </w:p>
        </w:tc>
      </w:tr>
      <w:tr>
        <w:trPr>
          <w:trHeight w:val="20"/>
        </w:trPr>
        <w:tc>
          <w:tcPr>
            <w:tcW w:w="2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600" w:type="dxa"/>
            <w:vAlign w:val="bottom"/>
            <w:gridSpan w:val="3"/>
            <w:vMerge w:val="continue"/>
          </w:tcPr>
          <w:p>
            <w:pPr>
              <w:spacing w:after="0"/>
              <w:rPr>
                <w:sz w:val="24"/>
                <w:szCs w:val="24"/>
                <w:color w:val="auto"/>
              </w:rPr>
            </w:pPr>
          </w:p>
        </w:tc>
        <w:tc>
          <w:tcPr>
            <w:tcW w:w="4400" w:type="dxa"/>
            <w:vAlign w:val="bottom"/>
          </w:tcPr>
          <w:p>
            <w:pPr>
              <w:ind w:left="1180"/>
              <w:spacing w:after="0"/>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566,211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480,354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1,666,507</w:t>
            </w:r>
          </w:p>
        </w:tc>
        <w:tc>
          <w:tcPr>
            <w:tcW w:w="4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1,372,662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452,499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399,236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1,346,635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1,229,009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0" w:type="dxa"/>
            <w:vAlign w:val="bottom"/>
            <w:vMerge w:val="restart"/>
          </w:tcPr>
          <w:p>
            <w:pPr>
              <w:ind w:left="118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113,712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81,118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319,872</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143,653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14 of Notes to Condensed Consolidated Financial Statements for information regarding the Cost Saving Initiatives, and the impact on each of the Company’s business segments during the nine month period ended September 30, 2013.</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90"/>
              </w:rPr>
              <w:t>As Of</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4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Financial Advisory</w:t>
            </w:r>
          </w:p>
        </w:tc>
        <w:tc>
          <w:tcPr>
            <w:tcW w:w="4540" w:type="dxa"/>
            <w:vAlign w:val="bottom"/>
            <w:gridSpan w:val="2"/>
          </w:tcPr>
          <w:p>
            <w:pPr>
              <w:ind w:left="44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706,251</w:t>
            </w:r>
          </w:p>
        </w:tc>
        <w:tc>
          <w:tcPr>
            <w:tcW w:w="34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714,708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Management</w:t>
            </w:r>
          </w:p>
        </w:tc>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585,693</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4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1,750,946</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1,684,411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540" w:type="dxa"/>
            <w:vAlign w:val="bottom"/>
            <w:gridSpan w:val="2"/>
            <w:shd w:val="clear" w:color="auto" w:fill="CCEEFF"/>
          </w:tcPr>
          <w:p>
            <w:pPr>
              <w:ind w:left="4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3,042,890</w:t>
            </w:r>
          </w:p>
        </w:tc>
        <w:tc>
          <w:tcPr>
            <w:tcW w:w="3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3,011,137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20" w:type="dxa"/>
            <w:vAlign w:val="bottom"/>
            <w:vMerge w:val="restart"/>
          </w:tcPr>
          <w:p>
            <w:pPr>
              <w:jc w:val="right"/>
              <w:ind w:right="2552"/>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2013 (the “Form 10-K”). All references to “2014”, “2013”, “third quarter”, “first nine months” or “the period” refer to, as the context requires, the three month and nine month periods ended September 30, 2014 and September 30,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“could,”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8"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ability to deploy surplus cash through dividends, share repurchases and debt repurchases,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ability to offset stockholder dilution through share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levels of compensation expense and non-compensation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and its subsidiaries (collectively referred to as “LAM”). Investors can link to Lazard Ltd, Lazard Group and their operating company websites through </w:t>
      </w:r>
      <w:r>
        <w:rPr>
          <w:rFonts w:ascii="Arial" w:cs="Arial" w:eastAsia="Arial" w:hAnsi="Arial"/>
          <w:sz w:val="18"/>
          <w:szCs w:val="18"/>
          <w:i w:val="1"/>
          <w:iCs w:val="1"/>
          <w:color w:val="auto"/>
        </w:rPr>
        <w:t>http://www.lazard.com.</w:t>
      </w:r>
      <w:r>
        <w:rPr>
          <w:rFonts w:ascii="Arial" w:cs="Arial" w:eastAsia="Arial" w:hAnsi="Arial"/>
          <w:sz w:val="18"/>
          <w:szCs w:val="18"/>
          <w:color w:val="auto"/>
        </w:rPr>
        <w:t xml:space="preserve"> Our websites and the information contained therein or connected thereto shall not be deemed to be incorporated into this Form 10-Q.</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operate in cyclical businesses across multiple geographies, industries and asset classes. In recent years, we have expanded our geographic reach, bolstered our industry expertise and continued to build in growth areas.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45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ind w:left="900" w:right="16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for other clients, investment banking activities, including participation in underwritten offerings of securities in France, and asset-liability management.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2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0"/>
              </w:rPr>
              <w:t>Three Months Ended</w:t>
            </w:r>
          </w:p>
        </w:tc>
        <w:tc>
          <w:tcPr>
            <w:tcW w:w="19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61"/>
        </w:trPr>
        <w:tc>
          <w:tcPr>
            <w:tcW w:w="544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85"/>
              </w:rPr>
              <w:t>September 30,</w:t>
            </w:r>
          </w:p>
        </w:tc>
        <w:tc>
          <w:tcPr>
            <w:tcW w:w="4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85"/>
              </w:rPr>
              <w:t>September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3"/>
              </w:rPr>
              <w:t>2013</w:t>
            </w:r>
          </w:p>
        </w:tc>
        <w:tc>
          <w:tcPr>
            <w:tcW w:w="5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3"/>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Asset Management</w:t>
            </w: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52</w:t>
            </w: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vMerge w:val="continue"/>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60" w:firstLine="8"/>
        <w:spacing w:after="0" w:line="288" w:lineRule="auto"/>
        <w:tabs>
          <w:tab w:leader="none" w:pos="21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Edgewater Funds (“Edgewater”), our Chicago-based private equity firm (see Note 10 of Notes to Condensed Consolidated Financial Statements), (ii) Lazard Australia Corporate Opportunities Fund 2 (“COF2”), a Lazard-managed Australian fund targeting Australasian mid-market investments, (iii) a mezzanine fund, which invests in mezzanine debt of a diversified selection of small-to mid-cap European companies and (iv) a fund targeting significant noncontrolling-stake investments in established private companies. We also make investments to seed our Asset Management strategies.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w:t>
      </w:r>
    </w:p>
    <w:p>
      <w:pPr>
        <w:spacing w:after="0" w:line="123"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In July 2014, the Company and Natixis S.A. entered an arrangement that would allow them, on a non-exclusive and optional basis, to place and underwrite securities on the French equity capital markets under the common brand “Lazard-Natixis.” The arrangement may be terminated by either party at any time.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third quarter of 2014, we entered into arrangements with LFCM Holdings LLC and certain of its subsidiaries (“LFCM Holdings”) pursuant to which, among other things, (i) we have acquired certain assets from LFCM Holdings relating to its convertible securities business, (ii) the business alliance provided for in the Business Alliance Agreement, dated as of May 10, 2005, between the Company and LFCM Holdings, has been terminated, and (iii) LFCM Holdings has relinquished certain license rights previously granted under the License Agreement, dated as of May 10, 2005, between the Company and LFCM Holdings. In addition, LFCM Holdings surrendered certain leasehold interests, including leasehold improvements, to the Company, and was relieved of obligations to pay related sublease rent. See Note 10 of Notes to Condensed Consolidated Financial Statements. We do not believe that any of these arrangements will have a material effect on our consolidated financial position or results of operations.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acquired assets will facilitate the execution of exchange offers and other transactions related to financial advice provided by our convertible securities practice group. In addition, we may act as an underwriter in public offerings and other distributions of securities from time to time, primarily relating to our Financial Advisory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Overall, equity market indices for developed and emerging markets at September 30, 2014 increased as compared to such indices at September 30, 2013, despite some market volatility in the third quarter ended September 30, 2014. In the global M&amp;A markets during the first nine months of 2014, the number and value of all completed M&amp;A transactions decreased as compared to the same period in the prior year. However, with respect to the subset of such transactions involving values greater than $500 million, both the number and value increased as compared to the prior period. During the same time, the number and value of all announced M&amp;A transactions, including the subset of such transactions involving values greater than $500 million, increased, reflecting an active global M&amp;A environment. During the first nine months of 2014, global restructuring activity remained low, consistent with the last several years.</w:t>
      </w:r>
    </w:p>
    <w:p>
      <w:pPr>
        <w:spacing w:after="0" w:line="120"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Entering the fourth quarter of 2014, interest rates remain low and corporate cash balances remain high. The U.S. economy continues to be resilient. Europe’s recovery continues to be uneven. Some volatility has returned to the capital markets but the underpinnings of a gradual U.S. led global economic recovery appear to remain in place. Although market volatility may continue, we are cautiously optimistic about the environment for both of our businesses.</w:t>
      </w:r>
    </w:p>
    <w:p>
      <w:pPr>
        <w:spacing w:after="0" w:line="10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intend to leverage our existing infrastructure to capitalize on global macroeconomic recovery, positive momentum in the M&amp;A cycle, and strength in the global equity markets. We expect to generate revenue growth by remaining adequately staffed to capitalize on macroeconomic recovery and deploying our intellectual capital to generate new revenue streams.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right="340" w:hanging="345"/>
        <w:spacing w:after="0" w:line="259"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Advisory </w:t>
      </w:r>
      <w:r>
        <w:rPr>
          <w:rFonts w:ascii="Arial" w:cs="Arial" w:eastAsia="Arial" w:hAnsi="Arial"/>
          <w:sz w:val="18"/>
          <w:szCs w:val="18"/>
          <w:color w:val="auto"/>
        </w:rPr>
        <w:t>– In the short to intermediate term, we expect that the U.S. macroeconomic environment will likely be the strongest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developed economies. Certain legal decisions in the U.S. reinforce the importance of independent advice, and the global scale and breadth of our Financial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255" w:lineRule="auto"/>
        <w:rPr>
          <w:sz w:val="20"/>
          <w:szCs w:val="20"/>
          <w:color w:val="auto"/>
        </w:rPr>
      </w:pPr>
      <w:r>
        <w:rPr>
          <w:rFonts w:ascii="Arial" w:cs="Arial" w:eastAsia="Arial" w:hAnsi="Arial"/>
          <w:sz w:val="18"/>
          <w:szCs w:val="18"/>
          <w:color w:val="auto"/>
        </w:rPr>
        <w:t>Advisory business allows us to advise on large, complex cross-border transactions across a variety of industries. Conditions for our Financial Advisory business in Europe also appear to be improving. We continue to develop our range of advisory capabilities, in particular in Europe, with our Sovereign Advisory, Restructuring and Capital Advisory businesses. In addition, we believe our businesses throughout the emerging markets, Japan and Australia position us for growth in these markets, while enhancing our relationships with, and the services that we can provide to, clients in developed economies.</w:t>
      </w:r>
    </w:p>
    <w:p>
      <w:pPr>
        <w:spacing w:after="0" w:line="62" w:lineRule="exact"/>
        <w:rPr>
          <w:sz w:val="20"/>
          <w:szCs w:val="20"/>
          <w:color w:val="auto"/>
        </w:rPr>
      </w:pPr>
    </w:p>
    <w:p>
      <w:pPr>
        <w:ind w:left="920" w:hanging="345"/>
        <w:spacing w:after="0" w:line="308" w:lineRule="auto"/>
        <w:tabs>
          <w:tab w:leader="none" w:pos="920" w:val="left"/>
        </w:tabs>
        <w:numPr>
          <w:ilvl w:val="0"/>
          <w:numId w:val="4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Asset Management </w:t>
      </w:r>
      <w:r>
        <w:rPr>
          <w:rFonts w:ascii="Arial" w:cs="Arial" w:eastAsia="Arial" w:hAnsi="Arial"/>
          <w:sz w:val="15"/>
          <w:szCs w:val="15"/>
          <w:color w:val="auto"/>
        </w:rPr>
        <w:t>– Generally, we have seen increased investor demand across regions and investment platforms. In the short to intermediate term,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We recently extended the global footprint of our Asset Management business by opening new offices in Zurich, Singapore, Dubai and Dublin. We are continually developing and seeding new investment strategies that extend our existing platforms. Recent examples of growth initiatives include the following investment strategies: Emerging Markets Debt, Core Emerging Markets Equity, Emerging Markets Small Cap Equity, Real Estate, Managed Volatility Strategies, Middle East North African Equities and Asian Equities.</w:t>
      </w:r>
    </w:p>
    <w:p>
      <w:pPr>
        <w:spacing w:after="0" w:line="109"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4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shareholder returns, the prudent management of our costs and expenses, the efficient use of our assets and the return of capital to our shareholders.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decreased, while the value and number of completed transactions with values greater than $500 million increased, in the first nine months of 2014 as compared to the 2013 period. With respect to announced M&amp;A transactions, the value and number of all transactions, including transactions with values greater than $500 million, increased in the first nine months of 2014 as compared to the 2013 period.</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40" w:type="dxa"/>
            <w:vAlign w:val="bottom"/>
            <w:gridSpan w:val="4"/>
          </w:tcPr>
          <w:p>
            <w:pPr>
              <w:jc w:val="right"/>
              <w:ind w:right="126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3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jc w:val="right"/>
              <w:ind w:right="238"/>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3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720" w:type="dxa"/>
            <w:vAlign w:val="bottom"/>
          </w:tcPr>
          <w:p>
            <w:pPr>
              <w:jc w:val="right"/>
              <w:ind w:right="354"/>
              <w:spacing w:after="0"/>
              <w:rPr>
                <w:sz w:val="20"/>
                <w:szCs w:val="20"/>
                <w:color w:val="auto"/>
              </w:rPr>
            </w:pPr>
            <w:r>
              <w:rPr>
                <w:rFonts w:ascii="Arial" w:cs="Arial" w:eastAsia="Arial" w:hAnsi="Arial"/>
                <w:sz w:val="14"/>
                <w:szCs w:val="14"/>
                <w:b w:val="1"/>
                <w:bCs w:val="1"/>
                <w:color w:val="auto"/>
                <w:w w:val="83"/>
              </w:rPr>
              <w:t>2013</w:t>
            </w: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Incr / (Decr)</w:t>
            </w:r>
          </w:p>
        </w:tc>
        <w:tc>
          <w:tcPr>
            <w:tcW w:w="100" w:type="dxa"/>
            <w:vAlign w:val="bottom"/>
          </w:tcPr>
          <w:p>
            <w:pPr>
              <w:spacing w:after="0"/>
              <w:rPr>
                <w:sz w:val="14"/>
                <w:szCs w:val="14"/>
                <w:color w:val="auto"/>
              </w:rPr>
            </w:pPr>
          </w:p>
        </w:tc>
        <w:tc>
          <w:tcPr>
            <w:tcW w:w="58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2014</w:t>
            </w:r>
          </w:p>
        </w:tc>
        <w:tc>
          <w:tcPr>
            <w:tcW w:w="380" w:type="dxa"/>
            <w:vAlign w:val="bottom"/>
          </w:tcPr>
          <w:p>
            <w:pPr>
              <w:spacing w:after="0"/>
              <w:rPr>
                <w:sz w:val="14"/>
                <w:szCs w:val="14"/>
                <w:color w:val="auto"/>
              </w:rPr>
            </w:pPr>
          </w:p>
        </w:tc>
        <w:tc>
          <w:tcPr>
            <w:tcW w:w="8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Incr / (Decr)</w:t>
            </w:r>
          </w:p>
        </w:tc>
      </w:tr>
      <w:tr>
        <w:trPr>
          <w:trHeight w:val="156"/>
        </w:trPr>
        <w:tc>
          <w:tcPr>
            <w:tcW w:w="3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4"/>
          </w:tcPr>
          <w:p>
            <w:pPr>
              <w:jc w:val="right"/>
              <w:ind w:right="454"/>
              <w:spacing w:after="0" w:line="155" w:lineRule="exact"/>
              <w:rPr>
                <w:sz w:val="20"/>
                <w:szCs w:val="20"/>
                <w:color w:val="auto"/>
              </w:rPr>
            </w:pPr>
            <w:r>
              <w:rPr>
                <w:rFonts w:ascii="Arial" w:cs="Arial" w:eastAsia="Arial" w:hAnsi="Arial"/>
                <w:sz w:val="14"/>
                <w:szCs w:val="14"/>
                <w:b w:val="1"/>
                <w:bCs w:val="1"/>
                <w:color w:val="auto"/>
              </w:rPr>
              <w:t>($ in billions)</w:t>
            </w:r>
          </w:p>
        </w:tc>
        <w:tc>
          <w:tcPr>
            <w:tcW w:w="3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100" w:type="dxa"/>
            <w:vAlign w:val="bottom"/>
          </w:tcPr>
          <w:p>
            <w:pPr>
              <w:ind w:left="440"/>
              <w:spacing w:after="0"/>
              <w:rPr>
                <w:sz w:val="20"/>
                <w:szCs w:val="20"/>
                <w:color w:val="auto"/>
              </w:rPr>
            </w:pPr>
            <w:r>
              <w:rPr>
                <w:rFonts w:ascii="Arial" w:cs="Arial" w:eastAsia="Arial" w:hAnsi="Arial"/>
                <w:sz w:val="18"/>
                <w:szCs w:val="18"/>
                <w:color w:val="auto"/>
              </w:rPr>
              <w:t>All deals: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609</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1,954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3100" w:type="dxa"/>
            <w:vAlign w:val="bottom"/>
          </w:tcPr>
          <w:p>
            <w:pPr>
              <w:ind w:left="880"/>
              <w:spacing w:after="0"/>
              <w:rPr>
                <w:sz w:val="20"/>
                <w:szCs w:val="20"/>
                <w:color w:val="auto"/>
              </w:rPr>
            </w:pPr>
            <w:r>
              <w:rPr>
                <w:rFonts w:ascii="Arial" w:cs="Arial" w:eastAsia="Arial" w:hAnsi="Arial"/>
                <w:sz w:val="18"/>
                <w:szCs w:val="18"/>
                <w:color w:val="auto"/>
              </w:rPr>
              <w:t>Number</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9,060</w:t>
            </w:r>
          </w:p>
        </w:tc>
        <w:tc>
          <w:tcPr>
            <w:tcW w:w="440" w:type="dxa"/>
            <w:vAlign w:val="bottom"/>
          </w:tcPr>
          <w:p>
            <w:pPr>
              <w:spacing w:after="0"/>
              <w:rPr>
                <w:sz w:val="18"/>
                <w:szCs w:val="18"/>
                <w:color w:val="auto"/>
              </w:rPr>
            </w:pPr>
          </w:p>
        </w:tc>
        <w:tc>
          <w:tcPr>
            <w:tcW w:w="720" w:type="dxa"/>
            <w:vAlign w:val="bottom"/>
          </w:tcPr>
          <w:p>
            <w:pPr>
              <w:jc w:val="right"/>
              <w:ind w:right="234"/>
              <w:spacing w:after="0"/>
              <w:rPr>
                <w:sz w:val="20"/>
                <w:szCs w:val="20"/>
                <w:color w:val="auto"/>
              </w:rPr>
            </w:pPr>
            <w:r>
              <w:rPr>
                <w:rFonts w:ascii="Arial" w:cs="Arial" w:eastAsia="Arial" w:hAnsi="Arial"/>
                <w:sz w:val="18"/>
                <w:szCs w:val="18"/>
                <w:color w:val="auto"/>
                <w:w w:val="84"/>
              </w:rPr>
              <w:t>9,483</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w w:val="83"/>
              </w:rPr>
              <w:t>27,738</w:t>
            </w:r>
          </w:p>
        </w:tc>
        <w:tc>
          <w:tcPr>
            <w:tcW w:w="380" w:type="dxa"/>
            <w:vAlign w:val="bottom"/>
          </w:tcPr>
          <w:p>
            <w:pPr>
              <w:spacing w:after="0"/>
              <w:rPr>
                <w:sz w:val="18"/>
                <w:szCs w:val="18"/>
                <w:color w:val="auto"/>
              </w:rPr>
            </w:pPr>
          </w:p>
        </w:tc>
        <w:tc>
          <w:tcPr>
            <w:tcW w:w="880" w:type="dxa"/>
            <w:vAlign w:val="bottom"/>
          </w:tcPr>
          <w:p>
            <w:pPr>
              <w:jc w:val="right"/>
              <w:ind w:right="294"/>
              <w:spacing w:after="0"/>
              <w:rPr>
                <w:sz w:val="20"/>
                <w:szCs w:val="20"/>
                <w:color w:val="auto"/>
              </w:rPr>
            </w:pPr>
            <w:r>
              <w:rPr>
                <w:rFonts w:ascii="Arial" w:cs="Arial" w:eastAsia="Arial" w:hAnsi="Arial"/>
                <w:sz w:val="18"/>
                <w:szCs w:val="18"/>
                <w:color w:val="auto"/>
                <w:w w:val="87"/>
              </w:rPr>
              <w:t>28,454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Deals Greater than $500 million:</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100" w:type="dxa"/>
            <w:vAlign w:val="bottom"/>
          </w:tcPr>
          <w:p>
            <w:pPr>
              <w:ind w:left="880"/>
              <w:spacing w:after="0"/>
              <w:rPr>
                <w:sz w:val="20"/>
                <w:szCs w:val="20"/>
                <w:color w:val="auto"/>
              </w:rPr>
            </w:pPr>
            <w:r>
              <w:rPr>
                <w:rFonts w:ascii="Arial" w:cs="Arial" w:eastAsia="Arial" w:hAnsi="Arial"/>
                <w:sz w:val="18"/>
                <w:szCs w:val="18"/>
                <w:color w:val="auto"/>
              </w:rPr>
              <w:t>Value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407</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1,390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94"/>
              <w:spacing w:after="0"/>
              <w:rPr>
                <w:sz w:val="20"/>
                <w:szCs w:val="20"/>
                <w:color w:val="auto"/>
              </w:rPr>
            </w:pPr>
            <w:r>
              <w:rPr>
                <w:rFonts w:ascii="Arial" w:cs="Arial" w:eastAsia="Arial" w:hAnsi="Arial"/>
                <w:sz w:val="18"/>
                <w:szCs w:val="18"/>
                <w:color w:val="auto"/>
              </w:rPr>
              <w:t>1,371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236</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719</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689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310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deals: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100" w:type="dxa"/>
            <w:vAlign w:val="bottom"/>
          </w:tcPr>
          <w:p>
            <w:pPr>
              <w:ind w:left="880"/>
              <w:spacing w:after="0"/>
              <w:rPr>
                <w:sz w:val="20"/>
                <w:szCs w:val="20"/>
                <w:color w:val="auto"/>
              </w:rPr>
            </w:pPr>
            <w:r>
              <w:rPr>
                <w:rFonts w:ascii="Arial" w:cs="Arial" w:eastAsia="Arial" w:hAnsi="Arial"/>
                <w:sz w:val="18"/>
                <w:szCs w:val="18"/>
                <w:color w:val="auto"/>
              </w:rPr>
              <w:t>Value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803</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2,807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94"/>
              <w:spacing w:after="0"/>
              <w:rPr>
                <w:sz w:val="20"/>
                <w:szCs w:val="20"/>
                <w:color w:val="auto"/>
              </w:rPr>
            </w:pPr>
            <w:r>
              <w:rPr>
                <w:rFonts w:ascii="Arial" w:cs="Arial" w:eastAsia="Arial" w:hAnsi="Arial"/>
                <w:sz w:val="18"/>
                <w:szCs w:val="18"/>
                <w:color w:val="auto"/>
              </w:rPr>
              <w:t>2,092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3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10,002</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4"/>
              </w:rPr>
              <w:t>9,666</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3"/>
              </w:rPr>
              <w:t>29,874</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87"/>
              </w:rPr>
              <w:t>28,509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3100" w:type="dxa"/>
            <w:vAlign w:val="bottom"/>
          </w:tcPr>
          <w:p>
            <w:pPr>
              <w:ind w:left="440"/>
              <w:spacing w:after="0"/>
              <w:rPr>
                <w:sz w:val="20"/>
                <w:szCs w:val="20"/>
                <w:color w:val="auto"/>
              </w:rPr>
            </w:pPr>
            <w:r>
              <w:rPr>
                <w:rFonts w:ascii="Arial" w:cs="Arial" w:eastAsia="Arial" w:hAnsi="Arial"/>
                <w:sz w:val="18"/>
                <w:szCs w:val="18"/>
                <w:color w:val="auto"/>
              </w:rPr>
              <w:t>Deals Greater than $500 million:</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588</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2,160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1,492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22"/>
        </w:trPr>
        <w:tc>
          <w:tcPr>
            <w:tcW w:w="3100" w:type="dxa"/>
            <w:vAlign w:val="bottom"/>
          </w:tcPr>
          <w:p>
            <w:pPr>
              <w:ind w:left="880"/>
              <w:spacing w:after="0"/>
              <w:rPr>
                <w:sz w:val="20"/>
                <w:szCs w:val="20"/>
                <w:color w:val="auto"/>
              </w:rPr>
            </w:pPr>
            <w:r>
              <w:rPr>
                <w:rFonts w:ascii="Arial" w:cs="Arial" w:eastAsia="Arial" w:hAnsi="Arial"/>
                <w:sz w:val="18"/>
                <w:szCs w:val="18"/>
                <w:color w:val="auto"/>
              </w:rPr>
              <w:t>Number</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313</w:t>
            </w:r>
          </w:p>
        </w:tc>
        <w:tc>
          <w:tcPr>
            <w:tcW w:w="44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288</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863</w:t>
            </w:r>
          </w:p>
        </w:tc>
        <w:tc>
          <w:tcPr>
            <w:tcW w:w="380" w:type="dxa"/>
            <w:vAlign w:val="bottom"/>
          </w:tcPr>
          <w:p>
            <w:pPr>
              <w:spacing w:after="0"/>
              <w:rPr>
                <w:sz w:val="19"/>
                <w:szCs w:val="19"/>
                <w:color w:val="auto"/>
              </w:rPr>
            </w:pPr>
          </w:p>
        </w:tc>
        <w:tc>
          <w:tcPr>
            <w:tcW w:w="880" w:type="dxa"/>
            <w:vAlign w:val="bottom"/>
          </w:tcPr>
          <w:p>
            <w:pPr>
              <w:jc w:val="right"/>
              <w:ind w:right="294"/>
              <w:spacing w:after="0"/>
              <w:rPr>
                <w:sz w:val="20"/>
                <w:szCs w:val="20"/>
                <w:color w:val="auto"/>
              </w:rPr>
            </w:pPr>
            <w:r>
              <w:rPr>
                <w:rFonts w:ascii="Arial" w:cs="Arial" w:eastAsia="Arial" w:hAnsi="Arial"/>
                <w:sz w:val="18"/>
                <w:szCs w:val="18"/>
                <w:color w:val="auto"/>
              </w:rPr>
              <w:t>745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October 6, 2014.</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Global restructuring activity during the first nine months of 2014, as measured by the number of corporate defaults, decreased as compared to the 2013 period, and the aggregate value of debt defaults remained low, consistent with the last several years. The number of defaulting issuers decreased to 43 in the first nine months of 2014, according to Moody’s Investors Service, Inc., as compared to 51 in the 2013 period. In the U.S., the number of corporate defaults decreased 11% in the first nine months of 2014 as compared to the 2013 period, while the value of such defaults increased 157% due to one large default during the 2014 period.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percentage change in major equity market indices at September 30, 2014, as compared to such indices at June 30, 2014, December 31, 2013, and at September 30, 2013, is shown in the table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Percentage Changes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5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September 30, 2014 vs.</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5160" w:type="dxa"/>
            <w:vAlign w:val="bottom"/>
          </w:tcPr>
          <w:p>
            <w:pPr>
              <w:spacing w:after="0"/>
              <w:rPr>
                <w:sz w:val="11"/>
                <w:szCs w:val="11"/>
                <w:color w:val="auto"/>
              </w:rPr>
            </w:pPr>
          </w:p>
        </w:tc>
        <w:tc>
          <w:tcPr>
            <w:tcW w:w="108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1"/>
                <w:szCs w:val="11"/>
                <w:color w:val="auto"/>
              </w:rPr>
            </w:pPr>
          </w:p>
        </w:tc>
        <w:tc>
          <w:tcPr>
            <w:tcW w:w="1820" w:type="dxa"/>
            <w:vAlign w:val="bottom"/>
            <w:gridSpan w:val="2"/>
          </w:tcPr>
          <w:p>
            <w:pPr>
              <w:jc w:val="center"/>
              <w:ind w:right="104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200" w:type="dxa"/>
            <w:vAlign w:val="bottom"/>
          </w:tcPr>
          <w:p>
            <w:pPr>
              <w:spacing w:after="0"/>
              <w:rPr>
                <w:sz w:val="11"/>
                <w:szCs w:val="11"/>
                <w:color w:val="auto"/>
              </w:rPr>
            </w:pPr>
          </w:p>
        </w:tc>
      </w:tr>
      <w:tr>
        <w:trPr>
          <w:trHeight w:val="161"/>
        </w:trPr>
        <w:tc>
          <w:tcPr>
            <w:tcW w:w="51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2013</w:t>
            </w:r>
          </w:p>
        </w:tc>
        <w:tc>
          <w:tcPr>
            <w:tcW w:w="10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10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4"/>
              </w:rPr>
              <w:t>(3)%</w:t>
            </w:r>
          </w:p>
        </w:tc>
        <w:tc>
          <w:tcPr>
            <w:tcW w:w="5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Euro Stoxx</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w:t>
            </w:r>
          </w:p>
        </w:tc>
        <w:tc>
          <w:tcPr>
            <w:tcW w:w="2320" w:type="dxa"/>
            <w:vAlign w:val="bottom"/>
            <w:gridSpan w:val="3"/>
          </w:tcPr>
          <w:p>
            <w:pPr>
              <w:jc w:val="right"/>
              <w:ind w:right="88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MSCI Emerging Market</w:t>
            </w:r>
          </w:p>
        </w:tc>
        <w:tc>
          <w:tcPr>
            <w:tcW w:w="10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4"/>
              </w:rPr>
              <w:t>(4)%</w:t>
            </w:r>
          </w:p>
        </w:tc>
        <w:tc>
          <w:tcPr>
            <w:tcW w:w="5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S&amp;P 500</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1%</w:t>
            </w:r>
          </w:p>
        </w:tc>
        <w:tc>
          <w:tcPr>
            <w:tcW w:w="2320" w:type="dxa"/>
            <w:vAlign w:val="bottom"/>
            <w:gridSpan w:val="3"/>
          </w:tcPr>
          <w:p>
            <w:pPr>
              <w:jc w:val="right"/>
              <w:ind w:right="88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bl>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 volatility and changes in our AUM product mix will impact the level of revenues we receive from our Asset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Management business when comparing periodic results. A substantial portion of our AUM is invested in equities. Movements in AUM during the period generally reflect the changes in equity market indices. Our AUM at September 30, 2014 increased 6% versus AUM at December 31, 2013, due to market appreciation and net inflows, partially offset by adverse foreign exchange movements. Average AUM in the first nine months of 2014 increased 15% as compared to average AUM in the first nine months of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Saving Initiatives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October 2012, we announced cost saving initiatives which, at that time, were expected to result in approximately $125 million in annual savings from our compensation and non-compensation cost base. We currently expect total annual savings related to the cost saving initiatives to be approximately $160 million, partially offset by investment in our business.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Approximately $120 million of the expected annual savings relate to compensation expense associated with our headcount, and approximately $40 million to non-compensation expense. We expect the full impact of all the savings to be reflected in our 2014 results.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Expenses associated with implementation of the cost saving initiatives were completed in the second quarter of 2013 and were reflected in our financial results. These implementation expenses were approximately: $38 million in the second quarter of 2013; $26 million in the first quarter of 2013; and $103 million in the fourth quarter of 2012, for a total of approximately $167 million.</w:t>
      </w:r>
    </w:p>
    <w:p>
      <w:pPr>
        <w:spacing w:after="0" w:line="140"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The cost saving initiatives are intended to improve our profitability with minimal impact on revenue growth. The initiatives include: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14 of Notes to Condensed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2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Although Corporate segment net revenue during the first nine months of 2014 represented (2)% of Lazard’s net revenue, total assets in the Corporate segment represented 58% of Lazard’s consolidated total assets as of September 30, 2014, which are attributable to investments in government bonds and money market funds, debt and equity securities, interests in alternative investment, debt, equity and private equity funds, cash and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2005 Equity Incentive Plan (the “2005 Plan”) and the Lazard Ltd 2008</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Incentive Compensation Plan (the “2008 Plan”) and (b) LFI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competitive pay conditions and the nature of revenues earned, as well as the mix between current and deferred compensation.</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32" w:lineRule="exact"/>
        <w:rPr>
          <w:sz w:val="20"/>
          <w:szCs w:val="20"/>
          <w:color w:val="auto"/>
        </w:rPr>
      </w:pPr>
    </w:p>
    <w:p>
      <w:pPr>
        <w:ind w:left="900" w:right="14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deduct amortization expense recorded for generally accepted accounting principles in the United States of America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grant date fair value of deferred incentive awards granted in 2014, 2013 and 2012 related to the 2013, 2012 and 2011 year-end compensation processes, respectively) and (ii) investments in people (</w:t>
      </w:r>
      <w:r>
        <w:rPr>
          <w:rFonts w:ascii="Arial" w:cs="Arial" w:eastAsia="Arial" w:hAnsi="Arial"/>
          <w:sz w:val="16"/>
          <w:szCs w:val="16"/>
          <w:i w:val="1"/>
          <w:iCs w:val="1"/>
          <w:color w:val="auto"/>
        </w:rPr>
        <w:t>i.e.</w:t>
      </w:r>
      <w:r>
        <w:rPr>
          <w:rFonts w:ascii="Arial" w:cs="Arial" w:eastAsia="Arial" w:hAnsi="Arial"/>
          <w:sz w:val="16"/>
          <w:szCs w:val="16"/>
          <w:color w:val="auto"/>
        </w:rPr>
        <w:t xml:space="preserve"> “sign-on” bonuses) and other special deferred incentive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Compensation and benefits expense is the largest component of our operating expenses. Our goal is for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Based on a similar level and mix of revenues from our business as in 2012 and a gradual improvement in the macroeconomic environment, we believe that over the cycle we can attain a ratio of awarded compensation and benefits expense to operating revenue in the mid-to-high-50s percentage range, which compares to 58.3% for the year ended December 31, 2013. While we have implemented initiatives, including the cost saving initiatives announced in October 2012 (see “Cost Saving Initiatives” above and Note 14 of Notes to Condensed Consolidated Financial Statements),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AUM levels and/or changes in the mix of revenues from our businesses or various other factors could prevent us from attaining this goal.</w:t>
      </w:r>
    </w:p>
    <w:p>
      <w:pPr>
        <w:spacing w:after="0" w:line="12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and, in the 2013 period, the relevant portion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expense relating to the implementation of the cost saving initiatives. For all periods, the amortization of intangible assets related to acquisitions pertains primarily to the acquisition of Edgewater.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“adjusted non-compensation expense,” a non-U.S. GAAP measure, provides a more meaningful basis for assessing our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calculations with respect to “adjusted non-compensation expense” see the table under “Consolidated Results of Operations” below.</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a portion of Lazard Group’s operating income. 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Outside the U.S., Lazard Group operates principally through subsidiary corporations that are subject to local income taxes. Income taxes shown on Lazard’s consolidated statements of operations are principally related to foreign taxes from non-U.S. entities and to New York City Unincorporated Business Tax (“UBT”) attributable to Lazard Group’s operations apportioned to New York City (see Note 15 of Notes to Condensed Consolidated Financial Statements for additional information).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Noncontrolling interests primarily consist of amounts related to Edgewater’s management vehicles that the Company is deemed to control but not own and, through May 2014, the amount attributable to LAZ-MD Holdings’ ownership interest in the net income of Lazard Group. See Note 11 of Notes to Condensed Consolidated Financial Statements for information regarding the Company’s noncontrolling interests. In May 2014, the remaining Lazard Group common membership interests held by LAZ-MD Holdings were exchanged for shares of the Company’s Class A common stock. Following the exchange, Lazard Group became a wholly-owned indirect subsidiary of Lazard Ltd, and the sole issued and outstanding share of the Company’s Class B common stock was automatically converted into one share of the Company’s Class A common stock pursuant to the provisions of the Company’s bye-laws, resulting in only one outstanding class of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20"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The condensed consolidated financial statements are prepared in conformity with U.S. GAAP. Selected financial data from the Company’s reported condensed consolidated results of operations is set forth below, followed by a more detailed discussion of both the consolidated and business segment results.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3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5"/>
          </w:tcPr>
          <w:p>
            <w:pPr>
              <w:jc w:val="right"/>
              <w:ind w:right="1100"/>
              <w:spacing w:after="0" w:line="155"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566,211</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480,354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1,666,507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1,372,662</w:t>
            </w:r>
          </w:p>
        </w:tc>
        <w:tc>
          <w:tcPr>
            <w:tcW w:w="0" w:type="dxa"/>
            <w:vAlign w:val="bottom"/>
          </w:tcPr>
          <w:p>
            <w:pPr>
              <w:spacing w:after="0"/>
              <w:rPr>
                <w:sz w:val="1"/>
                <w:szCs w:val="1"/>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338,612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301,809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1,006,101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910,679</w:t>
            </w: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Non-compensation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110,043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96,550</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325,524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315,572</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Provision (benefit) pursuant to tax receivable agreement</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9,064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452,499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399,236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1,346,635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1,229,009</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113,712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81,118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319,872</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143,653</w:t>
            </w: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58,614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31,335</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89,920</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62,748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261,258</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112,318</w:t>
            </w:r>
          </w:p>
        </w:tc>
        <w:tc>
          <w:tcPr>
            <w:tcW w:w="0" w:type="dxa"/>
            <w:vAlign w:val="bottom"/>
          </w:tcPr>
          <w:p>
            <w:pPr>
              <w:spacing w:after="0"/>
              <w:rPr>
                <w:sz w:val="1"/>
                <w:szCs w:val="1"/>
                <w:color w:val="auto"/>
              </w:rPr>
            </w:pPr>
          </w:p>
        </w:tc>
      </w:tr>
      <w:tr>
        <w:trPr>
          <w:trHeight w:val="218"/>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88,859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60,282</w:t>
            </w: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254,893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106,995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1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21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60" w:type="dxa"/>
            <w:vAlign w:val="bottom"/>
            <w:gridSpan w:val="5"/>
          </w:tcPr>
          <w:p>
            <w:pPr>
              <w:jc w:val="right"/>
              <w:ind w:right="880"/>
              <w:spacing w:after="0" w:line="142" w:lineRule="exact"/>
              <w:rPr>
                <w:sz w:val="20"/>
                <w:szCs w:val="20"/>
                <w:color w:val="auto"/>
              </w:rPr>
            </w:pPr>
            <w:r>
              <w:rPr>
                <w:rFonts w:ascii="Arial" w:cs="Arial" w:eastAsia="Arial" w:hAnsi="Arial"/>
                <w:sz w:val="14"/>
                <w:szCs w:val="14"/>
                <w:b w:val="1"/>
                <w:bCs w:val="1"/>
                <w:color w:val="auto"/>
              </w:rPr>
              <w:t>($ in thousands)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660" w:type="dxa"/>
            <w:vAlign w:val="bottom"/>
          </w:tcPr>
          <w:p>
            <w:pPr>
              <w:jc w:val="right"/>
              <w:spacing w:after="0"/>
              <w:rPr>
                <w:sz w:val="20"/>
                <w:szCs w:val="20"/>
                <w:color w:val="auto"/>
              </w:rPr>
            </w:pPr>
            <w:r>
              <w:rPr>
                <w:rFonts w:ascii="Arial" w:cs="Arial" w:eastAsia="Arial" w:hAnsi="Arial"/>
                <w:sz w:val="18"/>
                <w:szCs w:val="18"/>
                <w:color w:val="auto"/>
                <w:w w:val="79"/>
              </w:rPr>
              <w:t>$ 566,211</w:t>
            </w:r>
          </w:p>
        </w:tc>
        <w:tc>
          <w:tcPr>
            <w:tcW w:w="26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$480,354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$1,666,507</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$1,372,662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Interest expense (a)</w:t>
            </w:r>
          </w:p>
        </w:tc>
        <w:tc>
          <w:tcPr>
            <w:tcW w:w="660" w:type="dxa"/>
            <w:vAlign w:val="bottom"/>
          </w:tcPr>
          <w:p>
            <w:pPr>
              <w:jc w:val="right"/>
              <w:spacing w:after="0"/>
              <w:rPr>
                <w:sz w:val="20"/>
                <w:szCs w:val="20"/>
                <w:color w:val="auto"/>
              </w:rPr>
            </w:pPr>
            <w:r>
              <w:rPr>
                <w:rFonts w:ascii="Arial" w:cs="Arial" w:eastAsia="Arial" w:hAnsi="Arial"/>
                <w:sz w:val="18"/>
                <w:szCs w:val="18"/>
                <w:color w:val="auto"/>
              </w:rPr>
              <w:t>15,447</w:t>
            </w:r>
          </w:p>
        </w:tc>
        <w:tc>
          <w:tcPr>
            <w:tcW w:w="26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19,895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46,722</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 related to noncontrolling interests (b)</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(4,032)</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(3,994)</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(12,810)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(Gains) losses on investments pertaining to LFI (c)</w:t>
            </w:r>
          </w:p>
        </w:tc>
        <w:tc>
          <w:tcPr>
            <w:tcW w:w="660" w:type="dxa"/>
            <w:vAlign w:val="bottom"/>
          </w:tcPr>
          <w:p>
            <w:pPr>
              <w:jc w:val="right"/>
              <w:spacing w:after="0"/>
              <w:rPr>
                <w:sz w:val="20"/>
                <w:szCs w:val="20"/>
                <w:color w:val="auto"/>
              </w:rPr>
            </w:pPr>
            <w:r>
              <w:rPr>
                <w:rFonts w:ascii="Arial" w:cs="Arial" w:eastAsia="Arial" w:hAnsi="Arial"/>
                <w:sz w:val="18"/>
                <w:szCs w:val="18"/>
                <w:color w:val="auto"/>
              </w:rPr>
              <w:t>5,528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(7,519)</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(6,004)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(7,767)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583,154</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488,736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1,694,415</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1,413,801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460" w:right="6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460" w:right="640" w:hanging="452"/>
        <w:spacing w:after="0" w:line="261"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2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22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2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40" w:type="dxa"/>
            <w:vAlign w:val="bottom"/>
            <w:gridSpan w:val="5"/>
          </w:tcPr>
          <w:p>
            <w:pPr>
              <w:jc w:val="right"/>
              <w:ind w:right="102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$338,612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$301,809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w w:val="84"/>
              </w:rPr>
              <w:t>1,006,101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$910,679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(1,094)</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(1,112)</w:t>
            </w:r>
          </w:p>
        </w:tc>
        <w:tc>
          <w:tcPr>
            <w:tcW w:w="8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(3,340)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(Charges) credits pertaining to LFI (b)</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5,528</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(7,519)</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(6,004)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Cost saving initiatives (c)</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(51,399)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343,046</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293,178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996,757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848,217</w:t>
            </w: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00" w:type="dxa"/>
            <w:vAlign w:val="bottom"/>
            <w:gridSpan w:val="3"/>
            <w:vMerge w:val="continue"/>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58.8%</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58.8%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Lazard has no economic interest in such amounts.</w:t>
      </w:r>
    </w:p>
    <w:p>
      <w:pPr>
        <w:spacing w:after="0" w:line="38"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changes in the fair value of the compensation liability recorded in connection with LFI and other similar deferred compensation arrangements for which a corresponding equal amount is excluded from operating revenue.</w:t>
      </w:r>
    </w:p>
    <w:p>
      <w:pPr>
        <w:ind w:left="460" w:right="280" w:hanging="452"/>
        <w:spacing w:after="0" w:line="361" w:lineRule="auto"/>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Represents expenses related to the cost saving initiatives for (i) severance costs and benefit payments; (ii) the acceleration of unrecognized amortization expense of deferred incentive compensation previously granted to individuals terminated and (iii) the settlement of certain contractual obligations.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1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21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80" w:type="dxa"/>
            <w:vAlign w:val="bottom"/>
            <w:gridSpan w:val="5"/>
          </w:tcPr>
          <w:p>
            <w:pPr>
              <w:jc w:val="right"/>
              <w:ind w:right="100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2380" w:type="dxa"/>
            <w:vAlign w:val="bottom"/>
            <w:gridSpan w:val="3"/>
          </w:tcPr>
          <w:p>
            <w:pPr>
              <w:jc w:val="right"/>
              <w:ind w:right="540"/>
              <w:spacing w:after="0"/>
              <w:rPr>
                <w:sz w:val="20"/>
                <w:szCs w:val="20"/>
                <w:color w:val="auto"/>
              </w:rPr>
            </w:pPr>
            <w:r>
              <w:rPr>
                <w:rFonts w:ascii="Arial" w:cs="Arial" w:eastAsia="Arial" w:hAnsi="Arial"/>
                <w:sz w:val="18"/>
                <w:szCs w:val="18"/>
                <w:color w:val="auto"/>
              </w:rPr>
              <w:t>$ 110,043</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$96,550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$325,524</w:t>
            </w:r>
          </w:p>
        </w:tc>
        <w:tc>
          <w:tcPr>
            <w:tcW w:w="5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$315,572</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2380" w:type="dxa"/>
            <w:vAlign w:val="bottom"/>
            <w:gridSpan w:val="3"/>
          </w:tcPr>
          <w:p>
            <w:pPr>
              <w:jc w:val="right"/>
              <w:ind w:right="480"/>
              <w:spacing w:after="0"/>
              <w:rPr>
                <w:sz w:val="20"/>
                <w:szCs w:val="20"/>
                <w:color w:val="auto"/>
              </w:rPr>
            </w:pPr>
            <w:r>
              <w:rPr>
                <w:rFonts w:ascii="Arial" w:cs="Arial" w:eastAsia="Arial" w:hAnsi="Arial"/>
                <w:sz w:val="18"/>
                <w:szCs w:val="18"/>
                <w:color w:val="auto"/>
              </w:rPr>
              <w:t>(570)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(487)</w:t>
            </w: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rPr>
              <w:t>(1,571)</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saving initiatives (b)</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(13,304)</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Adjusted non-compensation expense</w:t>
            </w:r>
          </w:p>
        </w:tc>
        <w:tc>
          <w:tcPr>
            <w:tcW w:w="1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2"/>
            <w:vMerge w:val="continue"/>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109,473</w:t>
            </w:r>
          </w:p>
        </w:tc>
        <w:tc>
          <w:tcPr>
            <w:tcW w:w="54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96,063</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323,953</w:t>
            </w:r>
          </w:p>
        </w:tc>
        <w:tc>
          <w:tcPr>
            <w:tcW w:w="5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300,642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2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expenses related to the cost saving initiatives for occupancy cost reduction and other non-compensation related costs.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4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4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20" w:type="dxa"/>
            <w:vAlign w:val="bottom"/>
            <w:tcBorders>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0" w:type="dxa"/>
            <w:vAlign w:val="bottom"/>
            <w:gridSpan w:val="5"/>
          </w:tcPr>
          <w:p>
            <w:pPr>
              <w:jc w:val="right"/>
              <w:ind w:right="1300"/>
              <w:spacing w:after="0" w:line="155"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revenue</w:t>
            </w:r>
          </w:p>
        </w:tc>
        <w:tc>
          <w:tcPr>
            <w:tcW w:w="2780" w:type="dxa"/>
            <w:vAlign w:val="bottom"/>
            <w:gridSpan w:val="3"/>
          </w:tcPr>
          <w:p>
            <w:pPr>
              <w:jc w:val="right"/>
              <w:ind w:right="700"/>
              <w:spacing w:after="0"/>
              <w:rPr>
                <w:sz w:val="20"/>
                <w:szCs w:val="20"/>
                <w:color w:val="auto"/>
              </w:rPr>
            </w:pPr>
            <w:r>
              <w:rPr>
                <w:rFonts w:ascii="Arial" w:cs="Arial" w:eastAsia="Arial" w:hAnsi="Arial"/>
                <w:sz w:val="18"/>
                <w:szCs w:val="18"/>
                <w:color w:val="auto"/>
              </w:rPr>
              <w:t>$ 583,154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488,736</w:t>
            </w:r>
          </w:p>
        </w:tc>
        <w:tc>
          <w:tcPr>
            <w:tcW w:w="7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1,694,415</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1,413,801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2780" w:type="dxa"/>
            <w:vAlign w:val="bottom"/>
            <w:gridSpan w:val="3"/>
          </w:tcPr>
          <w:p>
            <w:pPr>
              <w:jc w:val="right"/>
              <w:ind w:right="640"/>
              <w:spacing w:after="0"/>
              <w:rPr>
                <w:sz w:val="20"/>
                <w:szCs w:val="20"/>
                <w:color w:val="auto"/>
              </w:rPr>
            </w:pPr>
            <w:r>
              <w:rPr>
                <w:rFonts w:ascii="Arial" w:cs="Arial" w:eastAsia="Arial" w:hAnsi="Arial"/>
                <w:sz w:val="18"/>
                <w:szCs w:val="18"/>
                <w:color w:val="auto"/>
              </w:rPr>
              <w:t>(343,046)</w:t>
            </w:r>
          </w:p>
        </w:tc>
        <w:tc>
          <w:tcPr>
            <w:tcW w:w="1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w w:val="85"/>
              </w:rPr>
              <w:t>(293,178)</w:t>
            </w:r>
          </w:p>
        </w:tc>
        <w:tc>
          <w:tcPr>
            <w:tcW w:w="8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(996,757)</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(848,217)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1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(109,473)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(96,063)</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(323,953)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(300,642)</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Earnings from operations</w:t>
            </w:r>
          </w:p>
        </w:tc>
        <w:tc>
          <w:tcPr>
            <w:tcW w:w="1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vMerge w:val="continue"/>
          </w:tcPr>
          <w:p>
            <w:pPr>
              <w:spacing w:after="0"/>
              <w:rPr>
                <w:sz w:val="19"/>
                <w:szCs w:val="19"/>
                <w:color w:val="auto"/>
              </w:rPr>
            </w:pPr>
          </w:p>
        </w:tc>
        <w:tc>
          <w:tcPr>
            <w:tcW w:w="2780" w:type="dxa"/>
            <w:vAlign w:val="bottom"/>
            <w:gridSpan w:val="3"/>
          </w:tcPr>
          <w:p>
            <w:pPr>
              <w:jc w:val="right"/>
              <w:ind w:right="700"/>
              <w:spacing w:after="0"/>
              <w:rPr>
                <w:sz w:val="20"/>
                <w:szCs w:val="20"/>
                <w:color w:val="auto"/>
              </w:rPr>
            </w:pPr>
            <w:r>
              <w:rPr>
                <w:rFonts w:ascii="Arial" w:cs="Arial" w:eastAsia="Arial" w:hAnsi="Arial"/>
                <w:sz w:val="18"/>
                <w:szCs w:val="18"/>
                <w:color w:val="auto"/>
              </w:rPr>
              <w:t>$ 130,635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99,495</w:t>
            </w:r>
          </w:p>
        </w:tc>
        <w:tc>
          <w:tcPr>
            <w:tcW w:w="7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373,705</w:t>
            </w: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264,942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2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vMerge w:val="restart"/>
          </w:tcPr>
          <w:p>
            <w:pPr>
              <w:jc w:val="right"/>
              <w:ind w:right="212"/>
              <w:spacing w:after="0"/>
              <w:rPr>
                <w:sz w:val="20"/>
                <w:szCs w:val="20"/>
                <w:color w:val="auto"/>
              </w:rPr>
            </w:pPr>
            <w:r>
              <w:rPr>
                <w:rFonts w:ascii="Arial" w:cs="Arial" w:eastAsia="Arial" w:hAnsi="Arial"/>
                <w:sz w:val="18"/>
                <w:szCs w:val="18"/>
                <w:color w:val="auto"/>
              </w:rPr>
              <w:t>54</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Headcount information is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4"/>
                <w:szCs w:val="14"/>
                <w:b w:val="1"/>
                <w:bCs w:val="1"/>
                <w:color w:val="auto"/>
                <w:w w:val="85"/>
              </w:rPr>
              <w:t>As Of</w:t>
            </w: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04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September 30,</w:t>
            </w:r>
          </w:p>
        </w:tc>
        <w:tc>
          <w:tcPr>
            <w:tcW w:w="1520" w:type="dxa"/>
            <w:vAlign w:val="bottom"/>
            <w:gridSpan w:val="4"/>
          </w:tcPr>
          <w:p>
            <w:pPr>
              <w:jc w:val="center"/>
              <w:ind w:right="72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32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9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2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1"/>
              </w:rPr>
              <w:t>2013(a)</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Headcount:</w:t>
            </w: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ind w:left="220"/>
              <w:spacing w:after="0"/>
              <w:rPr>
                <w:sz w:val="20"/>
                <w:szCs w:val="20"/>
                <w:color w:val="auto"/>
              </w:rPr>
            </w:pPr>
            <w:r>
              <w:rPr>
                <w:rFonts w:ascii="Arial" w:cs="Arial" w:eastAsia="Arial" w:hAnsi="Arial"/>
                <w:sz w:val="18"/>
                <w:szCs w:val="18"/>
                <w:color w:val="auto"/>
              </w:rPr>
              <w:t>Managing Directors:</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540" w:type="dxa"/>
            <w:vAlign w:val="bottom"/>
            <w:gridSpan w:val="2"/>
          </w:tcPr>
          <w:p>
            <w:pPr>
              <w:ind w:left="440"/>
              <w:spacing w:after="0"/>
              <w:rPr>
                <w:sz w:val="20"/>
                <w:szCs w:val="20"/>
                <w:color w:val="auto"/>
              </w:rPr>
            </w:pPr>
            <w:r>
              <w:rPr>
                <w:rFonts w:ascii="Arial" w:cs="Arial" w:eastAsia="Arial" w:hAnsi="Arial"/>
                <w:sz w:val="18"/>
                <w:szCs w:val="18"/>
                <w:color w:val="auto"/>
              </w:rPr>
              <w:t>Asset Management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Managing Directors</w:t>
            </w: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4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238</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7"/>
        </w:trPr>
        <w:tc>
          <w:tcPr>
            <w:tcW w:w="6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Employees:</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ind w:left="440"/>
              <w:spacing w:after="0"/>
              <w:rPr>
                <w:sz w:val="20"/>
                <w:szCs w:val="20"/>
                <w:color w:val="auto"/>
              </w:rPr>
            </w:pPr>
            <w:r>
              <w:rPr>
                <w:rFonts w:ascii="Arial" w:cs="Arial" w:eastAsia="Arial" w:hAnsi="Arial"/>
                <w:sz w:val="18"/>
                <w:szCs w:val="18"/>
                <w:color w:val="auto"/>
              </w:rPr>
              <w:t>Business segment professionals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1,154</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1,082</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1,095</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4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2,522</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2,403</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2,405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headcount reductions relating to the cost saving initiatives were substantially complete as of December 31, 2013. Such reductions have been partially offset by additional investments and managing director promotions.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2014 versus September 30,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reported net income attributable to Lazard Ltd of $89 million, as compared to net income of $60 million in the 2013 period.</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Net revenue increased $86 million, or 18%, with operating revenue increasing $94 million, or 19%, as compared to the 2013 period. Fee revenue from investment banking and other advisory activities increased $59 million, or 25%, primarily due to increases in M&amp;A and Other Advisory fees. The increase in M&amp;A and Other Advisory fee revenue was primarily due to an increase in the number of, and average transaction fee with respect to, completed transactions involving fees greater than $1 million as compared to the 2013 period. Asset management fees, including incentive fees, increased $35 million, or 15%, principally reflecting a $31 billion, or 18%, increase in average AUM as compared to the 2013 period. In the aggregate, interest income, other revenue and interest expense reflected a decrease in net revenue of $8 million as compared to the 2013 period. Such decrease was primarily due to investment losses recorded in connection with LFI, partially offset by a decrease in interest expense as a result of the refinancing of the Company’s 7.125% senior notes due 2015 (the “2015 Notes”) (see Note 9 of Notes to Condensed Consolidated Financial Statements for additional information).</w:t>
      </w:r>
    </w:p>
    <w:p>
      <w:pPr>
        <w:spacing w:after="0" w:line="118"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Compensation and benefits expense increased $37 million, or 12%, as compared to the 2013 period, primarily driven by an increase in accrued discretionary compensation associated with higher operating revenue.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interim periods, as described above) was $343 million, an increase of $50 million, or 17%, as compared to $293 million in the 2013 period, primarily driven by higher operating revenue. The ratio of adjusted compensation and benefits expense to operating revenue was 58.8% for the 2014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period, which is consistent with the 2013 full year adjusted compensation ratio, as compared to 60.0% for the 2013 period. The full year 2014 adjusted compensation ratio could be lower, depending on, among other factors, actual full year performance and the compensation environment at the end of the year. As described above, when analyzing compensation and benefits expense on an interim basis, we believe that adjusted compensation and benefits expense provides the most meaningful basis for comparison of compensation and benefits expense between present, historical and future interim periods.</w:t>
      </w:r>
    </w:p>
    <w:p>
      <w:pPr>
        <w:spacing w:after="0" w:line="11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Non-compensation expense increased $13 million, or 14%, as compared to the 2013 period, reflecting increased activity levels and investment in our businesses. The ratio of adjusted non-compensation expense to operating revenue was 18.8%, as compared to 19.7% in the 2013 period.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increased $3 million as compared to the 2013 period.</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Operating income increased $33 million, as compared to the 2013 period. Operating income, as a percentage of net revenue, was 20.1%, as compared to 16.9% in the 2013 period.</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Earnings from operations increased $31 million, or 31%, as compared to the 2013 period, and, as a percentage of operating revenue, was 22.4%, as compared to 20.3% in the 2013 period.</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provision for income taxes reflects an effective tax rate of 20.9%, as compared to 22.6% for the 2013 period. The decrease in the effective tax rate is primarily reflective of the change in the geographic mix of earnings (see Note 15 of Notes to Condensed Consolidated Financial Statements for additional information).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decreased $1 million as compared to the 2013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2014 versus September 30,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reported net income attributable to Lazard Ltd of $255 million, as compared to net income of $107 million in the 2013 period.</w:t>
      </w:r>
    </w:p>
    <w:p>
      <w:pPr>
        <w:spacing w:after="0" w:line="194" w:lineRule="exact"/>
        <w:rPr>
          <w:sz w:val="20"/>
          <w:szCs w:val="20"/>
          <w:color w:val="auto"/>
        </w:rPr>
      </w:pPr>
    </w:p>
    <w:p>
      <w:pPr>
        <w:ind w:right="180" w:firstLine="456"/>
        <w:spacing w:after="0" w:line="312" w:lineRule="auto"/>
        <w:rPr>
          <w:sz w:val="20"/>
          <w:szCs w:val="20"/>
          <w:color w:val="auto"/>
        </w:rPr>
      </w:pPr>
      <w:r>
        <w:rPr>
          <w:rFonts w:ascii="Arial" w:cs="Arial" w:eastAsia="Arial" w:hAnsi="Arial"/>
          <w:sz w:val="15"/>
          <w:szCs w:val="15"/>
          <w:color w:val="auto"/>
        </w:rPr>
        <w:t>Net revenue increased $294 million, or 21%, with operating revenue increasing $281 million, or 20%, as compared to the 2013 period. Fee revenue from investment banking and other advisory activities increased $183 million, or 28%, primarily due to increases in M&amp;A and Other Advisory fees. The increase in M&amp;A and Other Advisory fee revenue was primarily due to an increase in the number of, and average transaction fee with respect to, completed transactions involving fees greater than $1 million as compared to the 2013 period. Asset management fees, including incentive fees, increased $98 million, or 14%, principally reflecting a $26 billion, or 15%, increase in average AUM as compared to the 2013 period. In the aggregate, interest income, other revenue and interest expense reflected an increase in net revenue of $13 million as compared to the 2013 period. Such increase was primarily due to a decrease in interest expense as a result of the refinancing of the 2015 Notes (see Note 9 of Notes to Condensed Consolidated Financial Statements for additional information).</w:t>
      </w:r>
    </w:p>
    <w:p>
      <w:pPr>
        <w:spacing w:after="0" w:line="10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Compensation and benefits expense increased $95 million, or 10%, as compared to the 2013 period (which included a $51 million charge related to the cost saving initiatives), primarily driven by an increase in accrued discretionary compensation associated with higher operating revenue.</w:t>
      </w:r>
    </w:p>
    <w:p>
      <w:pPr>
        <w:spacing w:after="0" w:line="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interim periods, as described above), was $997 million, an increase of $149 million, or 18%, as compared to $848 million in the 2013 period, primarily driven by higher operating revenue. The ratio of adjusted compensation and benefits expense to operating revenue was 58.8% for the 2014 period, which is consistent with the 2013 full year adjusted compensation ratio, as compared to 60.0% for the 2013 period. The full year 2014 adjusted compensation ratio could be lower, depending on, among other factors, actual full year performance and the compensation environment at the end of the year. As described above,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when analyzing compensation and benefits expense on an interim basis, we believe that adjusted compensation and benefits expense provides the most meaningful basis for comparison of compensation and benefits expense between present, historical and future interim periods.</w:t>
      </w:r>
    </w:p>
    <w:p>
      <w:pPr>
        <w:spacing w:after="0" w:line="85" w:lineRule="exact"/>
        <w:rPr>
          <w:sz w:val="20"/>
          <w:szCs w:val="20"/>
          <w:color w:val="auto"/>
        </w:rPr>
      </w:pPr>
    </w:p>
    <w:p>
      <w:pPr>
        <w:jc w:val="both"/>
        <w:ind w:right="400" w:firstLine="456"/>
        <w:spacing w:after="0" w:line="298" w:lineRule="auto"/>
        <w:rPr>
          <w:sz w:val="20"/>
          <w:szCs w:val="20"/>
          <w:color w:val="auto"/>
        </w:rPr>
      </w:pPr>
      <w:r>
        <w:rPr>
          <w:rFonts w:ascii="Arial" w:cs="Arial" w:eastAsia="Arial" w:hAnsi="Arial"/>
          <w:sz w:val="16"/>
          <w:szCs w:val="16"/>
          <w:color w:val="auto"/>
        </w:rPr>
        <w:t>Non-compensation expense increased $10 million, or 3%, as compared to the 2013 period (which included a charge of $13 million related to the cost saving initiatives). When excluding such charge, as well as non-compensation costs relating to noncontrolling interests, adjusted non-compensation expense increased $23 million, or 8%, as compared to the 2013 period, primarily reflecting increased business activity and investment in our businesses. The ratio of adjusted non-compensation expense to operating revenue was 19.1%, as compared to 21.3% in the 2013 period.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increased $3 million as compared to the 2013 period.</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Based on the expected utilization of certain deferred tax assets that are subject to the tax receivable agreement, the provision pursuant to the tax receivable agreement in the 2014 period was $9 million. No such provision was required in the 2013 period (see Note 15 of Notes to Condensed Consolidated Financial Statements for additional information).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income increased $176 million as compared to the 2013 period (including the charges relating to the cost saving initiatives of $64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as a percentage of net revenue, was 19.2%, as compared to 10.5% in the 2013 period.</w:t>
      </w:r>
    </w:p>
    <w:p>
      <w:pPr>
        <w:spacing w:after="0" w:line="16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Earnings from operations increased $109 million, or 41%, as compared to the 2013 period, and, as a percentage of operating revenue, was 22.1%, as compared to 18.7% in the 2013 period.</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provision for income taxes reflects an effective tax rate of 18.3% as compared to 21.8% for the 2013 period. The decrease in the effective tax rate is primarily reflective of the change in the geographic mix of earnings (see Note 15 of Notes to Condensed Consolidated Financial Statements for additional information).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increased $1 million as compared to the 2013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is a discussion of net revenue and operating income for the Company’s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6"/>
          </w:tcPr>
          <w:p>
            <w:pPr>
              <w:jc w:val="right"/>
              <w:ind w:right="980"/>
              <w:spacing w:after="0" w:line="155" w:lineRule="exact"/>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241,213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176,449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713,670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515,693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Capital Raising</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17,842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15,220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50,632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51,489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259,055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191,669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764,302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567,182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32,034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42,173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83,052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98,429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291,089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233,842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847,354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665,611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Operating Expenses(a)</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255,230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218,015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754,449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674,689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35,859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15,827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92,905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(9,078)</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 as a %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2013, includes $47,779 for the nine month period associated with the implementation of the cost saving initiatives.</w:t>
      </w:r>
    </w:p>
    <w:p>
      <w:pPr>
        <w:spacing w:after="0" w:line="17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in the first nine months of 2014, the industry statistics for global M&amp;A transactions described above reflect a 1% decrease in the value, and a 3% decrease in the number, of all completed transactions as compared to the 2013 period. For M&amp;A deals with values greater than $500 million, the value and number of completed transactions increased 1% and 4%, respectively, as compared to the 2013 period. Our M&amp;A and Other Advisory revenue, however, which includes Sovereign and Capital Structure Advisory revenue, increased 38% as compared to the 2013 period.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89"/>
              </w:rPr>
              <w:t>September 30,</w:t>
            </w:r>
          </w:p>
        </w:tc>
        <w:tc>
          <w:tcPr>
            <w:tcW w:w="4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85"/>
              </w:rPr>
              <w:t>September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5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78"/>
              </w:rPr>
              <w:t>62</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w:t>
            </w: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50</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44</w:t>
            </w:r>
          </w:p>
        </w:tc>
        <w:tc>
          <w:tcPr>
            <w:tcW w:w="540" w:type="dxa"/>
            <w:vAlign w:val="bottom"/>
          </w:tcPr>
          <w:p>
            <w:pPr>
              <w:jc w:val="right"/>
              <w:spacing w:after="0"/>
              <w:rPr>
                <w:sz w:val="20"/>
                <w:szCs w:val="20"/>
                <w:color w:val="auto"/>
              </w:rPr>
            </w:pPr>
            <w:r>
              <w:rPr>
                <w:rFonts w:ascii="Arial" w:cs="Arial" w:eastAsia="Arial" w:hAnsi="Arial"/>
                <w:sz w:val="18"/>
                <w:szCs w:val="18"/>
                <w:color w:val="auto"/>
              </w:rPr>
              <w:t>161</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net revenue from top 10 clients</w:t>
            </w: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35%</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$500 million (a)</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11</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10</w:t>
            </w: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Dealogic as of October 6, 2014.</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Europe (primarily in the U.K., France, Italy, Spain and Germany) and the rest of the world (primarily in Australia) and therefore may not be reflective of the geography in which the clients are located.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9"/>
              </w:rPr>
              <w:t>Three Months Ended</w:t>
            </w:r>
          </w:p>
        </w:tc>
        <w:tc>
          <w:tcPr>
            <w:tcW w:w="2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381"/>
              <w:spacing w:after="0"/>
              <w:rPr>
                <w:sz w:val="20"/>
                <w:szCs w:val="20"/>
                <w:color w:val="auto"/>
              </w:rPr>
            </w:pPr>
            <w:r>
              <w:rPr>
                <w:rFonts w:ascii="Arial" w:cs="Arial" w:eastAsia="Arial" w:hAnsi="Arial"/>
                <w:sz w:val="14"/>
                <w:szCs w:val="14"/>
                <w:b w:val="1"/>
                <w:bCs w:val="1"/>
                <w:color w:val="auto"/>
                <w:w w:val="87"/>
              </w:rPr>
              <w:t>September 30,</w:t>
            </w:r>
          </w:p>
        </w:tc>
        <w:tc>
          <w:tcPr>
            <w:tcW w:w="4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85"/>
              </w:rPr>
              <w:t>September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2013</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82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2014 versus September 30, 2013</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our M&amp;A and Other Advisory and Capital Raising businesses, increased $67 million, or 35%, and Restructuring revenue decreased $10 million, or 24%, as compared to the 2013 period.</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M&amp;A and Other Advisory revenue increased $65 million, or 37%, along with an increase in Capital Raising revenue of $3 million, or 17%, as compared to the 2013 period. The increase in M&amp;A and Other Advisory revenue was primarily due to an increase in the number of, and average transaction fee with respect to, completed transactions involving fees greater than $1 million as compared to the 2013 period. Our major clients, which in the aggregate represented a significant portion of our M&amp;A and Other Advisory revenue for the 2014 period, included Ardian, Emerald Performance Materials, Google, Holiday Retirement, L’Oreal, Reynolds American, UNS Energy, Vidara Therapeutics and The Voting Trust of IMTT Holdings.</w:t>
      </w:r>
    </w:p>
    <w:p>
      <w:pPr>
        <w:spacing w:after="0" w:line="1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timing of which may not correspond to industry announced defaults. The decrease in Restructuring revenue in the 2014 period was generally in line with the continued industry-wide low level of corporate restructuring activity. Our major clients, which in the aggregate represented a significant portion of our restructuring revenue for the 2014 period, included Vivarte, USEC, M*Modal and Overseas Shipholding Group.</w:t>
      </w:r>
    </w:p>
    <w:p>
      <w:pPr>
        <w:spacing w:after="0" w:line="143" w:lineRule="exact"/>
        <w:rPr>
          <w:sz w:val="20"/>
          <w:szCs w:val="20"/>
          <w:color w:val="auto"/>
        </w:rPr>
      </w:pPr>
    </w:p>
    <w:p>
      <w:pPr>
        <w:jc w:val="center"/>
        <w:ind w:left="380" w:right="320"/>
        <w:spacing w:after="0" w:line="440" w:lineRule="auto"/>
        <w:rPr>
          <w:sz w:val="20"/>
          <w:szCs w:val="20"/>
          <w:color w:val="auto"/>
        </w:rPr>
      </w:pPr>
      <w:r>
        <w:rPr>
          <w:rFonts w:ascii="Arial" w:cs="Arial" w:eastAsia="Arial" w:hAnsi="Arial"/>
          <w:sz w:val="18"/>
          <w:szCs w:val="18"/>
          <w:color w:val="auto"/>
        </w:rPr>
        <w:t>Operating expenses increased $37 million, or 17%, as compared to the 2013 period, primarily due to an increase in compensation and benefits expense. 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Financial Advisory operating income was $36 million, an increase of $20 million as compared to operating income of $16 million in the 2013 period and, as a percentage of net revenue, was 12.3%, as compared to 6.8% in the 2013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2014 versus September 30, 2013</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our M&amp;A and Other Advisory and Capital Raising businesses, increased $197 million, or 35%, and Restructuring revenue decreased $15 million, or 16%, as compared to the 2013 period.</w:t>
      </w:r>
    </w:p>
    <w:p>
      <w:pPr>
        <w:spacing w:after="0" w:line="13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M&amp;A and Other Advisory revenue increased $198 million, or 38%, while Capital Raising revenue decreased by $1 million, or 2%, as compared to the 2013 period. The increase in M&amp;A and Other Advisory revenue was primarily due to an increase in the number of, and average transaction fee with respect to, completed transactions involving fees greater than $1 million as compared to the 2013 period. The decrease in Restructuring revenue in the 2014 period was generally in line with the continued industry-wide low level of corporate restructuring activity.</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Operating expenses increased $80 million, or 12%, as compared to the 2013 period (which included a $48 million charge related to the cost saving initiatives). Excluding such charge, operating expenses increased $128 million, or 20%, primarily due to an increase in compensation and benefits expense related to an increase in accrued discretionary compensation associated with increased operating revenue.</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Financial Advisory operating income was $93 million, an increase of $102 million as compared to operating loss of $9 million (including the impact of the $48 million charge related to the cost saving initiatives) in the 2013 period and, as a percentage of net revenue, was 11.0%, as compared to (1.4)% in the 2013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92"/>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3"/>
          </w:tcPr>
          <w:p>
            <w:pPr>
              <w:jc w:val="center"/>
              <w:ind w:left="375"/>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 by Asset Class:</w:t>
            </w:r>
          </w:p>
        </w:tc>
        <w:tc>
          <w:tcPr>
            <w:tcW w:w="5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5280" w:type="dxa"/>
            <w:vAlign w:val="bottom"/>
            <w:gridSpan w:val="2"/>
            <w:shd w:val="clear" w:color="auto" w:fill="CCEEFF"/>
          </w:tcPr>
          <w:p>
            <w:pPr>
              <w:ind w:left="5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51,257</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Global</w:t>
            </w:r>
          </w:p>
        </w:tc>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34,932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5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44,264</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5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161,301</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5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5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Global</w:t>
            </w:r>
          </w:p>
        </w:tc>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5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Income</w:t>
            </w:r>
          </w:p>
        </w:tc>
        <w:tc>
          <w:tcPr>
            <w:tcW w:w="5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30,679</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5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4,372</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5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AUM</w:t>
            </w:r>
          </w:p>
        </w:tc>
        <w:tc>
          <w:tcPr>
            <w:tcW w:w="5280" w:type="dxa"/>
            <w:vAlign w:val="bottom"/>
            <w:gridSpan w:val="2"/>
            <w:shd w:val="clear" w:color="auto" w:fill="CCEEFF"/>
          </w:tcPr>
          <w:p>
            <w:pPr>
              <w:ind w:left="5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197,589</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100" w:type="dxa"/>
            <w:vAlign w:val="bottom"/>
            <w:vMerge w:val="restart"/>
          </w:tcPr>
          <w:p>
            <w:pPr>
              <w:jc w:val="right"/>
              <w:ind w:right="3152"/>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4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Total AUM at September 30, 2014 was $198 billion, which reflected (i) a decrease of $7 billion, or 3%, as compared to total AUM of $205 billion at June 30, 2014, due to market depreciation and adverse foreign exchange movements, partially offset by net inflows, and (ii) an increase of $11 billion, or 6%, as compared to total AUM of $187 billion at December 31, 2013, due to market appreciation and net inflows, partially offset by adverse foreign exchange movements. Average AUM for the three month and nine month periods ended September 30, 2014 was 18% and 15%, respectively, higher than the corresponding periods in 2013.</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As of September 30, 2014, approximately 90% of our AUM was managed on behalf of institutional clients, including corporations, labor unions, public pension funds, insurance companies and banks, and through sub-advisory relationships, mutual fund sponsors, broker-dealers and registered advisors, and approximately 10% of our AUM was managed on behalf of individual client relationships, which are principally with family offices and individuals, and was substantially unchanged from the corresponding percentages at December 31, 2013.</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2014, AUM with foreign currency exposure represented approximately 75% of our total AUM, as compared to 76% at December 31,</w:t>
      </w:r>
    </w:p>
    <w:p>
      <w:pPr>
        <w:spacing w:after="0" w:line="38"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2013. AUM with foreign currency exposure generally declines in value with the strengthening of the U.S. Dollar and increases in value as the U.S. Dollar weakens, with all other factors held constant.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changes in AUM by asset class for the three month and nine month periods ended September 30, 2014 and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11"/>
          </w:tcPr>
          <w:p>
            <w:pPr>
              <w:ind w:left="140"/>
              <w:spacing w:after="0"/>
              <w:rPr>
                <w:sz w:val="20"/>
                <w:szCs w:val="20"/>
                <w:color w:val="auto"/>
              </w:rPr>
            </w:pPr>
            <w:r>
              <w:rPr>
                <w:rFonts w:ascii="Arial" w:cs="Arial" w:eastAsia="Arial" w:hAnsi="Arial"/>
                <w:sz w:val="14"/>
                <w:szCs w:val="14"/>
                <w:b w:val="1"/>
                <w:bCs w:val="1"/>
                <w:color w:val="auto"/>
                <w:w w:val="98"/>
              </w:rPr>
              <w:t>Three Months Ended September 30, 2014</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AUM</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Beginning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Net</w:t>
            </w: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Appreciation/</w:t>
            </w: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Inflows</w:t>
            </w:r>
          </w:p>
        </w:tc>
        <w:tc>
          <w:tcPr>
            <w:tcW w:w="80" w:type="dxa"/>
            <w:vAlign w:val="bottom"/>
          </w:tcPr>
          <w:p>
            <w:pPr>
              <w:spacing w:after="0"/>
              <w:rPr>
                <w:sz w:val="14"/>
                <w:szCs w:val="14"/>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6"/>
              </w:rPr>
              <w:t>Outflows</w:t>
            </w:r>
          </w:p>
        </w:tc>
        <w:tc>
          <w:tcPr>
            <w:tcW w:w="140" w:type="dxa"/>
            <w:vAlign w:val="bottom"/>
          </w:tcPr>
          <w:p>
            <w:pPr>
              <w:spacing w:after="0"/>
              <w:rPr>
                <w:sz w:val="14"/>
                <w:szCs w:val="14"/>
                <w:color w:val="auto"/>
              </w:rPr>
            </w:pPr>
          </w:p>
        </w:tc>
        <w:tc>
          <w:tcPr>
            <w:tcW w:w="8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Flows</w:t>
            </w: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 in millions)</w:t>
            </w: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167,374</w:t>
            </w:r>
          </w:p>
        </w:tc>
        <w:tc>
          <w:tcPr>
            <w:tcW w:w="11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$ 8,028</w:t>
            </w: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$(6,424)</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$1,604</w:t>
            </w: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$161,301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Fixed Income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31,264</w:t>
            </w:r>
          </w:p>
        </w:tc>
        <w:tc>
          <w:tcPr>
            <w:tcW w:w="1120" w:type="dxa"/>
            <w:vAlign w:val="bottom"/>
            <w:gridSpan w:val="5"/>
          </w:tcPr>
          <w:p>
            <w:pPr>
              <w:jc w:val="right"/>
              <w:ind w:right="220"/>
              <w:spacing w:after="0"/>
              <w:rPr>
                <w:sz w:val="20"/>
                <w:szCs w:val="20"/>
                <w:color w:val="auto"/>
              </w:rPr>
            </w:pPr>
            <w:r>
              <w:rPr>
                <w:rFonts w:ascii="Arial" w:cs="Arial" w:eastAsia="Arial" w:hAnsi="Arial"/>
                <w:sz w:val="18"/>
                <w:szCs w:val="18"/>
                <w:color w:val="auto"/>
              </w:rPr>
              <w:t>2,252</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(1,106)</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1,146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(1,822)</w:t>
            </w:r>
          </w:p>
        </w:tc>
        <w:tc>
          <w:tcPr>
            <w:tcW w:w="660" w:type="dxa"/>
            <w:vAlign w:val="bottom"/>
          </w:tcPr>
          <w:p>
            <w:pPr>
              <w:jc w:val="right"/>
              <w:spacing w:after="0"/>
              <w:rPr>
                <w:sz w:val="20"/>
                <w:szCs w:val="20"/>
                <w:color w:val="auto"/>
              </w:rPr>
            </w:pPr>
            <w:r>
              <w:rPr>
                <w:rFonts w:ascii="Arial" w:cs="Arial" w:eastAsia="Arial" w:hAnsi="Arial"/>
                <w:sz w:val="18"/>
                <w:szCs w:val="18"/>
                <w:color w:val="auto"/>
              </w:rPr>
              <w:t>30,679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320" w:type="dxa"/>
            <w:vAlign w:val="bottom"/>
            <w:gridSpan w:val="2"/>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96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204,525</w:t>
            </w:r>
          </w:p>
        </w:tc>
        <w:tc>
          <w:tcPr>
            <w:tcW w:w="1120" w:type="dxa"/>
            <w:vAlign w:val="bottom"/>
            <w:gridSpan w:val="5"/>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10,525</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(7,924)</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2,601</w:t>
            </w:r>
          </w:p>
        </w:tc>
        <w:tc>
          <w:tcPr>
            <w:tcW w:w="3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(1,216)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(8,321)</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197,589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1"/>
          </w:tcPr>
          <w:p>
            <w:pPr>
              <w:ind w:left="140"/>
              <w:spacing w:after="0"/>
              <w:rPr>
                <w:sz w:val="20"/>
                <w:szCs w:val="20"/>
                <w:color w:val="auto"/>
              </w:rPr>
            </w:pPr>
            <w:r>
              <w:rPr>
                <w:rFonts w:ascii="Arial" w:cs="Arial" w:eastAsia="Arial" w:hAnsi="Arial"/>
                <w:sz w:val="14"/>
                <w:szCs w:val="14"/>
                <w:b w:val="1"/>
                <w:bCs w:val="1"/>
                <w:color w:val="auto"/>
              </w:rPr>
              <w:t>Nine Months Ended September 30, 2014</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AUM</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Beginning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Net</w:t>
            </w:r>
          </w:p>
        </w:tc>
        <w:tc>
          <w:tcPr>
            <w:tcW w:w="11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Balance</w:t>
            </w:r>
          </w:p>
        </w:tc>
        <w:tc>
          <w:tcPr>
            <w:tcW w:w="240" w:type="dxa"/>
            <w:vAlign w:val="bottom"/>
          </w:tcPr>
          <w:p>
            <w:pPr>
              <w:spacing w:after="0"/>
              <w:rPr>
                <w:sz w:val="14"/>
                <w:szCs w:val="14"/>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Inflows</w:t>
            </w:r>
          </w:p>
        </w:tc>
        <w:tc>
          <w:tcPr>
            <w:tcW w:w="8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140" w:type="dxa"/>
            <w:vAlign w:val="bottom"/>
          </w:tcPr>
          <w:p>
            <w:pPr>
              <w:spacing w:after="0"/>
              <w:rPr>
                <w:sz w:val="14"/>
                <w:szCs w:val="14"/>
                <w:color w:val="auto"/>
              </w:rPr>
            </w:pPr>
          </w:p>
        </w:tc>
        <w:tc>
          <w:tcPr>
            <w:tcW w:w="8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Flows</w:t>
            </w: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84"/>
              </w:rPr>
              <w:t>($ in millions)</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154,062</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$22,398</w:t>
            </w:r>
          </w:p>
        </w:tc>
        <w:tc>
          <w:tcPr>
            <w:tcW w:w="2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5"/>
              </w:rPr>
              <w:t>$ (18,604)</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(4,822)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$161,301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Fixed Income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26,874</w:t>
            </w:r>
          </w:p>
        </w:tc>
        <w:tc>
          <w:tcPr>
            <w:tcW w:w="80" w:type="dxa"/>
            <w:vAlign w:val="bottom"/>
          </w:tcPr>
          <w:p>
            <w:pPr>
              <w:spacing w:after="0"/>
              <w:rPr>
                <w:sz w:val="18"/>
                <w:szCs w:val="18"/>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7,321</w:t>
            </w:r>
          </w:p>
        </w:tc>
        <w:tc>
          <w:tcPr>
            <w:tcW w:w="220" w:type="dxa"/>
            <w:vAlign w:val="bottom"/>
          </w:tcPr>
          <w:p>
            <w:pPr>
              <w:spacing w:after="0"/>
              <w:rPr>
                <w:sz w:val="18"/>
                <w:szCs w:val="18"/>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(2,698)</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4,623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1,009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(1,827)</w:t>
            </w:r>
          </w:p>
        </w:tc>
        <w:tc>
          <w:tcPr>
            <w:tcW w:w="660" w:type="dxa"/>
            <w:vAlign w:val="bottom"/>
          </w:tcPr>
          <w:p>
            <w:pPr>
              <w:jc w:val="right"/>
              <w:spacing w:after="0"/>
              <w:rPr>
                <w:sz w:val="20"/>
                <w:szCs w:val="20"/>
                <w:color w:val="auto"/>
              </w:rPr>
            </w:pPr>
            <w:r>
              <w:rPr>
                <w:rFonts w:ascii="Arial" w:cs="Arial" w:eastAsia="Arial" w:hAnsi="Arial"/>
                <w:sz w:val="18"/>
                <w:szCs w:val="18"/>
                <w:color w:val="auto"/>
              </w:rPr>
              <w:t>30,679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(1,283)</w:t>
            </w:r>
          </w:p>
        </w:tc>
        <w:tc>
          <w:tcPr>
            <w:tcW w:w="96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18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186,924</w:t>
            </w:r>
          </w:p>
        </w:tc>
        <w:tc>
          <w:tcPr>
            <w:tcW w:w="80" w:type="dxa"/>
            <w:vAlign w:val="bottom"/>
          </w:tcPr>
          <w:p>
            <w:pPr>
              <w:spacing w:after="0"/>
              <w:rPr>
                <w:sz w:val="19"/>
                <w:szCs w:val="19"/>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30,743</w:t>
            </w:r>
          </w:p>
        </w:tc>
        <w:tc>
          <w:tcPr>
            <w:tcW w:w="220" w:type="dxa"/>
            <w:vAlign w:val="bottom"/>
          </w:tcPr>
          <w:p>
            <w:pPr>
              <w:spacing w:after="0"/>
              <w:rPr>
                <w:sz w:val="19"/>
                <w:szCs w:val="19"/>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(22,585)</w:t>
            </w: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8,158</w:t>
            </w:r>
          </w:p>
        </w:tc>
        <w:tc>
          <w:tcPr>
            <w:tcW w:w="3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9,309</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(6,802)</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197,589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362"/>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Inflows in the Equity asset class were primarily attributable to the Emerging Markets and Multi-Regional platforms, and inflows in the Fixed Income asset class were primarily attributable to the Emerging Markets platform. Outflows in the Equity asset class were primarily attributable to the Global and Emerging Markets platforms, and outflows in the Fixed Income asset class were primarily attributable to the Multi-Regional platform.</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10"/>
          </w:tcPr>
          <w:p>
            <w:pPr>
              <w:jc w:val="center"/>
              <w:ind w:left="107"/>
              <w:spacing w:after="0"/>
              <w:rPr>
                <w:sz w:val="20"/>
                <w:szCs w:val="20"/>
                <w:color w:val="auto"/>
              </w:rPr>
            </w:pPr>
            <w:r>
              <w:rPr>
                <w:rFonts w:ascii="Arial" w:cs="Arial" w:eastAsia="Arial" w:hAnsi="Arial"/>
                <w:sz w:val="14"/>
                <w:szCs w:val="14"/>
                <w:b w:val="1"/>
                <w:bCs w:val="1"/>
                <w:color w:val="auto"/>
                <w:w w:val="87"/>
              </w:rPr>
              <w:t>Three Months Ended September 30, 2013</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9"/>
              </w:rPr>
              <w:t>Foreign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AUM</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Exchange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Beginning</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Net</w:t>
            </w:r>
          </w:p>
        </w:tc>
        <w:tc>
          <w:tcPr>
            <w:tcW w:w="4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Appreciation/</w:t>
            </w:r>
          </w:p>
        </w:tc>
        <w:tc>
          <w:tcPr>
            <w:tcW w:w="4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AUM Ending</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Inflows</w:t>
            </w:r>
          </w:p>
        </w:tc>
        <w:tc>
          <w:tcPr>
            <w:tcW w:w="20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Outflows</w:t>
            </w:r>
          </w:p>
        </w:tc>
        <w:tc>
          <w:tcPr>
            <w:tcW w:w="10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Flows</w:t>
            </w:r>
          </w:p>
        </w:tc>
        <w:tc>
          <w:tcPr>
            <w:tcW w:w="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Balance</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center"/>
              <w:ind w:left="32"/>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134,341</w:t>
            </w: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$6,319</w:t>
            </w: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$(5,458)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861</w:t>
            </w: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9,060</w:t>
            </w: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32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Fixed Income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22,956</w:t>
            </w: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2,027</w:t>
            </w: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(980)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1,047</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522</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32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(405)</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163,289</w:t>
            </w:r>
          </w:p>
        </w:tc>
        <w:tc>
          <w:tcPr>
            <w:tcW w:w="920" w:type="dxa"/>
            <w:vAlign w:val="bottom"/>
            <w:gridSpan w:val="5"/>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8,562</w:t>
            </w:r>
          </w:p>
        </w:tc>
        <w:tc>
          <w:tcPr>
            <w:tcW w:w="980" w:type="dxa"/>
            <w:vAlign w:val="bottom"/>
            <w:gridSpan w:val="4"/>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(6,843)</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1,719</w:t>
            </w:r>
          </w:p>
        </w:tc>
        <w:tc>
          <w:tcPr>
            <w:tcW w:w="340" w:type="dxa"/>
            <w:vAlign w:val="bottom"/>
          </w:tcPr>
          <w:p>
            <w:pPr>
              <w:spacing w:after="0"/>
              <w:rPr>
                <w:sz w:val="19"/>
                <w:szCs w:val="19"/>
                <w:color w:val="auto"/>
              </w:rPr>
            </w:pP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9,101</w:t>
            </w: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2,346</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176,455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4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0"/>
          </w:tcPr>
          <w:p>
            <w:pPr>
              <w:jc w:val="center"/>
              <w:ind w:right="120"/>
              <w:spacing w:after="0"/>
              <w:rPr>
                <w:sz w:val="20"/>
                <w:szCs w:val="20"/>
                <w:color w:val="auto"/>
              </w:rPr>
            </w:pPr>
            <w:r>
              <w:rPr>
                <w:rFonts w:ascii="Arial" w:cs="Arial" w:eastAsia="Arial" w:hAnsi="Arial"/>
                <w:sz w:val="14"/>
                <w:szCs w:val="14"/>
                <w:b w:val="1"/>
                <w:bCs w:val="1"/>
                <w:color w:val="auto"/>
                <w:w w:val="87"/>
              </w:rPr>
              <w:t>Nine Months Ended September 30, 2013</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97"/>
              </w:rPr>
              <w:t>Foreign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AUM</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4"/>
              </w:rPr>
              <w:t>Exchange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w w:val="84"/>
              </w:rPr>
              <w:t>Beginning</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Net</w:t>
            </w:r>
          </w:p>
        </w:tc>
        <w:tc>
          <w:tcPr>
            <w:tcW w:w="10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00" w:type="dxa"/>
            <w:vAlign w:val="bottom"/>
          </w:tcPr>
          <w:p>
            <w:pPr>
              <w:spacing w:after="0"/>
              <w:rPr>
                <w:sz w:val="12"/>
                <w:szCs w:val="12"/>
                <w:color w:val="auto"/>
              </w:rPr>
            </w:pPr>
          </w:p>
        </w:tc>
        <w:tc>
          <w:tcPr>
            <w:tcW w:w="11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4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AUM Ending</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6"/>
              </w:rPr>
              <w:t>Balance</w:t>
            </w:r>
          </w:p>
        </w:tc>
        <w:tc>
          <w:tcPr>
            <w:tcW w:w="20" w:type="dxa"/>
            <w:vAlign w:val="bottom"/>
          </w:tcPr>
          <w:p>
            <w:pPr>
              <w:spacing w:after="0"/>
              <w:rPr>
                <w:sz w:val="14"/>
                <w:szCs w:val="14"/>
                <w:color w:val="auto"/>
              </w:rPr>
            </w:pPr>
          </w:p>
        </w:tc>
        <w:tc>
          <w:tcPr>
            <w:tcW w:w="900" w:type="dxa"/>
            <w:vAlign w:val="bottom"/>
            <w:gridSpan w:val="4"/>
          </w:tcPr>
          <w:p>
            <w:pPr>
              <w:ind w:left="80"/>
              <w:spacing w:after="0"/>
              <w:rPr>
                <w:sz w:val="20"/>
                <w:szCs w:val="20"/>
                <w:color w:val="auto"/>
              </w:rPr>
            </w:pPr>
            <w:r>
              <w:rPr>
                <w:rFonts w:ascii="Arial" w:cs="Arial" w:eastAsia="Arial" w:hAnsi="Arial"/>
                <w:sz w:val="14"/>
                <w:szCs w:val="14"/>
                <w:b w:val="1"/>
                <w:bCs w:val="1"/>
                <w:color w:val="auto"/>
              </w:rPr>
              <w:t>Inflows</w:t>
            </w:r>
          </w:p>
        </w:tc>
        <w:tc>
          <w:tcPr>
            <w:tcW w:w="9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3"/>
              </w:rPr>
              <w:t>Outflows</w:t>
            </w:r>
          </w:p>
        </w:tc>
        <w:tc>
          <w:tcPr>
            <w:tcW w:w="10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0"/>
              </w:rPr>
              <w:t>Flows</w:t>
            </w: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10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Balance</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center"/>
              <w:ind w:right="132"/>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138,171</w:t>
            </w:r>
          </w:p>
        </w:tc>
        <w:tc>
          <w:tcPr>
            <w:tcW w:w="2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2"/>
              </w:rPr>
              <w:t>$20,383</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2"/>
              </w:rPr>
              <w:t>$ (25,557)</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6"/>
              </w:rPr>
              <w:t>$(5,174)</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16,706</w:t>
            </w:r>
          </w:p>
        </w:tc>
        <w:tc>
          <w:tcPr>
            <w:tcW w:w="24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Fixed Income</w:t>
            </w:r>
          </w:p>
        </w:tc>
        <w:tc>
          <w:tcPr>
            <w:tcW w:w="1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22,718</w:t>
            </w:r>
          </w:p>
        </w:tc>
        <w:tc>
          <w:tcPr>
            <w:tcW w:w="280" w:type="dxa"/>
            <w:vAlign w:val="bottom"/>
          </w:tcPr>
          <w:p>
            <w:pPr>
              <w:spacing w:after="0"/>
              <w:rPr>
                <w:sz w:val="18"/>
                <w:szCs w:val="18"/>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8"/>
                <w:szCs w:val="18"/>
                <w:color w:val="auto"/>
              </w:rPr>
              <w:t>4,878</w:t>
            </w:r>
          </w:p>
        </w:tc>
        <w:tc>
          <w:tcPr>
            <w:tcW w:w="10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(2,798)</w:t>
            </w:r>
          </w:p>
        </w:tc>
        <w:tc>
          <w:tcPr>
            <w:tcW w:w="220" w:type="dxa"/>
            <w:vAlign w:val="bottom"/>
          </w:tcPr>
          <w:p>
            <w:pPr>
              <w:spacing w:after="0"/>
              <w:rPr>
                <w:sz w:val="18"/>
                <w:szCs w:val="18"/>
                <w:color w:val="auto"/>
              </w:rPr>
            </w:pPr>
          </w:p>
        </w:tc>
        <w:tc>
          <w:tcPr>
            <w:tcW w:w="5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2,080</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6,171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(966)</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167,060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25,918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(29,321)</w:t>
            </w:r>
          </w:p>
        </w:tc>
        <w:tc>
          <w:tcPr>
            <w:tcW w:w="22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(3,403)</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16,441</w:t>
            </w:r>
          </w:p>
        </w:tc>
        <w:tc>
          <w:tcPr>
            <w:tcW w:w="2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(3,643)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176,455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As of October 24, 2014, AUM was $196.2 billion, a $1.4 billion decrease since September 30, 2014, with such decrease primarily due to market depreciation of $2.2 billion, partially offset by foreign exchange appreciation of $0.4 billion and net inflows of $0.4 billion.</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Average AUM for the three month and nine month periods ended September 30, 2014 and 2013 for each significant asset class is set forth below. Average AUM generally represents the average of the monthly ending AUM balances for the period.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1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2014</w:t>
            </w:r>
          </w:p>
        </w:tc>
        <w:tc>
          <w:tcPr>
            <w:tcW w:w="1020" w:type="dxa"/>
            <w:vAlign w:val="bottom"/>
            <w:tcBorders>
              <w:top w:val="single" w:sz="8" w:color="auto"/>
              <w:bottom w:val="single" w:sz="8" w:color="auto"/>
            </w:tcBorders>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gridSpan w:val="4"/>
          </w:tcPr>
          <w:p>
            <w:pPr>
              <w:ind w:left="500"/>
              <w:spacing w:after="0" w:line="155" w:lineRule="exact"/>
              <w:rPr>
                <w:sz w:val="20"/>
                <w:szCs w:val="20"/>
                <w:color w:val="auto"/>
              </w:rPr>
            </w:pPr>
            <w:r>
              <w:rPr>
                <w:rFonts w:ascii="Arial" w:cs="Arial" w:eastAsia="Arial" w:hAnsi="Arial"/>
                <w:sz w:val="14"/>
                <w:szCs w:val="14"/>
                <w:b w:val="1"/>
                <w:bCs w:val="1"/>
                <w:color w:val="auto"/>
              </w:rPr>
              <w:t>($ in millions)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AUM by Asset Class:</w:t>
            </w:r>
          </w:p>
        </w:tc>
        <w:tc>
          <w:tcPr>
            <w:tcW w:w="3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Equity</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$ 165,760</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$ 142,174</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$ 160,341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141,549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Income</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31,365</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23,548</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29,662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22,706</w:t>
            </w: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Alternative Investments</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4,468</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4,494</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4,542</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1,174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23"/>
        </w:trPr>
        <w:tc>
          <w:tcPr>
            <w:tcW w:w="3960" w:type="dxa"/>
            <w:vAlign w:val="bottom"/>
          </w:tcPr>
          <w:p>
            <w:pPr>
              <w:ind w:left="440"/>
              <w:spacing w:after="0"/>
              <w:rPr>
                <w:sz w:val="20"/>
                <w:szCs w:val="20"/>
                <w:color w:val="auto"/>
              </w:rPr>
            </w:pPr>
            <w:r>
              <w:rPr>
                <w:rFonts w:ascii="Arial" w:cs="Arial" w:eastAsia="Arial" w:hAnsi="Arial"/>
                <w:sz w:val="18"/>
                <w:szCs w:val="18"/>
                <w:color w:val="auto"/>
              </w:rPr>
              <w:t>Cash Management</w:t>
            </w:r>
          </w:p>
        </w:tc>
        <w:tc>
          <w:tcPr>
            <w:tcW w:w="35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Average AUM</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$ 202,842</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$ 171,497</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$ 195,815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170,162</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560" w:type="dxa"/>
            <w:vAlign w:val="bottom"/>
            <w:vMerge w:val="restart"/>
          </w:tcPr>
          <w:p>
            <w:pPr>
              <w:jc w:val="right"/>
              <w:ind w:right="1632"/>
              <w:spacing w:after="0"/>
              <w:rPr>
                <w:sz w:val="20"/>
                <w:szCs w:val="20"/>
                <w:color w:val="auto"/>
              </w:rPr>
            </w:pPr>
            <w:r>
              <w:rPr>
                <w:rFonts w:ascii="Arial" w:cs="Arial" w:eastAsia="Arial" w:hAnsi="Arial"/>
                <w:sz w:val="18"/>
                <w:szCs w:val="18"/>
                <w:color w:val="auto"/>
              </w:rPr>
              <w:t>62</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6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4"/>
          </w:tcPr>
          <w:p>
            <w:pPr>
              <w:jc w:val="right"/>
              <w:ind w:right="120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$262,992</w:t>
            </w: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228,272</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$760,022</w:t>
            </w:r>
          </w:p>
        </w:tc>
        <w:tc>
          <w:tcPr>
            <w:tcW w:w="7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$665,964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10,061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37,953</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17,174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13,761</w:t>
            </w:r>
          </w:p>
        </w:tc>
        <w:tc>
          <w:tcPr>
            <w:tcW w:w="680" w:type="dxa"/>
            <w:vAlign w:val="bottom"/>
          </w:tcPr>
          <w:p>
            <w:pPr>
              <w:jc w:val="right"/>
              <w:spacing w:after="0"/>
              <w:rPr>
                <w:sz w:val="20"/>
                <w:szCs w:val="20"/>
                <w:color w:val="auto"/>
              </w:rPr>
            </w:pPr>
            <w:r>
              <w:rPr>
                <w:rFonts w:ascii="Arial" w:cs="Arial" w:eastAsia="Arial" w:hAnsi="Arial"/>
                <w:sz w:val="18"/>
                <w:szCs w:val="18"/>
                <w:color w:val="auto"/>
              </w:rPr>
              <w:t>50,720</w:t>
            </w:r>
          </w:p>
        </w:tc>
        <w:tc>
          <w:tcPr>
            <w:tcW w:w="7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40,950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291,967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252,094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848,695</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741,618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Operating Expenses(a)</w:t>
            </w:r>
          </w:p>
        </w:tc>
        <w:tc>
          <w:tcPr>
            <w:tcW w:w="680" w:type="dxa"/>
            <w:vAlign w:val="bottom"/>
          </w:tcPr>
          <w:p>
            <w:pPr>
              <w:jc w:val="right"/>
              <w:spacing w:after="0"/>
              <w:rPr>
                <w:sz w:val="20"/>
                <w:szCs w:val="20"/>
                <w:color w:val="auto"/>
              </w:rPr>
            </w:pPr>
            <w:r>
              <w:rPr>
                <w:rFonts w:ascii="Arial" w:cs="Arial" w:eastAsia="Arial" w:hAnsi="Arial"/>
                <w:sz w:val="18"/>
                <w:szCs w:val="18"/>
                <w:color w:val="auto"/>
              </w:rPr>
              <w:t>191,501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168,895</w:t>
            </w:r>
          </w:p>
        </w:tc>
        <w:tc>
          <w:tcPr>
            <w:tcW w:w="680" w:type="dxa"/>
            <w:vAlign w:val="bottom"/>
          </w:tcPr>
          <w:p>
            <w:pPr>
              <w:jc w:val="right"/>
              <w:spacing w:after="0"/>
              <w:rPr>
                <w:sz w:val="20"/>
                <w:szCs w:val="20"/>
                <w:color w:val="auto"/>
              </w:rPr>
            </w:pPr>
            <w:r>
              <w:rPr>
                <w:rFonts w:ascii="Arial" w:cs="Arial" w:eastAsia="Arial" w:hAnsi="Arial"/>
                <w:sz w:val="18"/>
                <w:szCs w:val="18"/>
                <w:color w:val="auto"/>
              </w:rPr>
              <w:t>552,499</w:t>
            </w:r>
          </w:p>
        </w:tc>
        <w:tc>
          <w:tcPr>
            <w:tcW w:w="7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511,526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100,466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83,199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296,196</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230,092</w:t>
            </w: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40" w:type="dxa"/>
            <w:vAlign w:val="bottom"/>
            <w:gridSpan w:val="3"/>
            <w:vMerge w:val="continue"/>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33.0%</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34.9%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2013, includes $235 for the nine month period associated with the implementation of the cost saving initiatives.</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9"/>
              </w:rPr>
              <w:t>Three Months Ended</w:t>
            </w:r>
          </w:p>
        </w:tc>
        <w:tc>
          <w:tcPr>
            <w:tcW w:w="21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2013</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82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29</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2014 versus September 30, 2013</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Asset Management net revenue increased $40 million, or 16%, as compared to the 2013 period. Management fees increased $35 million, or 15%, as compared to the 2013 period, reflecting a $31 billion, or 18%, increase in average AUM. Incentive fees increased $2 million, or 17%, as compared to the 2013 period. Other revenue increased $3 million, or 25%, as compared to the 2013 period, primarily due to increases in transaction fees related to our private equity business.</w:t>
      </w:r>
    </w:p>
    <w:p>
      <w:pPr>
        <w:spacing w:after="0" w:line="14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Operating expenses increased $23 million, or 13%, as compared to the 2013 period, primarily due to an increase in compensation and benefits expense related to salary and benefits generally associated with new hires, and other expenses related to increased business activity and AUM.</w:t>
      </w:r>
    </w:p>
    <w:p>
      <w:pPr>
        <w:spacing w:after="0" w:line="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Asset Management operating income was $100 million, an increase of $17 million, or 21%, as compared to operating income of $83 million in the 2013 period and, as a percentage of net revenue, was 34.4%, as compared to 33.0% in the 2013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2014 versus September 30, 2013</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Asset Management net revenue increased $107 million, or 14%, as compared to the 2013 period. Management fees increased $94 million, or 14%, as compared to the 2013 period, reflecting a $26 billion, or 15%, increase in average AUM. Incentive fees increased $3 million, or 9%, as compared to the 2013 period, primarily due to fees related to traditional investment products. Other revenue increased $10 million, or 24%, as compared to the 2013 period, primarily due to higher transaction-based commission revenue as a result of increased market activity and custody fees and transaction fees related to our private equity business.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Operating expenses increased $41 million, or 8%, as compared to the 2013 period, primarily due to increases in compensation and benefits expense related to salary and benefits generally associated with new hires, and other expenses related to increased business activity and AUM.</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Asset Management operating income was $296 million, an increase of $66 million, or 29%, as compared to operating income of $230 million (including the impact of the $0.2 million charge related to the cost saving initiatives) in the 2013 period and, as a percentage of net revenue, was 34.9%, as compared to 31.0% in the 2013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w w:val="96"/>
              </w:rPr>
              <w:t>($ in thousands)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(15,510)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(20,169)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(47,170)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(60,630)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(14,459)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(19,437)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(44,137)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(58,255)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(2,386)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13,855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14,595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23,688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(16,845)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(29,542)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(34,567)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5,768</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12,326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39,687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42,794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(22,613)</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(17,908)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(69,229)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(77,361)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2013, includes $16,689 for the nine month period associated with the implementation of the cost saving initiatives.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30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2014 versus September 30,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$5 million, or 26%, as compared to the 2013 period, primarily due to the refinancing of the 2015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decreased $16 million as compared to the 2013 period, primarily due to investment losses recorded in connection with LFI.</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Operating expenses decreased $7 million, or 53%, as compared to the 2013 period. The decrease was primarily due to decreased compensation and benefits expense recorded in connection with LFI.</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2014 versus September 30,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$14 million, or 24%, as compared to the 2013 period, primarily due to the refinancing of the 2015 Notes.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Other revenue decreased $9 million, or 38%, as compared to the 2013 period, primarily due to lower investment gains recorded in connection with LFI and other investments.</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Operating expenses decreased $3 million, or 7%, as compared to the 2013 period (which included charges of $16 million associated with the cost saving initiatives). Excluding the impact of such charges, operating expenses increased $14 million compared to the 2013 period. The increase was primarily related to a $9 million provision pursuant to the tax receivable agreement. Such provision was required in the 2014 period, but not in the corresponding 2013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makes cash payments for, or in respect of, a significant portion of its incentive compensation during the first three months of each calendar year with respect to the prior year’s results. In addition, during 2014 and 2013, the Company made cash payments, including severance payments, associated with the cost saving initiatives (see “Cost Saving Initiatives” above and Note 14 of Notes to Condensed Consolidated Financial Statements).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4"/>
          </w:tcPr>
          <w:p>
            <w:pPr>
              <w:jc w:val="center"/>
              <w:ind w:left="335"/>
              <w:spacing w:after="0"/>
              <w:rPr>
                <w:sz w:val="20"/>
                <w:szCs w:val="20"/>
                <w:color w:val="auto"/>
              </w:rPr>
            </w:pPr>
            <w:r>
              <w:rPr>
                <w:rFonts w:ascii="Arial" w:cs="Arial" w:eastAsia="Arial" w:hAnsi="Arial"/>
                <w:sz w:val="14"/>
                <w:szCs w:val="14"/>
                <w:b w:val="1"/>
                <w:bCs w:val="1"/>
                <w:color w:val="auto"/>
                <w:w w:val="91"/>
              </w:rPr>
              <w:t>Nine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5"/>
              </w:rPr>
              <w:t>September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874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260.1</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415.4</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874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(396.1)</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8"/>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4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841.5</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820.6</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00" w:type="dxa"/>
            <w:vAlign w:val="bottom"/>
            <w:tcBorders>
              <w:bottom w:val="single" w:sz="8" w:color="auto"/>
            </w:tcBorders>
          </w:tcPr>
          <w:p>
            <w:pPr>
              <w:spacing w:after="0"/>
              <w:rPr>
                <w:sz w:val="8"/>
                <w:szCs w:val="8"/>
                <w:color w:val="auto"/>
              </w:rPr>
            </w:pPr>
          </w:p>
        </w:tc>
        <w:tc>
          <w:tcPr>
            <w:tcW w:w="7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874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0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874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227.9</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260.1</w:t>
            </w:r>
          </w:p>
        </w:tc>
        <w:tc>
          <w:tcPr>
            <w:tcW w:w="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tax withholdings related to the settlement of vested restricted stock units (“RSUs”), Class A common stock dividends and distributions to noncontrolling interest 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During 2013, liquidity was also impacted by cash payments, including severance payments, associated with the cost saving initiatives (see “Cost Saving Initiatives” above and Note 14 of Notes to Condensed Consolidated Financial Statements).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dividend payments, purchases of shares of Class A common stock and Lazard Group common membership interests and matters relating to liquidity and to compliance with regulatory net capital requirements. At September 30, 2014, Lazard had approximately $821 million of cash, with such amount including approximately $359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4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September 30, 2014, Lazard had approximately $262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$44 million (at September 30, 2014 exchange rates) and Edgewater of $64 million. In addition, LFB has access to the Eurosystem Covered Bond Purchase Program of the Banque de France.</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The table below sets forth our corporate indebtedness as of September 30, 2014 and December 31, 2013. The agreements with respect to this indebtedness are discussed in more detail in our condensed consolidated financial statements and related notes included elsewhere in this Form 10-Q and in our Form 10-K.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16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5"/>
              </w:rPr>
              <w:t>Maturity</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132"/>
              <w:spacing w:after="0"/>
              <w:rPr>
                <w:sz w:val="20"/>
                <w:szCs w:val="20"/>
                <w:color w:val="auto"/>
              </w:rPr>
            </w:pPr>
            <w:r>
              <w:rPr>
                <w:rFonts w:ascii="Arial" w:cs="Arial" w:eastAsia="Arial" w:hAnsi="Arial"/>
                <w:sz w:val="14"/>
                <w:szCs w:val="14"/>
                <w:b w:val="1"/>
                <w:bCs w:val="1"/>
                <w:color w:val="auto"/>
                <w:w w:val="85"/>
              </w:rPr>
              <w:t>As of</w:t>
            </w:r>
          </w:p>
        </w:tc>
        <w:tc>
          <w:tcPr>
            <w:tcW w:w="6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29"/>
        </w:trPr>
        <w:tc>
          <w:tcPr>
            <w:tcW w:w="64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74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7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60" w:type="dxa"/>
            <w:vAlign w:val="bottom"/>
          </w:tcPr>
          <w:p>
            <w:pPr>
              <w:spacing w:after="0"/>
              <w:rPr>
                <w:sz w:val="14"/>
                <w:szCs w:val="14"/>
                <w:color w:val="auto"/>
              </w:rPr>
            </w:pPr>
          </w:p>
        </w:tc>
        <w:tc>
          <w:tcPr>
            <w:tcW w:w="11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Date</w:t>
            </w:r>
          </w:p>
        </w:tc>
        <w:tc>
          <w:tcPr>
            <w:tcW w:w="200" w:type="dxa"/>
            <w:vAlign w:val="bottom"/>
          </w:tcPr>
          <w:p>
            <w:pPr>
              <w:spacing w:after="0"/>
              <w:rPr>
                <w:sz w:val="14"/>
                <w:szCs w:val="14"/>
                <w:color w:val="auto"/>
              </w:rPr>
            </w:pPr>
          </w:p>
        </w:tc>
        <w:tc>
          <w:tcPr>
            <w:tcW w:w="640" w:type="dxa"/>
            <w:vAlign w:val="bottom"/>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74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jc w:val="center"/>
              <w:ind w:left="34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jc w:val="right"/>
              <w:ind w:right="5472"/>
              <w:spacing w:after="0"/>
              <w:rPr>
                <w:sz w:val="20"/>
                <w:szCs w:val="20"/>
                <w:color w:val="auto"/>
              </w:rPr>
            </w:pPr>
            <w:r>
              <w:rPr>
                <w:rFonts w:ascii="Arial" w:cs="Arial" w:eastAsia="Arial" w:hAnsi="Arial"/>
                <w:sz w:val="18"/>
                <w:szCs w:val="18"/>
                <w:color w:val="auto"/>
                <w:w w:val="87"/>
              </w:rPr>
              <w:t>Senior Debt:</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jc w:val="right"/>
              <w:ind w:right="5472"/>
              <w:spacing w:after="0"/>
              <w:rPr>
                <w:sz w:val="20"/>
                <w:szCs w:val="20"/>
                <w:color w:val="auto"/>
              </w:rPr>
            </w:pPr>
            <w:r>
              <w:rPr>
                <w:rFonts w:ascii="Arial" w:cs="Arial" w:eastAsia="Arial" w:hAnsi="Arial"/>
                <w:sz w:val="18"/>
                <w:szCs w:val="18"/>
                <w:color w:val="auto"/>
              </w:rPr>
              <w:t>6.85%</w:t>
            </w: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2017</w:t>
            </w:r>
          </w:p>
        </w:tc>
        <w:tc>
          <w:tcPr>
            <w:tcW w:w="6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548.4</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548.4</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jc w:val="right"/>
              <w:ind w:right="5472"/>
              <w:spacing w:after="0"/>
              <w:rPr>
                <w:sz w:val="20"/>
                <w:szCs w:val="20"/>
                <w:color w:val="auto"/>
              </w:rPr>
            </w:pPr>
            <w:r>
              <w:rPr>
                <w:rFonts w:ascii="Arial" w:cs="Arial" w:eastAsia="Arial" w:hAnsi="Arial"/>
                <w:sz w:val="18"/>
                <w:szCs w:val="18"/>
                <w:color w:val="auto"/>
              </w:rPr>
              <w:t>4.25%</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vMerge w:val="restart"/>
          </w:tcPr>
          <w:p>
            <w:pPr>
              <w:jc w:val="right"/>
              <w:ind w:right="5112"/>
              <w:spacing w:after="0"/>
              <w:rPr>
                <w:sz w:val="20"/>
                <w:szCs w:val="20"/>
                <w:color w:val="auto"/>
              </w:rPr>
            </w:pPr>
            <w:r>
              <w:rPr>
                <w:rFonts w:ascii="Arial" w:cs="Arial" w:eastAsia="Arial" w:hAnsi="Arial"/>
                <w:sz w:val="18"/>
                <w:szCs w:val="18"/>
                <w:color w:val="auto"/>
                <w:w w:val="88"/>
              </w:rPr>
              <w:t>Total Senior Debt</w:t>
            </w: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1,048.4</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1,048.4</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During the fourth quarter of 2013, the Company completed a refinancing of the 2015 Notes by issuing a tender and redemption notice for the 2015 Notes and issuing $500 million of 4.25% senior notes maturing in 2020 (the “2020 Notes”).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due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September 30, 2014, Lazard Group was in compliance with such ratios, with its Consolidated Leverage Ratio being 1.32 to 1.00 and its Consolidated Interest Coverage Ratio being 13.23 to 1.00. In any event, no amounts were outstanding under the Credit Facility as of September 30, 2014.</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September 30, 2014,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September 30, 2014, total stockholders’ equity was $638 million, as compared to $630 million at December 31, 2013, including $573 million and $560 million attributable to Lazard Ltd on the respective dates. The net activity in stockholders’ equity during the nine month period ended September 30, 2014 is reflected in the table below (in millions of dollars):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Equity—January 1, 2014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$ 630</w:t>
            </w:r>
          </w:p>
        </w:tc>
        <w:tc>
          <w:tcPr>
            <w:tcW w:w="100" w:type="dxa"/>
            <w:vAlign w:val="bottom"/>
            <w:shd w:val="clear" w:color="auto" w:fill="CCEEFF"/>
          </w:tcPr>
          <w:p>
            <w:pPr>
              <w:spacing w:after="0"/>
              <w:rPr>
                <w:sz w:val="18"/>
                <w:szCs w:val="18"/>
                <w:color w:val="auto"/>
              </w:rPr>
            </w:pPr>
          </w:p>
        </w:tc>
      </w:tr>
      <w:tr>
        <w:trPr>
          <w:trHeight w:val="283"/>
        </w:trPr>
        <w:tc>
          <w:tcPr>
            <w:tcW w:w="9980" w:type="dxa"/>
            <w:vAlign w:val="bottom"/>
          </w:tcPr>
          <w:p>
            <w:pPr>
              <w:spacing w:after="0"/>
              <w:rPr>
                <w:sz w:val="20"/>
                <w:szCs w:val="20"/>
                <w:color w:val="auto"/>
              </w:rPr>
            </w:pPr>
            <w:r>
              <w:rPr>
                <w:rFonts w:ascii="Arial" w:cs="Arial" w:eastAsia="Arial" w:hAnsi="Arial"/>
                <w:sz w:val="18"/>
                <w:szCs w:val="18"/>
                <w:color w:val="auto"/>
              </w:rPr>
              <w:t>Increase (decrease) due to:</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Other comprehensive loss</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Purchase of Class A common stock</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 of share-based incentive compensation, net of related tax benefit of $1 (a)</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Class A common stock dividends</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Distributions to noncontrolling interests, net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22"/>
        </w:trPr>
        <w:tc>
          <w:tcPr>
            <w:tcW w:w="9980" w:type="dxa"/>
            <w:vAlign w:val="bottom"/>
          </w:tcPr>
          <w:p>
            <w:pPr>
              <w:spacing w:after="0"/>
              <w:rPr>
                <w:sz w:val="20"/>
                <w:szCs w:val="20"/>
                <w:color w:val="auto"/>
              </w:rPr>
            </w:pPr>
            <w:r>
              <w:rPr>
                <w:rFonts w:ascii="Arial" w:cs="Arial" w:eastAsia="Arial" w:hAnsi="Arial"/>
                <w:sz w:val="18"/>
                <w:szCs w:val="18"/>
                <w:color w:val="auto"/>
              </w:rPr>
              <w:t>Stockholders’ Equity—September 30, 2014</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$ 638</w:t>
            </w:r>
          </w:p>
        </w:tc>
        <w:tc>
          <w:tcPr>
            <w:tcW w:w="10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The tax withholding portion of share-based compensation is settled in cash, not shares.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Board of Directors of Lazard Ltd has issued a series of authorizations to repurchase Class A common stock and Lazard Group common membership interests,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w:t>
      </w:r>
      <w:r>
        <w:rPr>
          <w:rFonts w:ascii="Arial" w:cs="Arial" w:eastAsia="Arial" w:hAnsi="Arial"/>
          <w:sz w:val="18"/>
          <w:szCs w:val="18"/>
          <w:i w:val="1"/>
          <w:iCs w:val="1"/>
          <w:color w:val="auto"/>
        </w:rPr>
        <w:t>.</w:t>
      </w:r>
      <w:r>
        <w:rPr>
          <w:rFonts w:ascii="Arial" w:cs="Arial" w:eastAsia="Arial" w:hAnsi="Arial"/>
          <w:sz w:val="18"/>
          <w:szCs w:val="18"/>
          <w:color w:val="auto"/>
        </w:rPr>
        <w:t xml:space="preserve"> The rate at which the Company purchases shares in connection with this annual objective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Number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50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Membership</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Interests Purchased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Interest</w:t>
            </w:r>
          </w:p>
        </w:tc>
      </w:tr>
      <w:tr>
        <w:trPr>
          <w:trHeight w:val="129"/>
        </w:trPr>
        <w:tc>
          <w:tcPr>
            <w:tcW w:w="20" w:type="dxa"/>
            <w:vAlign w:val="bottom"/>
          </w:tcPr>
          <w:p>
            <w:pPr>
              <w:spacing w:after="0"/>
              <w:rPr>
                <w:sz w:val="11"/>
                <w:szCs w:val="11"/>
                <w:color w:val="auto"/>
              </w:rPr>
            </w:pPr>
          </w:p>
        </w:tc>
        <w:tc>
          <w:tcPr>
            <w:tcW w:w="214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1"/>
              </w:rPr>
              <w:t>Nine Months Ended September 30:</w:t>
            </w:r>
          </w:p>
        </w:tc>
        <w:tc>
          <w:tcPr>
            <w:tcW w:w="6080" w:type="dxa"/>
            <w:vAlign w:val="bottom"/>
            <w:tcBorders>
              <w:top w:val="single" w:sz="8" w:color="CCEEFF"/>
              <w:bottom w:val="single" w:sz="8" w:color="CCEEFF"/>
            </w:tcBorders>
            <w:shd w:val="clear" w:color="auto" w:fill="CCEEFF"/>
          </w:tcPr>
          <w:p>
            <w:pPr>
              <w:spacing w:after="0"/>
              <w:rPr>
                <w:sz w:val="11"/>
                <w:szCs w:val="11"/>
                <w:color w:val="auto"/>
              </w:rPr>
            </w:pPr>
          </w:p>
        </w:tc>
        <w:tc>
          <w:tcPr>
            <w:tcW w:w="11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2013</w:t>
            </w:r>
          </w:p>
        </w:tc>
        <w:tc>
          <w:tcPr>
            <w:tcW w:w="7740" w:type="dxa"/>
            <w:vAlign w:val="bottom"/>
            <w:gridSpan w:val="3"/>
          </w:tcPr>
          <w:p>
            <w:pPr>
              <w:jc w:val="right"/>
              <w:ind w:right="500"/>
              <w:spacing w:after="0"/>
              <w:rPr>
                <w:sz w:val="20"/>
                <w:szCs w:val="20"/>
                <w:color w:val="auto"/>
              </w:rPr>
            </w:pPr>
            <w:r>
              <w:rPr>
                <w:rFonts w:ascii="Arial" w:cs="Arial" w:eastAsia="Arial" w:hAnsi="Arial"/>
                <w:sz w:val="18"/>
                <w:szCs w:val="18"/>
                <w:color w:val="auto"/>
              </w:rPr>
              <w:t>2,201,657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7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4,114,206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shares purchased in the nine months ended September 30, 2014 included 1,000,000 shares purchased from Natixis S.A. on June 26, 2014 for approximately $50 million in connection with the sale by Natixis S.A. of its entire investment in the Company’s Class A common stock. The purchase transaction closed on July 1, 2014. As of September 30, 2014, a total of $129 million of share repurchase authorization remained available under the Company’s share repurchase program, which will expire on December 31, 2015.</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the nine months ended September 30, 2014, the Company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See Notes 11 and 12 of Notes to Condensed Consolidated Financial Statements for additional information regarding Lazard’s stockholders’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18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September 30,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1-3 Years</w:t>
            </w:r>
          </w:p>
        </w:tc>
        <w:tc>
          <w:tcPr>
            <w:tcW w:w="4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$ 1,299,161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58,812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$ 665,974</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42,500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531,875</w:t>
            </w: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w w:val="99"/>
              </w:rPr>
              <w:t>Operating Leases (exclusive of $82,162 of committed sublease income) (b)</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956,108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79,108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148,716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127,432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600,852</w:t>
            </w: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11,611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(c)</w:t>
            </w:r>
          </w:p>
        </w:tc>
        <w:tc>
          <w:tcPr>
            <w:tcW w:w="7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19,137</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19,137</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$ 2,288,833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$ 159,873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$ 826,301</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169,932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1,132,727</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5"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Committed sublease income was reduced by approximately $79,600 in the third quarter of 2014 pursuant to arrangements we entered into with LFCM Holdings. See Notes 10 and 17 of Notes to Condensed Consolidated Financial Statements.</w:t>
      </w:r>
    </w:p>
    <w:p>
      <w:pPr>
        <w:jc w:val="both"/>
        <w:ind w:left="460" w:right="6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$7,518 are excluded. Such commitments are required to be funded by capital contributions from noncontrolling interest holders. See Note 5 of Notes to Condensed Consolidated Financial Statements. These amounts are generally due on demand and therefore are presented in the “less than 1 year” category.</w:t>
      </w:r>
    </w:p>
    <w:p>
      <w:pPr>
        <w:spacing w:after="0" w:line="1" w:lineRule="exact"/>
        <w:rPr>
          <w:rFonts w:ascii="Arial" w:cs="Arial" w:eastAsia="Arial" w:hAnsi="Arial"/>
          <w:sz w:val="18"/>
          <w:szCs w:val="18"/>
          <w:color w:val="auto"/>
        </w:rPr>
      </w:pPr>
    </w:p>
    <w:p>
      <w:pPr>
        <w:ind w:left="460" w:right="40" w:hanging="452"/>
        <w:spacing w:after="0" w:line="254"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table above excludes contingent obligations, as well as any possible payments for uncertain tax positions and payments pursuant to the Company’s tax receivable agreement, given the inability to estimate the possible amounts and timing of any such payments. See Notes 10, 12, 13 and 15 of Notes to Condensed Consolidated Financial Statements regarding information in connection with commitments, incentive plans, employee benefit plans and income taxes,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condensed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each of their respective jurisdictions. In addition to estimating actual current tax liability for these jurisdictions, we also must account for the tax effects of differences between the financial reporting and tax reporting of items, such as deferred revenue, compensation and benefits expense, unrealized gains or losses on investments and depreciation and amortization, as well as intercompany transactions such as revenue sharing, dividends and interest expense. Differences that are temporary in nature result in deferred tax assets and liabilities. Significant judgment is required in determining our provision for income taxes, our deferred tax assets and liabilities as discussed below, any valuation allowance recorded against our deferred tax assets and our unrecognized tax benefits.</w:t>
      </w:r>
    </w:p>
    <w:p>
      <w:pPr>
        <w:spacing w:after="0" w:line="12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A deferred tax asset is recognized if it is more likely than not (defined as a likelihood of greater than 50%) that a tax benefit will be accepted by a taxing authority. The measurement of deferred tax assets and liabilities is based upon currently enacted tax rates in the applicable jurisdictions. At December 31, 2013, on a consolidated basis, we recorded gross deferred tax assets of approximately $1.40 billion.</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In order to determine whether we apply a valuation allowance, we must assess whether it is more likely than not that such asset will be realized, taking into account all available information.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ultimate realization of a deferred tax asset for a particular entity depends, among other things, on the generation of taxable income by such entity in the applicable jurisdiction. Although we have been profitable on a consolidated basis for the three year periods ended December 31, 2013 and September 30, 2014, certain of our tax-paying entities have individually experienced minimal profits on a cumulative basis during such years and losses in 2012, primarily due to permanent differences between net income and taxable income at such entities. Considering the recent operating results of such entities and the other factors listed below, we recorded a valuation allowance of approximately $1.23 billion on our deferred tax assets as of December 31, 2013 and have not changed our assessment regarding the level of valuation allowance as of September 30, 2014.</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212"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nature, frequency and magnitude of any past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significant evidence and will generally outweigh a projection of future taxable income.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mentioned previously, certain of our tax-paying entities have individually experienced minimal profits on a cumulative basis over the past several years and losses in 2012. Taking into account all available information, we cannot determine that it is more likely than not that deferred tax assets will be realized. If the cumulative positive information outweighs the negative, including among other matters the achievement by the relevant tax-paying entities of sustainable levels of profitability, the evaluation of the realizability of the deferred tax assets could change and a significant amount of the valuation allowance could be released in whole or in part. This could occur at some point or points over the next few years, including as early as the end of 2014 or in 2015. If any significant valuation allowance reduction were to occur, we would likely have a significant tax benefit in the period in which such reduction occurs. Included in our deferred tax assets as of December 31, 2013 are approximately $652 million related to certain basis step-ups and approximately $257 million of net operating losses generated by the amortization of such step-up assets, all of which are subject to the tax receivable agreement. Under the tax receivable agreement, Lazard Group will retain 15% of the actual cash tax savings relating to such assets and will pay 85% of such savings to the owners of Lazard prior to the separation. As a result, in the event of a reduction of our valuation allowance, we also would recognize a liability relating to the portion expected to be payable under the tax receivable agreement. The creation of this liability could potentially offset a significant amount (but not all) of the income we would otherwise recognize upon a release of the valuation allowance.</w:t>
      </w:r>
    </w:p>
    <w:p>
      <w:pPr>
        <w:spacing w:after="0" w:line="12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any valuation allowance reduction were to occur, for subsequent periods, our effective tax rate, with all other factors being held constant, would increase and could be significantly higher than our effective tax rate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period immediately preceding the reduction in the valuation allowance. In such a situation, with all other factors being held constant, an increase in our effective tax rate as a result of a reduction in the valuation allowance would not impact the amount of cash income taxes we would pay to taxing authorities in those subsequent periods.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records tax positions taken or expected to be taken in a tax return based upon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1A, “Risk Factors” and see Note 17 of Notes to Consolidated Financial Statements in our Form 10-K for additional information related to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These investments, with the exception of interest-bearing deposits and equity method investments, are carried at fair value on the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and therefore subject Lazard to market and credit risk.</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investments is set forth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1740" w:type="dxa"/>
            <w:vAlign w:val="bottom"/>
            <w:gridSpan w:val="4"/>
          </w:tcPr>
          <w:p>
            <w:pPr>
              <w:ind w:left="8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3"/>
          </w:tcPr>
          <w:p>
            <w:pPr>
              <w:ind w:left="600"/>
              <w:spacing w:after="0" w:line="155" w:lineRule="exact"/>
              <w:rPr>
                <w:sz w:val="20"/>
                <w:szCs w:val="20"/>
                <w:color w:val="auto"/>
              </w:rPr>
            </w:pPr>
            <w:r>
              <w:rPr>
                <w:rFonts w:ascii="Arial" w:cs="Arial" w:eastAsia="Arial" w:hAnsi="Arial"/>
                <w:sz w:val="14"/>
                <w:szCs w:val="14"/>
                <w:b w:val="1"/>
                <w:bCs w:val="1"/>
                <w:color w:val="auto"/>
                <w:w w:val="96"/>
              </w:rPr>
              <w:t>($ in thousands)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Seed investments by asset class: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Equities (a)</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107,397</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118,535</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24,405</w:t>
            </w: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25,231</w:t>
            </w: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Alternative investments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27,608</w:t>
            </w:r>
          </w:p>
        </w:tc>
        <w:tc>
          <w:tcPr>
            <w:tcW w:w="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seed investments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159,410</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173,686</w:t>
            </w:r>
          </w:p>
        </w:tc>
        <w:tc>
          <w:tcPr>
            <w:tcW w:w="100" w:type="dxa"/>
            <w:vAlign w:val="bottom"/>
            <w:shd w:val="clear" w:color="auto" w:fill="CCEEFF"/>
          </w:tcPr>
          <w:p>
            <w:pPr>
              <w:spacing w:after="0"/>
              <w:rPr>
                <w:sz w:val="18"/>
                <w:szCs w:val="18"/>
                <w:color w:val="auto"/>
              </w:rPr>
            </w:pPr>
          </w:p>
        </w:tc>
      </w:tr>
      <w:tr>
        <w:trPr>
          <w:trHeight w:val="222"/>
        </w:trPr>
        <w:tc>
          <w:tcPr>
            <w:tcW w:w="612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(b)</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110,372</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104,405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Interest-bearing deposits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24,785</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and other</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21,219</w:t>
            </w:r>
          </w:p>
        </w:tc>
        <w:tc>
          <w:tcPr>
            <w:tcW w:w="8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11,128</w:t>
            </w:r>
          </w:p>
        </w:tc>
        <w:tc>
          <w:tcPr>
            <w:tcW w:w="100" w:type="dxa"/>
            <w:vAlign w:val="bottom"/>
            <w:shd w:val="clear" w:color="auto" w:fill="CCEEFF"/>
          </w:tcPr>
          <w:p>
            <w:pPr>
              <w:spacing w:after="0"/>
              <w:rPr>
                <w:sz w:val="19"/>
                <w:szCs w:val="19"/>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Total other investments owned</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156,376</w:t>
            </w:r>
          </w:p>
        </w:tc>
        <w:tc>
          <w:tcPr>
            <w:tcW w:w="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116,049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315,786</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289,735</w:t>
            </w:r>
          </w:p>
        </w:tc>
        <w:tc>
          <w:tcPr>
            <w:tcW w:w="100" w:type="dxa"/>
            <w:vAlign w:val="bottom"/>
            <w:shd w:val="clear" w:color="auto" w:fill="CCEEFF"/>
          </w:tcPr>
          <w:p>
            <w:pPr>
              <w:spacing w:after="0"/>
              <w:rPr>
                <w:sz w:val="18"/>
                <w:szCs w:val="18"/>
                <w:color w:val="auto"/>
              </w:rPr>
            </w:pPr>
          </w:p>
        </w:tc>
      </w:tr>
      <w:tr>
        <w:trPr>
          <w:trHeight w:val="222"/>
        </w:trPr>
        <w:tc>
          <w:tcPr>
            <w:tcW w:w="6120" w:type="dxa"/>
            <w:vAlign w:val="bottom"/>
            <w:gridSpan w:val="2"/>
          </w:tcPr>
          <w:p>
            <w:pPr>
              <w:spacing w:after="0"/>
              <w:rPr>
                <w:sz w:val="20"/>
                <w:szCs w:val="20"/>
                <w:color w:val="auto"/>
              </w:rPr>
            </w:pPr>
            <w:r>
              <w:rPr>
                <w:rFonts w:ascii="Arial" w:cs="Arial" w:eastAsia="Arial" w:hAnsi="Arial"/>
                <w:sz w:val="18"/>
                <w:szCs w:val="18"/>
                <w:color w:val="auto"/>
              </w:rPr>
              <w:t>Add:</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(c)</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Private equity consolidated, not owned (d)</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6,732</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LFI (e)</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218,886</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169,095</w:t>
            </w:r>
          </w:p>
        </w:tc>
        <w:tc>
          <w:tcPr>
            <w:tcW w:w="100" w:type="dxa"/>
            <w:vAlign w:val="bottom"/>
            <w:shd w:val="clear" w:color="auto" w:fill="CCEEFF"/>
          </w:tcPr>
          <w:p>
            <w:pPr>
              <w:spacing w:after="0"/>
              <w:rPr>
                <w:sz w:val="18"/>
                <w:szCs w:val="18"/>
                <w:color w:val="auto"/>
              </w:rPr>
            </w:pPr>
          </w:p>
        </w:tc>
      </w:tr>
      <w:tr>
        <w:trPr>
          <w:trHeight w:val="222"/>
        </w:trPr>
        <w:tc>
          <w:tcPr>
            <w:tcW w:w="61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549,922</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478,105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September 30, 2014 and December 31, 2013, seed investments in directly owned equity securities were invested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80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83"/>
              </w:rPr>
              <w:t>September 30,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77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2014</w:t>
            </w:r>
          </w:p>
        </w:tc>
        <w:tc>
          <w:tcPr>
            <w:tcW w:w="9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r>
      <w:tr>
        <w:trPr>
          <w:trHeight w:val="196"/>
        </w:trPr>
        <w:tc>
          <w:tcPr>
            <w:tcW w:w="770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8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700" w:type="dxa"/>
            <w:vAlign w:val="bottom"/>
          </w:tcPr>
          <w:p>
            <w:pPr>
              <w:ind w:left="1480"/>
              <w:spacing w:after="0"/>
              <w:rPr>
                <w:sz w:val="20"/>
                <w:szCs w:val="20"/>
                <w:color w:val="auto"/>
              </w:rPr>
            </w:pPr>
            <w:r>
              <w:rPr>
                <w:rFonts w:ascii="Arial" w:cs="Arial" w:eastAsia="Arial" w:hAnsi="Arial"/>
                <w:sz w:val="18"/>
                <w:szCs w:val="18"/>
                <w:color w:val="auto"/>
              </w:rPr>
              <w:t>Financials</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77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Consumer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r>
      <w:tr>
        <w:trPr>
          <w:trHeight w:val="216"/>
        </w:trPr>
        <w:tc>
          <w:tcPr>
            <w:tcW w:w="770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9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r>
      <w:tr>
        <w:trPr>
          <w:trHeight w:val="216"/>
        </w:trPr>
        <w:tc>
          <w:tcPr>
            <w:tcW w:w="77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Technology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7700" w:type="dxa"/>
            <w:vAlign w:val="bottom"/>
          </w:tcPr>
          <w:p>
            <w:pPr>
              <w:ind w:left="1480"/>
              <w:spacing w:after="0"/>
              <w:rPr>
                <w:sz w:val="20"/>
                <w:szCs w:val="20"/>
                <w:color w:val="auto"/>
              </w:rPr>
            </w:pPr>
            <w:r>
              <w:rPr>
                <w:rFonts w:ascii="Arial" w:cs="Arial" w:eastAsia="Arial" w:hAnsi="Arial"/>
                <w:sz w:val="18"/>
                <w:szCs w:val="18"/>
                <w:color w:val="auto"/>
              </w:rPr>
              <w:t>Energy</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9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r>
      <w:tr>
        <w:trPr>
          <w:trHeight w:val="216"/>
        </w:trPr>
        <w:tc>
          <w:tcPr>
            <w:tcW w:w="77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22"/>
        </w:trPr>
        <w:tc>
          <w:tcPr>
            <w:tcW w:w="7700" w:type="dxa"/>
            <w:vAlign w:val="bottom"/>
          </w:tcPr>
          <w:p>
            <w:pPr>
              <w:ind w:left="1900"/>
              <w:spacing w:after="0"/>
              <w:rPr>
                <w:sz w:val="20"/>
                <w:szCs w:val="20"/>
                <w:color w:val="auto"/>
              </w:rPr>
            </w:pPr>
            <w:r>
              <w:rPr>
                <w:rFonts w:ascii="Arial" w:cs="Arial" w:eastAsia="Arial" w:hAnsi="Arial"/>
                <w:sz w:val="18"/>
                <w:szCs w:val="18"/>
                <w:color w:val="auto"/>
              </w:rPr>
              <w:t>Total</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380" w:hanging="452"/>
        <w:spacing w:after="0" w:line="357" w:lineRule="auto"/>
        <w:tabs>
          <w:tab w:leader="none" w:pos="4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Private equity investments include investments related to certain legacy businesses and co-investments in private equity funds managed by our Asset Management business. Co-investments owned were $26 million and $18 million as of September 30, 2014 and December 31, 2013, respectively.</w:t>
      </w: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9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“stockholders’ equity” on the condensed consolidated statements of financial condition.</w:t>
      </w:r>
    </w:p>
    <w:p>
      <w:pPr>
        <w:spacing w:after="0" w:line="59"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w:t>
      </w:r>
      <w:r>
        <w:rPr>
          <w:rFonts w:ascii="Arial" w:cs="Arial" w:eastAsia="Arial" w:hAnsi="Arial"/>
          <w:sz w:val="18"/>
          <w:szCs w:val="18"/>
          <w:i w:val="1"/>
          <w:iCs w:val="1"/>
          <w:color w:val="auto"/>
        </w:rPr>
        <w:t>Risks Related to Derivatives</w:t>
      </w:r>
      <w:r>
        <w:rPr>
          <w:rFonts w:ascii="Arial" w:cs="Arial" w:eastAsia="Arial" w:hAnsi="Arial"/>
          <w:sz w:val="18"/>
          <w:szCs w:val="18"/>
          <w:color w:val="auto"/>
        </w:rPr>
        <w:t>” for risk management information relating to derivatives.</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At September 30, 2014 and December 31, 2013, $118 million and $116 million, respectively, of our total investments at a fair value of $517 and $468 million, respectively, or 23% and 25%, respectively, were classified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00"/>
          </w:cols>
          <w:pgMar w:left="240" w:top="459"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as Level 3 investments. Substantially all of our Level 3 investments at both dates are priced based on NAV. During each of the nine month periods ended September 30, 2014 and 2013, gains of approximately $9 million were recognized in “revenue-other” on the consolidated statement of operations pertaining to Level 3 investments. See Notes 4 and 5 of Notes to Condensed Consolidated Financial Statements for additional information regarding investments measured at fair value, including the levels of fair value within which such measurements of fair value fall.</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September 30, 2014 and December 31, 2013, the Company held seed investments of approximately $159 million and $174 million, respectively. Seed investments held in entities in which the Company maintained a controlling interest were $36 million in six entities as of September 30, 2014, as compared to $58 million in nine entities as of December 31, 2013.</w:t>
      </w:r>
    </w:p>
    <w:p>
      <w:pPr>
        <w:spacing w:after="0" w:line="14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As of September 30, 2014 and December 31, 2013, the Company did not consolidate or deconsolidate any seed investment entities. As such, 100% of the recorded balance of seed investments as of September 30, 2014 and December 31, 2013 represented the Company’s economic interest in the seed investments. See “—Consolidation of Variable Interest Entities” below for more information on the Company’s policy regarding the consolidation of seed investment entities.</w:t>
      </w:r>
    </w:p>
    <w:p>
      <w:pPr>
        <w:spacing w:after="0" w:line="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 —Other Business Risks—Our results of operations may be affected by fluctuations in the fair value of positions held in our investment portfolios” in our Form 10-K.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During the fourth quarter of 2013, the Company changed the date of its annual impairment testing from December 31 to November 1. See Note 8 of Notes to Condensed Consolidated Financial Statements for additional information regarding goodwill.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59" w:lineRule="exact"/>
        <w:rPr>
          <w:sz w:val="20"/>
          <w:szCs w:val="20"/>
          <w:color w:val="auto"/>
        </w:rPr>
      </w:pPr>
    </w:p>
    <w:p>
      <w:pPr>
        <w:ind w:left="900" w:right="140" w:hanging="325"/>
        <w:spacing w:after="0" w:line="298"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either holds a majority of the voting interest in such entity or is the general partner in such entity and the third-party investors do not have the right to replace the general partner.</w:t>
      </w:r>
    </w:p>
    <w:p>
      <w:pPr>
        <w:spacing w:after="0" w:line="31"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through our variable interests, we absorb a majority of the expected losses, expected residual returns, or both, of such entity.</w:t>
      </w:r>
    </w:p>
    <w:p>
      <w:pPr>
        <w:spacing w:after="0" w:line="10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4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Lazard makes seed investments in certain entities that are considered VOEs and often require consolidation as a result of our investment. The impact of seed investment entities that require consolidation on the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w:t>
      </w:r>
      <w:r>
        <w:rPr>
          <w:rFonts w:ascii="Arial" w:cs="Arial" w:eastAsia="Arial" w:hAnsi="Arial"/>
          <w:sz w:val="15"/>
          <w:szCs w:val="15"/>
          <w:i w:val="1"/>
          <w:iCs w:val="1"/>
          <w:color w:val="auto"/>
        </w:rPr>
        <w:t>Investments</w:t>
      </w:r>
      <w:r>
        <w:rPr>
          <w:rFonts w:ascii="Arial" w:cs="Arial" w:eastAsia="Arial" w:hAnsi="Arial"/>
          <w:sz w:val="15"/>
          <w:szCs w:val="15"/>
          <w:color w:val="auto"/>
        </w:rPr>
        <w:t>” above for more information regarding our investments.</w:t>
      </w:r>
    </w:p>
    <w:p>
      <w:pPr>
        <w:spacing w:after="0" w:line="98" w:lineRule="exact"/>
        <w:rPr>
          <w:sz w:val="20"/>
          <w:szCs w:val="20"/>
          <w:color w:val="auto"/>
        </w:rPr>
      </w:pPr>
    </w:p>
    <w:p>
      <w:pPr>
        <w:jc w:val="both"/>
        <w:ind w:right="260" w:firstLine="456"/>
        <w:spacing w:after="0" w:line="298" w:lineRule="auto"/>
        <w:rPr>
          <w:sz w:val="20"/>
          <w:szCs w:val="20"/>
          <w:color w:val="auto"/>
        </w:rPr>
      </w:pPr>
      <w:r>
        <w:rPr>
          <w:rFonts w:ascii="Arial" w:cs="Arial" w:eastAsia="Arial" w:hAnsi="Arial"/>
          <w:sz w:val="16"/>
          <w:szCs w:val="16"/>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and (ii) investments in funds owned entirely by the noncontrolling interest holders of certain acquired entities.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Equity Market Price Risk—As of September 30, 2014 and December 31, 2013, the Company’s exposure to equity market price risk in its investment portfolio, which primarily relates to investments in equity securities, equity funds and hedge funds, was approximately $124 million and $134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$1.4 million and $1.7 million in the carrying value of such investments as of September 30, 2014 and December 31, 2013, respectively, including the effect of the hedging transactions.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Interest Rate/Credit Spread Risk—As of September 30, 2014 and December 31, 2013, the Company’s exposure to interest rate and credit spread risk in its investment portfolio related to investments in debt securities or funds which invest primarily in debt securities was $54 million and $48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$1.1 million and $0.9 million in the carrying value of such investments as of September 30, 2014 and December 31, 2013, respectively, including the effect of the hedging transactions.</w:t>
      </w:r>
    </w:p>
    <w:p>
      <w:pPr>
        <w:spacing w:after="0" w:line="1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Foreign Exchange Rate Risk—As of September 30, 2014 and December 31, 2013, the Company’s exposure to foreign exchange rate risk in its investment portfolio, which primarily relates to investments in foreign currency denominated equity and debt securities, was $71 million and $85 million, respectively. A significant portion of the Company’s foreign currency exposure relating to our equity and debt investment portfolios is hedged through the aforementioned total return swaps. The Company estimates that a 10% adverse change in foreign exchange rates versus US dollars would result in a decrease of approximately $0.9 million and $1.4 million in the carrying value of such investments as of September 30, 2014 and December 31, 2013, respectively, including the effect of the hedging transactions.</w:t>
      </w:r>
    </w:p>
    <w:p>
      <w:pPr>
        <w:spacing w:after="0" w:line="144"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As of September 30, 2014 and December 31, 2013, the Company’s exposure to changes in the fair value of such investments was approximately $110 million and $104 million, respectively. The Company estimates that a hypothetical 10% adverse change in fair value would result in a decrease of approximately $11 million and $10.4 million in the carrying value of such investments as of September 30, 2014 and December 31, 2013,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September 30, 2014, total receivables amounted to $508 million, net of an allowance for doubtful accounts of $30 million. As of that date, Financial Advisory and Asset Management fees, and customer and related party receivables comprised 85%, 15% and 0% of total receivables, respectively. At December 31, 2013, total receivables amounted to $513 million, net of an allowance for doubtful accounts of $29 million. As of that date, Financial Advisory and Asset Management fees, and customer and related party receivables comprised 88%, 10% and 2% of total receivables, respectively. At September 30, 2014 and December 31, 2013, the Company had receivables past due or deemed uncollectible of approximately $35 million and $39 million, respectively. See also “Critical Accounting Policies and Estimates—Revenue Recognition” above and Note 3 of Notes to Condensed Consolidated Financial Statements for additional information regarding receivables.</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LFB engages in lending activities, including commitments to extend credit. At September 30, 2014 and December 31, 2013, customer receivables included $32 million and $15 million of LFB loans, respectively. Such loans are closely monitored for counterparty creditworthiness to help minimize exposure. In addition, as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September 30, 2014, LFB’s commitments to lend, which are fully collateralized and generally contain requirements for the counterparty to maintain a minimum collateral level, were not significant.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 As of September 30, 2014, the Company’s largest individual counterparty exposure was a Financial Advisory fee receivable of $12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Lazard enters into interest rate swaps and forward foreign currency exchange contracts to hedge exposures to interest rates and currency exchange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$9 million and $1 million at September 30, 2014 and December 31, 2013, respectively, and derivative liabilities, excluding the derivative liability arising from the Company’s obligation pertaining to LFI and other similar deferred compensation arrangements, amounted to $20 thousand and $2 million at such respective dates.</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also records derivative liabilities relating to its obligations pertaining to LFI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Derivative liabilities relating to LFI amounted to $210 million and $162 million at September 30, 2014 and December 31, 2013, respectively.</w:t>
      </w:r>
    </w:p>
    <w:p>
      <w:pPr>
        <w:spacing w:after="0" w:line="11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LFB enters into interest rate swaps, forward foreign currency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September 30, 2014, we do not believe that the impact of potential significant movements in either the currency or interest rate markets on LFB’s positions would materially affect the Company’s annual operating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cash and cash equivalents generally have market interest rates. Based on account balances as of September 30, 2014, Lazard estimates that its annual operating income relating to cash and cash equivalents and corporate indebtedness would increase by approximately $8 million in the event interest rates were to increase by 1% and decrease by approximately $2 million if rates were to decrease by 1%.</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September 30, 2014, the Company’s cash and cash equivalents totaled approximately $821 million. Substantially all of the Company’s cash and cash equivalents were invested in highly liquid institutional money market funds (a significant majority of which were invested solely in U.S. Government or agency money market funds), in short-term interest earning accounts at a number of leading banks throughout the world, and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96"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Securities Exchange Act of 1934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third quarter of 2014.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8"/>
              </w:rPr>
              <w:t>Total Number</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1"/>
              </w:rPr>
              <w:t>of Shares</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4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800" w:type="dxa"/>
            <w:vAlign w:val="bottom"/>
          </w:tcPr>
          <w:p>
            <w:pPr>
              <w:spacing w:after="0"/>
              <w:rPr>
                <w:sz w:val="12"/>
                <w:szCs w:val="12"/>
                <w:color w:val="auto"/>
              </w:rPr>
            </w:pPr>
          </w:p>
        </w:tc>
        <w:tc>
          <w:tcPr>
            <w:tcW w:w="14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Average</w:t>
            </w:r>
          </w:p>
        </w:tc>
        <w:tc>
          <w:tcPr>
            <w:tcW w:w="17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Announced</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Yet Be Purchased</w:t>
            </w:r>
          </w:p>
        </w:tc>
        <w:tc>
          <w:tcPr>
            <w:tcW w:w="0" w:type="dxa"/>
            <w:vAlign w:val="bottom"/>
          </w:tcPr>
          <w:p>
            <w:pPr>
              <w:spacing w:after="0"/>
              <w:rPr>
                <w:sz w:val="1"/>
                <w:szCs w:val="1"/>
                <w:color w:val="auto"/>
              </w:rPr>
            </w:pPr>
          </w:p>
        </w:tc>
      </w:tr>
      <w:tr>
        <w:trPr>
          <w:trHeight w:val="149"/>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800" w:type="dxa"/>
            <w:vAlign w:val="bottom"/>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17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Plans or</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48"/>
        </w:trPr>
        <w:tc>
          <w:tcPr>
            <w:tcW w:w="4720" w:type="dxa"/>
            <w:vAlign w:val="bottom"/>
            <w:gridSpan w:val="3"/>
            <w:vMerge w:val="continue"/>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800" w:type="dxa"/>
            <w:vAlign w:val="bottom"/>
          </w:tcPr>
          <w:p>
            <w:pPr>
              <w:spacing w:after="0"/>
              <w:rPr>
                <w:sz w:val="12"/>
                <w:szCs w:val="12"/>
                <w:color w:val="auto"/>
              </w:rPr>
            </w:pPr>
          </w:p>
        </w:tc>
        <w:tc>
          <w:tcPr>
            <w:tcW w:w="14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Per Share</w:t>
            </w:r>
          </w:p>
        </w:tc>
        <w:tc>
          <w:tcPr>
            <w:tcW w:w="1740" w:type="dxa"/>
            <w:vAlign w:val="bottom"/>
            <w:gridSpan w:val="2"/>
          </w:tcPr>
          <w:p>
            <w:pPr>
              <w:jc w:val="center"/>
              <w:ind w:right="820"/>
              <w:spacing w:after="0" w:line="148" w:lineRule="exact"/>
              <w:rPr>
                <w:sz w:val="20"/>
                <w:szCs w:val="20"/>
                <w:color w:val="auto"/>
              </w:rPr>
            </w:pPr>
            <w:r>
              <w:rPr>
                <w:rFonts w:ascii="Arial" w:cs="Arial" w:eastAsia="Arial" w:hAnsi="Arial"/>
                <w:sz w:val="14"/>
                <w:szCs w:val="14"/>
                <w:b w:val="1"/>
                <w:bCs w:val="1"/>
                <w:color w:val="auto"/>
                <w:w w:val="85"/>
              </w:rPr>
              <w:t>Programs</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July 1 – July 31, 2014</w:t>
            </w:r>
          </w:p>
        </w:tc>
        <w:tc>
          <w:tcPr>
            <w:tcW w:w="6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128.9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Transactions (2)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August 1 – August 31, 2014</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 Program (1)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128.9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September 1 – September 30, 2014</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128.9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Transactions (2)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22,982</w:t>
            </w:r>
          </w:p>
        </w:tc>
        <w:tc>
          <w:tcPr>
            <w:tcW w:w="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7"/>
              </w:rPr>
              <w:t>54.66</w:t>
            </w: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 Program (1)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128.9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640" w:type="dxa"/>
            <w:vAlign w:val="bottom"/>
          </w:tcPr>
          <w:p>
            <w:pPr>
              <w:jc w:val="right"/>
              <w:spacing w:after="0"/>
              <w:rPr>
                <w:sz w:val="20"/>
                <w:szCs w:val="20"/>
                <w:color w:val="auto"/>
              </w:rPr>
            </w:pPr>
            <w:r>
              <w:rPr>
                <w:rFonts w:ascii="Arial" w:cs="Arial" w:eastAsia="Arial" w:hAnsi="Arial"/>
                <w:sz w:val="18"/>
                <w:szCs w:val="18"/>
                <w:color w:val="auto"/>
              </w:rPr>
              <w:t>22,982</w:t>
            </w:r>
          </w:p>
        </w:tc>
        <w:tc>
          <w:tcPr>
            <w:tcW w:w="9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w w:val="97"/>
              </w:rPr>
              <w:t>54.66</w:t>
            </w: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00" w:hanging="452"/>
        <w:spacing w:after="0" w:line="255"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disclosed in more detail in Note 11 of Notes to Condensed Consolidated Financial Statements, in October 2011, April 2012, October 2012, October 2013 and April 2014, the Board of Directors authorized, on a cumulative basis, the repurchase of up to an additional $125 million, $125 million, $200 million, $100 million and $200 million, respectively, in aggregate cost of Lazard Ltd Class A common stock and Lazard Group common membership interests through December 31, 2013, December 31, 2013, December 31, 2014, December 31, 2015 and December 31, 2015, respectively. The share repurchase program is used primarily</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to offset a portion of the shares to be issued under the 2005 Plan and the 2008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spacing w:after="0" w:line="32" w:lineRule="exact"/>
        <w:rPr>
          <w:sz w:val="20"/>
          <w:szCs w:val="20"/>
          <w:color w:val="auto"/>
        </w:rPr>
      </w:pPr>
    </w:p>
    <w:p>
      <w:pPr>
        <w:ind w:left="460" w:right="20" w:hanging="452"/>
        <w:spacing w:after="0" w:line="256"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Under the terms of the 2005 Plan and the 2008 Plan, upon the vesting of RSUs, performance-based restricted stock units and delivery of shares of restricted Class A common stock, shares of Class A common stock may be withheld by the Company to meet the minimum statutory tax withholding requirements. During the three month period ended September 30, 2014, the Company satisfied such obligations in lieu of issuing 22,982 shares of Class A common stock upon the vesting of 148,721 RSUs.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10560" w:type="dxa"/>
            <w:vAlign w:val="bottom"/>
          </w:tcPr>
          <w:p>
            <w:pPr>
              <w:ind w:left="4580"/>
              <w:spacing w:after="0"/>
              <w:rPr>
                <w:sz w:val="20"/>
                <w:szCs w:val="20"/>
                <w:color w:val="auto"/>
              </w:rPr>
            </w:pPr>
            <w:r>
              <w:rPr>
                <w:rFonts w:ascii="Arial" w:cs="Arial" w:eastAsia="Arial" w:hAnsi="Arial"/>
                <w:sz w:val="18"/>
                <w:szCs w:val="18"/>
                <w:b w:val="1"/>
                <w:bCs w:val="1"/>
                <w:color w:val="auto"/>
              </w:rPr>
              <w:t>PART IV</w:t>
            </w:r>
          </w:p>
        </w:tc>
      </w:tr>
      <w:tr>
        <w:trPr>
          <w:trHeight w:val="419"/>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2.1</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Master Separation Agreement, dated as of May 10, 2005, by and among the Registrant, Lazard Group LLC, LAZ-MD Holdings LLC and</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LFCM Holdings LLC (incorporated by reference to Exhibit 2.1 to the Registrant’s Quarterly Report (File No. 001-32492) on Form 10-Q filed</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2.2</w:t>
            </w:r>
          </w:p>
        </w:tc>
        <w:tc>
          <w:tcPr>
            <w:tcW w:w="10560" w:type="dxa"/>
            <w:vAlign w:val="bottom"/>
          </w:tcPr>
          <w:p>
            <w:pPr>
              <w:ind w:left="48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dated as of May 10, 2005, by and among the Registrant, Lazard Group LLC and LAZ-MD Holdings LLC (incorporated by reference to Exhibit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2.2 to the Registrant’s Quarterly Report (File No. 001-32492) on Form 10-Q filed on November 7, 2006).</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Second Amendment, dated as of May 7, 2008, to the Master Separation Agreement, dated as of May 10, 2005, as amended, by and among</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Lazard Ltd, Lazard Group LLC and LAZ-MD Holdings LLC (incorporated by reference to Exhibit 2.1 to the Registrant’s Current Report 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Form 8-K (File No. 001-32492)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2.4</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Class B-1 and Class C Members Transaction Agreement (incorporated by reference to Exhibit 2.2 to the Registrant’s Registration Statement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 filed on December 17, 2004).</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and Memorandum of Association of the Registrant (incorporated by reference to Exhibit 3.1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in Change of Name of the Registrant (incorporated by reference to Exhibit 3.2 to the Registrant’s Registration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Amended and Restated Bye-Laws of Lazard Ltd (incorporated by reference to Exhibit 3.3 to the Registrant’s Quarterly Report (File No. 001-</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First Amendment to Amended and Restated Bye-Laws of Lazard Ltd (incorporated by reference to Exhibit 3.4 to the Registrant’s Quarterly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Second Amendment to the Amended and Restated Bye-Laws of Lazard Ltd (incorporated by reference to Exhibit 3.5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Form of Specimen Certificate for Class A common stock (incorporated by reference to Exhibit 4.1 to the Registrant’s Registration Statement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S-1/A filed on April 11,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Indenture, dated as of May 10, 2005, by and between Lazard Group LLC and The Bank of New York, as Trustee (incorporated by reference to</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560" w:type="dxa"/>
            <w:vAlign w:val="bottom"/>
          </w:tcPr>
          <w:p>
            <w:pPr>
              <w:ind w:left="480"/>
              <w:spacing w:after="0"/>
              <w:rPr>
                <w:sz w:val="20"/>
                <w:szCs w:val="20"/>
                <w:color w:val="auto"/>
              </w:rPr>
            </w:pPr>
            <w:r>
              <w:rPr>
                <w:rFonts w:ascii="Arial" w:cs="Arial" w:eastAsia="Arial" w:hAnsi="Arial"/>
                <w:sz w:val="18"/>
                <w:szCs w:val="18"/>
                <w:color w:val="auto"/>
                <w:w w:val="96"/>
              </w:rPr>
              <w:t>First Supplemental Indenture, dated as of May 10, 2005, by and between Lazard Group LLC and The Bank of New York, as trustee</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(incorporated by reference to Exhibit 4.2 to Lazard Group LLC’s Registration Statement (File No. 333-126751) on Form S-4 filed on July 21,</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2005).</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65"/>
        </w:trPr>
        <w:tc>
          <w:tcPr>
            <w:tcW w:w="780" w:type="dxa"/>
            <w:vAlign w:val="bottom"/>
          </w:tcPr>
          <w:p>
            <w:pPr>
              <w:spacing w:after="0"/>
              <w:rPr>
                <w:sz w:val="24"/>
                <w:szCs w:val="24"/>
                <w:color w:val="auto"/>
              </w:rPr>
            </w:pPr>
          </w:p>
        </w:tc>
        <w:tc>
          <w:tcPr>
            <w:tcW w:w="10560" w:type="dxa"/>
            <w:vAlign w:val="bottom"/>
          </w:tcPr>
          <w:p>
            <w:pPr>
              <w:ind w:left="4840"/>
              <w:spacing w:after="0"/>
              <w:rPr>
                <w:sz w:val="20"/>
                <w:szCs w:val="20"/>
                <w:color w:val="auto"/>
              </w:rPr>
            </w:pPr>
            <w:r>
              <w:rPr>
                <w:rFonts w:ascii="Arial" w:cs="Arial" w:eastAsia="Arial" w:hAnsi="Arial"/>
                <w:sz w:val="18"/>
                <w:szCs w:val="18"/>
                <w:color w:val="auto"/>
              </w:rPr>
              <w:t>82</w:t>
            </w:r>
          </w:p>
        </w:tc>
      </w:tr>
    </w:tbl>
    <w:p>
      <w:pPr>
        <w:sectPr>
          <w:pgSz w:w="11900" w:h="16838" w:orient="portrait"/>
          <w:cols w:equalWidth="0" w:num="1">
            <w:col w:w="11340"/>
          </w:cols>
          <w:pgMar w:left="240" w:top="459" w:right="3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ind w:left="100"/>
              <w:spacing w:after="0"/>
              <w:rPr>
                <w:sz w:val="20"/>
                <w:szCs w:val="20"/>
                <w:color w:val="auto"/>
              </w:rPr>
            </w:pPr>
            <w:r>
              <w:rPr>
                <w:rFonts w:ascii="Arial" w:cs="Arial" w:eastAsia="Arial" w:hAnsi="Arial"/>
                <w:sz w:val="18"/>
                <w:szCs w:val="18"/>
                <w:color w:val="auto"/>
              </w:rPr>
              <w:t>4.5</w:t>
            </w:r>
          </w:p>
        </w:tc>
        <w:tc>
          <w:tcPr>
            <w:tcW w:w="10500" w:type="dxa"/>
            <w:vAlign w:val="bottom"/>
          </w:tcPr>
          <w:p>
            <w:pPr>
              <w:ind w:left="420"/>
              <w:spacing w:after="0"/>
              <w:rPr>
                <w:sz w:val="20"/>
                <w:szCs w:val="20"/>
                <w:color w:val="auto"/>
              </w:rPr>
            </w:pPr>
            <w:r>
              <w:rPr>
                <w:rFonts w:ascii="Arial" w:cs="Arial" w:eastAsia="Arial" w:hAnsi="Arial"/>
                <w:sz w:val="18"/>
                <w:szCs w:val="18"/>
                <w:color w:val="auto"/>
                <w:w w:val="92"/>
              </w:rPr>
              <w:t>Fifth Supplemental Indenture, dated as of November 14, 2013, between Lazard Group LLC and The Bank of New York Mellon, as trustee</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(incorporated by reference to Exhibit 4.1 to the Registrant’s Current Report on Form 8-K (File No. 001-32492) filed on November 14, 2013).</w:t>
            </w:r>
          </w:p>
        </w:tc>
      </w:tr>
      <w:tr>
        <w:trPr>
          <w:trHeight w:val="324"/>
        </w:trPr>
        <w:tc>
          <w:tcPr>
            <w:tcW w:w="840" w:type="dxa"/>
            <w:vAlign w:val="bottom"/>
          </w:tcPr>
          <w:p>
            <w:pPr>
              <w:ind w:left="100"/>
              <w:spacing w:after="0"/>
              <w:rPr>
                <w:sz w:val="20"/>
                <w:szCs w:val="20"/>
                <w:color w:val="auto"/>
              </w:rPr>
            </w:pPr>
            <w:r>
              <w:rPr>
                <w:rFonts w:ascii="Arial" w:cs="Arial" w:eastAsia="Arial" w:hAnsi="Arial"/>
                <w:sz w:val="18"/>
                <w:szCs w:val="18"/>
                <w:color w:val="auto"/>
              </w:rPr>
              <w:t>4.6</w:t>
            </w:r>
          </w:p>
        </w:tc>
        <w:tc>
          <w:tcPr>
            <w:tcW w:w="10500" w:type="dxa"/>
            <w:vAlign w:val="bottom"/>
          </w:tcPr>
          <w:p>
            <w:pPr>
              <w:ind w:left="420"/>
              <w:spacing w:after="0"/>
              <w:rPr>
                <w:sz w:val="20"/>
                <w:szCs w:val="20"/>
                <w:color w:val="auto"/>
              </w:rPr>
            </w:pPr>
            <w:r>
              <w:rPr>
                <w:rFonts w:ascii="Arial" w:cs="Arial" w:eastAsia="Arial" w:hAnsi="Arial"/>
                <w:sz w:val="18"/>
                <w:szCs w:val="18"/>
                <w:color w:val="auto"/>
              </w:rPr>
              <w:t>Form of Senior Note (included in Exhibits 4.3, 4.4 and 4.5).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Amended and Restated Stockholders’ Agreement, dated as of November 6, 2006, by and among LAZ-MD Holdings LLC, the Registrant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certain members of LAZ-MD Holdings LLC (incorporated by reference to Exhibit 10.1 to the Registrant’s Quarterly Report (File No. 001-</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32492) on Form 10-Q filed on November 7, 2006).</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LAZ-MD Holdings LLC and Lazard Ltd (incorporated by reference to Exhibit 10.2 to the Registrant’s Quarterly Report (File No. 001-32492)</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Operating Agreement of Lazard Group LLC, dated as of May 10, 2005 (incorporated by reference to Exhibit 10.2 to the Registrant’s Quarterly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1 to the Operating Agreement of Lazard Group LLC, dated as of December 19, 2005 (incorporated by reference to Exhibit</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3.01 to Lazard Group LLC’s Current Report on Form 8-K (File No. 333-126751) filed on December 19,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2, dated as of May 9, 2008,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Amendment No. 3, dated as of April 27, 2010,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10.6 to the Registrant’s Quarterly Report (File No. 001-32492) on Form 10-Q filed on April 30, 2010).</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Tax Receivable Agreement, dated as of May 10, 2005, by and among Ltd Sub A, Ltd Sub B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Employee Benefits Agreement, dated as of May 10, 2005, by and among the Registrant, Lazard Group LLC, LAZ-MD Holdings LLC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LFCM Holdings LLC (incorporated by reference to Exhibit 10.4 to the Registrant’s Quarterly Report (File No. 001-32492) on Form 10-Q filed</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10.5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420"/>
              <w:spacing w:after="0"/>
              <w:rPr>
                <w:sz w:val="20"/>
                <w:szCs w:val="20"/>
                <w:color w:val="auto"/>
              </w:rPr>
            </w:pPr>
            <w:r>
              <w:rPr>
                <w:rFonts w:ascii="Arial" w:cs="Arial" w:eastAsia="Arial" w:hAnsi="Arial"/>
                <w:sz w:val="18"/>
                <w:szCs w:val="18"/>
                <w:color w:val="auto"/>
                <w:w w:val="88"/>
              </w:rPr>
              <w:t>License Agreement, dated as of May 10, 2005, by and among Lazard Strategic Coordination Company LLC, Lazard Frères &amp; Co. LLC,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5"/>
              </w:rPr>
              <w:t>Frères S.A.S., Lazard &amp; Co., Holdings Limited and LFCM Holdings LLC (incorporated by reference to Exhibit 10.6 to the Registrant’s</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Group LLC (incorporated by reference to Exhibit 10.7 to the Registrant’s Quarterly Report (File No. 001-32492) on Form 10-Q filed on June</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Business Alliance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10.8 to the Registrant’s Quarterly Report (File No. 001-32492) on Form 10-Q filed on June 16, 2005).</w:t>
            </w:r>
          </w:p>
        </w:tc>
      </w:tr>
      <w:tr>
        <w:trPr>
          <w:trHeight w:val="365"/>
        </w:trPr>
        <w:tc>
          <w:tcPr>
            <w:tcW w:w="840" w:type="dxa"/>
            <w:vAlign w:val="bottom"/>
          </w:tcPr>
          <w:p>
            <w:pPr>
              <w:spacing w:after="0"/>
              <w:rPr>
                <w:sz w:val="24"/>
                <w:szCs w:val="24"/>
                <w:color w:val="auto"/>
              </w:rPr>
            </w:pPr>
          </w:p>
        </w:tc>
        <w:tc>
          <w:tcPr>
            <w:tcW w:w="10500" w:type="dxa"/>
            <w:vAlign w:val="bottom"/>
          </w:tcPr>
          <w:p>
            <w:pPr>
              <w:ind w:left="4780"/>
              <w:spacing w:after="0"/>
              <w:rPr>
                <w:sz w:val="20"/>
                <w:szCs w:val="20"/>
                <w:color w:val="auto"/>
              </w:rPr>
            </w:pPr>
            <w:r>
              <w:rPr>
                <w:rFonts w:ascii="Arial" w:cs="Arial" w:eastAsia="Arial" w:hAnsi="Arial"/>
                <w:sz w:val="18"/>
                <w:szCs w:val="18"/>
                <w:color w:val="auto"/>
              </w:rPr>
              <w:t>83</w:t>
            </w:r>
          </w:p>
        </w:tc>
      </w:tr>
    </w:tbl>
    <w:p>
      <w:pPr>
        <w:sectPr>
          <w:pgSz w:w="11900" w:h="16838" w:orient="portrait"/>
          <w:cols w:equalWidth="0" w:num="1">
            <w:col w:w="11340"/>
          </w:cols>
          <w:pgMar w:left="240" w:top="459" w:right="3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Amendment and Consent, dated February 9, 2009, to the Business Alliance Agreement, dated as of May 10, 2005, by and between Lazard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Group LLC and LFCM Holdings LLC (incorporated by reference to Exhibit 10.12 to the Registrant’s Annual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4"/>
              </w:rPr>
              <w:t>reference to Exhibit 10.16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16, 2011, by and among RCPI Landmark Properties, L.L.C. (as the successor in interest to Rockefeller Center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Properties), RCPI 30 Rock 22234849, L.L.C. and Lazard Group LLC (as the successor in interest to Lazard Frères &amp; Co. LLC), to the Lease</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10.16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Burford (Stratton) Limited, Lazard &amp; Co., Limited and Lazard LLC (incorporated by reference to Exhibit 10.21 to the Registrant’s Registration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2005 Equity Incentive Plan (incorporated by reference to Exhibit 10.21 to the Registrant’s Registration Statement (File No. 333-121407)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Lazard Ltd’s 2008 Incentive Compensation Plan (incorporated by reference to Annex B to the Registrant’s Definitive Proxy Statement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2005 Bonus Plan (incorporated by reference to Exhibit 10.23 to the Registrant’s Registration Statement (File No. 333-121407) on Form S-1/A</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Schedule I for, Scott D. Hoffman (incorporated by reference to Exhibit 10.26 to the Registrant’s Quarterly Report (File No. 001-32492) on Form</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May 4, 2005, for Scott D. Hoffman (incorporated by reference to Exhibit 10.2 to the Registrant’s Current Report on Form 8-K (File No. 001-</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32492) filed on May 9,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23, 2011, to the Agreement Relating to Retention and Noncompetition and Other Covenants, dated as of May</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4, 2005 and amended as of May 7, 2008, for Scott D. Hoffman (incorporated by reference to Exhibit 10.25 to the Registrant’s Quarterly Report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Form of Agreement Relating to Retention and Noncompetition and Other Covenants (incorporated by reference to Exhibit 10.27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Registration Statement (File No. 333-121407) on Form S-1/A filed on April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and Alexander F. Stern (incorporated by reference to Exhibit 10.28 to the Registrant’s Annual Report (File No. 001-32492) on Form 10-K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2, 2009).</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84</w:t>
            </w: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October 4, 2004, with Alexander F. Stern (incorporated by reference to Exhibit 10.2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filed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and Kenneth M. Jacobs (incorporated by reference to Exhibit 10.29 to the Registrant’s Annual Report on Form 10-K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1,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field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and Matthieu Bucaille (incorporated by reference to Exhibit 10.31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October 4, 2004, between Lazard Group LLC and Matthieu Bucaille (incorporated by reference to Exhibit 10.32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Acknowledgement Letter, dated as of November 6, 2006 from Lazard Group LLC to certain managing directors of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6, 2006 (incorporated by reference to Exhibit 10.23 to the Registrant’s Quarterly Report (File No. 001-32492) on Form 10-Q filed on November</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7,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reference to Exhibit 10.27 to the Registrant’s Registration Statement (File No. 333-121407) on Form S-1/A 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IXIS Corporate and Investment Bank (incorporated by reference to Exhibit 10.30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Description of Non-Executive Director Compensation (incorporated by reference to Exhibit 10.33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10.41 to the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10.42 to the Registrant’s Annual Report (File No. 001-32492) on Form 10-K filed on March 2, 2009).</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85</w:t>
            </w: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Directors’ Fee Deferral Unit Plan (incorporated by reference to Exhibit 10.39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May 11,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Plan (incorporated by reference to Exhibit 10.43 to the Registrant’s Annual Report (File No. 001-32492) on Form 10-K filed on March 1, 2007).</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Agreement and Plan of Merger, dated as of August 14, 2008, by and among Lazard Ltd, LAZ Sub I, Lazard Asset Management LLC and Lazard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Asset Management Limited (incorporated by reference to Exhibit 2.1 to the Registrant’s Current Report on Form 8-K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August 15,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Senior Revolving Credit Agreement, dated as of September 25, 2012, among Lazard Group LLC, the Banks from time to time parties thereto,</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and Citibank, N.A., as Administrative Agent (incorporated by reference to Exhibit 10.47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filed on November 1,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10.55 to the Registrant’s Quarterly Report (File No. 001-32492)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Form of Agreement evidencing a grant of Lazard Fund Interests under the 2008 Incentive Compensation Plan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10.55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and Restricted Stock to Executive Officers who are or may become eligible for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retirement under the 2008 Incentive Compensation Plan (incorporated by reference to Exhibit 10.53 to the Registrant’s Quarterly Report (File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No. 001-32492) on Form 10-Q filed on May 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Amendment, dated as of August 2,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March 15, 2005, between Lazard Group LLC and Ashish Bhutani (incorporated by reference to Exhibit 10.56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August 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10.47*</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October 24, 2012,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of March 18, 2005 and amended on March 23, 2010, among the Registrant, Lazard Group LLC and Kenneth M. Jacobs (incorporated by</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10.52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November 1, 2012).</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10.48*</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March 15, 2005 and amended on August 2, 2011, among the Registrant, Lazard Group LLC and Ashish Bhutani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10.50 to the Registrant’s Quarterly Report (File No. 001-32492)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10.49*</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October 4, 2004 and amended on April 1, 2011, among the Registrant, Lazard Group LLC and Matthieu Bucaille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10.51 to the Registrant’s Quarterly Report (File No. 001-32492)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10.50*</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May 4, 2005 and amended on May 7, 2008 and February 23, 2011, among the Registrant, Lazard Group LLC and Scott D. Hoffman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10.52 to the Registrant’s Quarterly Report (File No. 001-32492) on Form 10-Q filed on April 30, 2013).</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86</w:t>
            </w: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10.51*</w:t>
            </w:r>
          </w:p>
        </w:tc>
        <w:tc>
          <w:tcPr>
            <w:tcW w:w="10440" w:type="dxa"/>
            <w:vAlign w:val="bottom"/>
          </w:tcPr>
          <w:p>
            <w:pPr>
              <w:ind w:left="30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960" w:type="dxa"/>
            <w:vAlign w:val="bottom"/>
          </w:tcPr>
          <w:p>
            <w:pPr>
              <w:spacing w:after="0"/>
              <w:rPr>
                <w:sz w:val="18"/>
                <w:szCs w:val="18"/>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88"/>
              </w:rPr>
              <w:t>October 4, 2004 and amended on March 23, 2010, among the Registrant, Lazard Group LLC and Alexander F. Stern (incorporated by reference</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to Exhibit 10.53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10.52*</w:t>
            </w:r>
          </w:p>
        </w:tc>
        <w:tc>
          <w:tcPr>
            <w:tcW w:w="10440" w:type="dxa"/>
            <w:vAlign w:val="bottom"/>
          </w:tcPr>
          <w:p>
            <w:pPr>
              <w:ind w:left="300"/>
              <w:spacing w:after="0"/>
              <w:rPr>
                <w:sz w:val="20"/>
                <w:szCs w:val="20"/>
                <w:color w:val="auto"/>
              </w:rPr>
            </w:pPr>
            <w:r>
              <w:rPr>
                <w:rFonts w:ascii="Arial" w:cs="Arial" w:eastAsia="Arial" w:hAnsi="Arial"/>
                <w:sz w:val="18"/>
                <w:szCs w:val="18"/>
                <w:color w:val="auto"/>
                <w:w w:val="92"/>
              </w:rPr>
              <w:t>Form of Agreement evidencing a grant of Performance-Based Stock Units under the 2008 Incentive Compensation Plan (incorporated by</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reference to Exhibit 10.54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10.53*</w:t>
            </w: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grant of Lazard Fund Interests to Named Executive Officers under the 2008 Incentive Compensation Plan</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(incorporated by reference to Exhibit 10.55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10.54*</w:t>
            </w: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grant of Restricted Stock Units to Named Executive Officers under the 2008 Incentive Compensation Plan</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(incorporated by reference to Exhibit 10.56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10.55*</w:t>
            </w: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February 20, 2014 grant of Performance-Based Stock Units under the 2008 Incentive Compensation Plan</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4"/>
              </w:rPr>
              <w:t>(incorporated by reference to Exhibit 10.55 to the Registrant’s Quarterly Report (File No. 001-32492) on Form 10-Q filed May 6, 2014).</w:t>
            </w:r>
          </w:p>
        </w:tc>
      </w:tr>
      <w:tr>
        <w:trPr>
          <w:trHeight w:val="331"/>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10.56*</w:t>
            </w:r>
          </w:p>
        </w:tc>
        <w:tc>
          <w:tcPr>
            <w:tcW w:w="10440" w:type="dxa"/>
            <w:vAlign w:val="bottom"/>
          </w:tcPr>
          <w:p>
            <w:pPr>
              <w:ind w:left="300"/>
              <w:spacing w:after="0"/>
              <w:rPr>
                <w:sz w:val="20"/>
                <w:szCs w:val="20"/>
                <w:color w:val="auto"/>
              </w:rPr>
            </w:pPr>
            <w:r>
              <w:rPr>
                <w:rFonts w:ascii="Arial" w:cs="Arial" w:eastAsia="Arial" w:hAnsi="Arial"/>
                <w:sz w:val="18"/>
                <w:szCs w:val="18"/>
                <w:color w:val="auto"/>
                <w:w w:val="87"/>
              </w:rPr>
              <w:t>Agreement between the Company and Kenneth M. Jacobs, dated as of February 20, 2014, evidencing a grant of Performance-Based Stock Units</w:t>
            </w:r>
          </w:p>
        </w:tc>
      </w:tr>
      <w:tr>
        <w:trPr>
          <w:trHeight w:val="216"/>
        </w:trPr>
        <w:tc>
          <w:tcPr>
            <w:tcW w:w="960" w:type="dxa"/>
            <w:vAlign w:val="bottom"/>
          </w:tcPr>
          <w:p>
            <w:pPr>
              <w:spacing w:after="0"/>
              <w:rPr>
                <w:sz w:val="18"/>
                <w:szCs w:val="18"/>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4"/>
              </w:rPr>
              <w:t>under the 2008 Incentive Compensation Plan (incorporated by reference to Exhibit 10.56 to the Registrant’s Quarterly Report (File No.</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001-32492) on Form 10-Q filed on May 6, 2014).</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12.1</w:t>
            </w:r>
          </w:p>
        </w:tc>
        <w:tc>
          <w:tcPr>
            <w:tcW w:w="10440" w:type="dxa"/>
            <w:vAlign w:val="bottom"/>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31.1</w:t>
            </w:r>
          </w:p>
        </w:tc>
        <w:tc>
          <w:tcPr>
            <w:tcW w:w="10440" w:type="dxa"/>
            <w:vAlign w:val="bottom"/>
          </w:tcPr>
          <w:p>
            <w:pPr>
              <w:ind w:left="30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31.2</w:t>
            </w:r>
          </w:p>
        </w:tc>
        <w:tc>
          <w:tcPr>
            <w:tcW w:w="10440" w:type="dxa"/>
            <w:vAlign w:val="bottom"/>
          </w:tcPr>
          <w:p>
            <w:pPr>
              <w:ind w:left="30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32.1</w:t>
            </w:r>
          </w:p>
        </w:tc>
        <w:tc>
          <w:tcPr>
            <w:tcW w:w="10440" w:type="dxa"/>
            <w:vAlign w:val="bottom"/>
          </w:tcPr>
          <w:p>
            <w:pPr>
              <w:ind w:left="30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32.2</w:t>
            </w:r>
          </w:p>
        </w:tc>
        <w:tc>
          <w:tcPr>
            <w:tcW w:w="10440" w:type="dxa"/>
            <w:vAlign w:val="bottom"/>
          </w:tcPr>
          <w:p>
            <w:pPr>
              <w:ind w:left="30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2014</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Matthieu Bucaille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Matthieu Bucaille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Financial Officer</w:t>
            </w:r>
          </w:p>
        </w:tc>
      </w:tr>
      <w:tr>
        <w:trPr>
          <w:trHeight w:val="43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Dominick Ragone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Dominick Ragone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Accounting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Nine Months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w w:val="95"/>
              </w:rPr>
              <w:t>Year Ended December 31,</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97"/>
              <w:spacing w:after="0" w:line="148" w:lineRule="exact"/>
              <w:rPr>
                <w:sz w:val="20"/>
                <w:szCs w:val="20"/>
                <w:color w:val="auto"/>
              </w:rPr>
            </w:pPr>
            <w:r>
              <w:rPr>
                <w:rFonts w:ascii="Arial" w:cs="Arial" w:eastAsia="Arial" w:hAnsi="Arial"/>
                <w:sz w:val="14"/>
                <w:szCs w:val="14"/>
                <w:b w:val="1"/>
                <w:bCs w:val="1"/>
                <w:color w:val="auto"/>
                <w:w w:val="84"/>
              </w:rPr>
              <w:t>Ended</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6"/>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2014</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0" w:type="dxa"/>
            <w:vAlign w:val="bottom"/>
            <w:gridSpan w:val="5"/>
          </w:tcPr>
          <w:p>
            <w:pPr>
              <w:ind w:left="180"/>
              <w:spacing w:after="0" w:line="155" w:lineRule="exact"/>
              <w:rPr>
                <w:sz w:val="20"/>
                <w:szCs w:val="20"/>
                <w:color w:val="auto"/>
              </w:rPr>
            </w:pPr>
            <w:r>
              <w:rPr>
                <w:rFonts w:ascii="Arial" w:cs="Arial" w:eastAsia="Arial" w:hAnsi="Arial"/>
                <w:sz w:val="14"/>
                <w:szCs w:val="14"/>
                <w:b w:val="1"/>
                <w:bCs w:val="1"/>
                <w:color w:val="auto"/>
                <w:w w:val="95"/>
              </w:rPr>
              <w:t>(dollars in thousands)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319,872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216,807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123,885</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235,499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243,650</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(182,234)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65,212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103,668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106,470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110,919</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117,119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127,398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385,084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320,475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230,355</w:t>
            </w:r>
          </w:p>
        </w:tc>
        <w:tc>
          <w:tcPr>
            <w:tcW w:w="3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346,418</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360,769</w:t>
            </w:r>
          </w:p>
        </w:tc>
        <w:tc>
          <w:tcPr>
            <w:tcW w:w="3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(54,836)</w:t>
            </w: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79,381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81,565</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97,709</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18,038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24,287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24,905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20,793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19,410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19,508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103,668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106,470</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110,919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117,119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127,398</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32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3.09(d)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2.16(e)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3.08(f)</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Deficiency in the coverage of operating income (loss)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before fixed charges to total fixed charges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182,234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80" w:hanging="452"/>
        <w:spacing w:after="0" w:line="305" w:lineRule="auto"/>
        <w:tabs>
          <w:tab w:leader="none" w:pos="4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2013 is presented after giving effect to charges of (i) $64,703 associated with the cost saving initiatives announced by the Company in October 2012, (ii) $54,087 pertaining to the refinancing of the 2015 Notes and the issuance of the 2020 Notes and</w:t>
      </w:r>
    </w:p>
    <w:p>
      <w:pPr>
        <w:ind w:left="460" w:right="360"/>
        <w:spacing w:after="0" w:line="261" w:lineRule="auto"/>
        <w:rPr>
          <w:rFonts w:ascii="Arial" w:cs="Arial" w:eastAsia="Arial" w:hAnsi="Arial"/>
          <w:sz w:val="15"/>
          <w:szCs w:val="15"/>
          <w:color w:val="auto"/>
        </w:rPr>
      </w:pPr>
      <w:r>
        <w:rPr>
          <w:rFonts w:ascii="Arial" w:cs="Arial" w:eastAsia="Arial" w:hAnsi="Arial"/>
          <w:sz w:val="18"/>
          <w:szCs w:val="18"/>
          <w:color w:val="auto"/>
        </w:rPr>
        <w:t>(iii) $12,203 relating to private equity incentive compensation. Excluding the impact of such charges, the ratio of earnings to fixed charges would have been 4.35.</w:t>
      </w:r>
    </w:p>
    <w:p>
      <w:pPr>
        <w:spacing w:after="0" w:line="56" w:lineRule="exact"/>
        <w:rPr>
          <w:rFonts w:ascii="Arial" w:cs="Arial" w:eastAsia="Arial" w:hAnsi="Arial"/>
          <w:sz w:val="15"/>
          <w:szCs w:val="15"/>
          <w:color w:val="auto"/>
        </w:rPr>
      </w:pPr>
    </w:p>
    <w:p>
      <w:pPr>
        <w:ind w:left="460" w:right="80" w:hanging="452"/>
        <w:spacing w:after="0" w:line="323" w:lineRule="auto"/>
        <w:tabs>
          <w:tab w:leader="none" w:pos="4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charges, the ratio of earnings to fixed charges would have been 3.36.</w:t>
      </w:r>
    </w:p>
    <w:p>
      <w:pPr>
        <w:spacing w:after="0" w:line="16" w:lineRule="exact"/>
        <w:rPr>
          <w:rFonts w:ascii="Arial" w:cs="Arial" w:eastAsia="Arial" w:hAnsi="Arial"/>
          <w:sz w:val="15"/>
          <w:szCs w:val="15"/>
          <w:color w:val="auto"/>
        </w:rPr>
      </w:pPr>
    </w:p>
    <w:p>
      <w:pPr>
        <w:jc w:val="both"/>
        <w:ind w:left="460" w:right="220" w:hanging="452"/>
        <w:spacing w:after="0" w:line="306"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2010 is presented after giving effect to (i) a restructuring charge of $87,108, (ii) a charge of $24,860 relating to the amendment of Lazard’s retirement policy with respect to RSU awards and (iii) benefits pursuant to the tax receivable agreement of $8,834 relating to the aforementioned items. Excluding the impact of such charges, the ratio of earnings to fixed charges would have been 3.96.</w:t>
      </w:r>
    </w:p>
    <w:p>
      <w:pPr>
        <w:sectPr>
          <w:pgSz w:w="11900" w:h="16838" w:orient="portrait"/>
          <w:cols w:equalWidth="0" w:num="1">
            <w:col w:w="11420"/>
          </w:cols>
          <w:pgMar w:left="240" w:top="125" w:right="239" w:bottom="1440" w:gutter="0" w:footer="0" w:header="0"/>
        </w:sectPr>
      </w:pPr>
    </w:p>
    <w:bookmarkStart w:id="91" w:name="page92"/>
    <w:bookmarkEnd w:id="91"/>
    <w:p>
      <w:pPr>
        <w:ind w:left="452" w:hanging="452"/>
        <w:spacing w:after="0" w:line="298" w:lineRule="auto"/>
        <w:tabs>
          <w:tab w:leader="none" w:pos="452" w:val="left"/>
        </w:tabs>
        <w:numPr>
          <w:ilvl w:val="0"/>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Operating loss for the year ended December 31, 2009 is presented after giving effect to (i) a restructuring charge of $62,550, (ii) the acceleration of amortization expense of $86,514 relating to share-based incentive awards previously granted to our former Chairman and Chief Executive Officer and (iii) the acceleration of amortization expense of $60,512 relating to the accelerated vesting of the unamortized portion of previously awarded deferred cash incentive awards. Excluding the impact of such charges, the ratio of earnings to fixed charges would have been 1.21.</w:t>
      </w:r>
    </w:p>
    <w:p>
      <w:pPr>
        <w:sectPr>
          <w:pgSz w:w="11900" w:h="16838" w:orient="portrait"/>
          <w:cols w:equalWidth="0" w:num="1">
            <w:col w:w="11312"/>
          </w:cols>
          <w:pgMar w:left="248" w:top="280"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2014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2014</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2014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2014</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October 27, 2014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September 30, 2014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October 27, 2014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September 30, 2014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1."/>
      <w:numFmt w:val="decimal"/>
      <w:start w:val="2"/>
    </w:lvl>
  </w:abstractNum>
  <w:abstractNum w:abstractNumId="7">
    <w:nsid w:val="3804823E"/>
    <w:multiLevelType w:val="hybridMultilevel"/>
    <w:lvl w:ilvl="0">
      <w:lvlJc w:val="left"/>
      <w:lvlText w:val="%1."/>
      <w:numFmt w:val="decimal"/>
      <w:start w:val="3"/>
    </w:lvl>
  </w:abstractNum>
  <w:abstractNum w:abstractNumId="8">
    <w:nsid w:val="77465F01"/>
    <w:multiLevelType w:val="hybridMultilevel"/>
    <w:lvl w:ilvl="0">
      <w:lvlJc w:val="left"/>
      <w:lvlText w:val="%1."/>
      <w:numFmt w:val="decimal"/>
      <w:start w:val="4"/>
    </w:lvl>
  </w:abstractNum>
  <w:abstractNum w:abstractNumId="9">
    <w:nsid w:val="7724C67E"/>
    <w:multiLevelType w:val="hybridMultilevel"/>
    <w:lvl w:ilvl="0">
      <w:lvlJc w:val="left"/>
      <w:lvlText w:val="(%1)"/>
      <w:numFmt w:val="lowerLetter"/>
      <w:start w:val="1"/>
    </w:lvl>
  </w:abstractNum>
  <w:abstractNum w:abstractNumId="10">
    <w:nsid w:val="5C482A97"/>
    <w:multiLevelType w:val="hybridMultilevel"/>
    <w:lvl w:ilvl="0">
      <w:lvlJc w:val="left"/>
      <w:lvlText w:val="%1."/>
      <w:numFmt w:val="decimal"/>
      <w:start w:val="5"/>
    </w:lvl>
  </w:abstractNum>
  <w:abstractNum w:abstractNumId="11">
    <w:nsid w:val="2463B9EA"/>
    <w:multiLevelType w:val="hybridMultilevel"/>
    <w:lvl w:ilvl="0">
      <w:lvlJc w:val="left"/>
      <w:lvlText w:val="(%1)"/>
      <w:numFmt w:val="lowerLetter"/>
      <w:start w:val="1"/>
    </w:lvl>
  </w:abstractNum>
  <w:abstractNum w:abstractNumId="12">
    <w:nsid w:val="5E884ADC"/>
    <w:multiLevelType w:val="hybridMultilevel"/>
    <w:lvl w:ilvl="0">
      <w:lvlJc w:val="left"/>
      <w:lvlText w:val="(%1)"/>
      <w:numFmt w:val="lowerLetter"/>
      <w:start w:val="1"/>
    </w:lvl>
  </w:abstractNum>
  <w:abstractNum w:abstractNumId="13">
    <w:nsid w:val="51EAD36B"/>
    <w:multiLevelType w:val="hybridMultilevel"/>
    <w:lvl w:ilvl="0">
      <w:lvlJc w:val="left"/>
      <w:lvlText w:val="(%1)"/>
      <w:numFmt w:val="lowerLetter"/>
      <w:start w:val="1"/>
    </w:lvl>
  </w:abstractNum>
  <w:abstractNum w:abstractNumId="14">
    <w:nsid w:val="2D517796"/>
    <w:multiLevelType w:val="hybridMultilevel"/>
    <w:lvl w:ilvl="0">
      <w:lvlJc w:val="left"/>
      <w:lvlText w:val="%1."/>
      <w:numFmt w:val="decimal"/>
      <w:start w:val="6"/>
    </w:lvl>
  </w:abstractNum>
  <w:abstractNum w:abstractNumId="15">
    <w:nsid w:val="580BD78F"/>
    <w:multiLevelType w:val="hybridMultilevel"/>
    <w:lvl w:ilvl="0">
      <w:lvlJc w:val="left"/>
      <w:lvlText w:val="(%1)"/>
      <w:numFmt w:val="lowerLetter"/>
      <w:start w:val="1"/>
    </w:lvl>
  </w:abstractNum>
  <w:abstractNum w:abstractNumId="16">
    <w:nsid w:val="153EA438"/>
    <w:multiLevelType w:val="hybridMultilevel"/>
    <w:lvl w:ilvl="0">
      <w:lvlJc w:val="left"/>
      <w:lvlText w:val="%1."/>
      <w:numFmt w:val="decimal"/>
      <w:start w:val="7"/>
    </w:lvl>
  </w:abstractNum>
  <w:abstractNum w:abstractNumId="17">
    <w:nsid w:val="3855585C"/>
    <w:multiLevelType w:val="hybridMultilevel"/>
    <w:lvl w:ilvl="0">
      <w:lvlJc w:val="left"/>
      <w:lvlText w:val="%1."/>
      <w:numFmt w:val="decimal"/>
      <w:start w:val="8"/>
    </w:lvl>
  </w:abstractNum>
  <w:abstractNum w:abstractNumId="18">
    <w:nsid w:val="70A64E2A"/>
    <w:multiLevelType w:val="hybridMultilevel"/>
    <w:lvl w:ilvl="0">
      <w:lvlJc w:val="left"/>
      <w:lvlText w:val="%1"/>
      <w:numFmt w:val="decimal"/>
      <w:start w:val="1"/>
    </w:lvl>
    <w:lvl w:ilvl="1">
      <w:lvlJc w:val="left"/>
      <w:lvlText w:val="(%2)"/>
      <w:numFmt w:val="lowerLetter"/>
      <w:start w:val="1"/>
    </w:lvl>
  </w:abstractNum>
  <w:abstractNum w:abstractNumId="19">
    <w:nsid w:val="6A2342EC"/>
    <w:multiLevelType w:val="hybridMultilevel"/>
    <w:lvl w:ilvl="0">
      <w:lvlJc w:val="left"/>
      <w:lvlText w:val="%1."/>
      <w:numFmt w:val="decimal"/>
      <w:start w:val="9"/>
    </w:lvl>
    <w:lvl w:ilvl="1">
      <w:lvlJc w:val="left"/>
      <w:lvlText w:val="%2"/>
      <w:numFmt w:val="lowerLetter"/>
      <w:start w:val="1"/>
    </w:lvl>
  </w:abstractNum>
  <w:abstractNum w:abstractNumId="20">
    <w:nsid w:val="2A487CB0"/>
    <w:multiLevelType w:val="hybridMultilevel"/>
    <w:lvl w:ilvl="0">
      <w:lvlJc w:val="left"/>
      <w:lvlText w:val="%1."/>
      <w:numFmt w:val="decimal"/>
      <w:start w:val="10"/>
    </w:lvl>
  </w:abstractNum>
  <w:abstractNum w:abstractNumId="21">
    <w:nsid w:val="1D4ED43B"/>
    <w:multiLevelType w:val="hybridMultilevel"/>
    <w:lvl w:ilvl="0">
      <w:lvlJc w:val="left"/>
      <w:lvlText w:val="(%1)"/>
      <w:numFmt w:val="lowerLetter"/>
      <w:start w:val="1"/>
    </w:lvl>
  </w:abstractNum>
  <w:abstractNum w:abstractNumId="22">
    <w:nsid w:val="725A06FB"/>
    <w:multiLevelType w:val="hybridMultilevel"/>
    <w:lvl w:ilvl="0">
      <w:lvlJc w:val="left"/>
      <w:lvlText w:val="%1."/>
      <w:numFmt w:val="decimal"/>
      <w:start w:val="11"/>
    </w:lvl>
  </w:abstractNum>
  <w:abstractNum w:abstractNumId="23">
    <w:nsid w:val="2CD89A32"/>
    <w:multiLevelType w:val="hybridMultilevel"/>
    <w:lvl w:ilvl="0">
      <w:lvlJc w:val="left"/>
      <w:lvlText w:val="(%1)"/>
      <w:numFmt w:val="lowerLetter"/>
      <w:start w:val="1"/>
    </w:lvl>
  </w:abstractNum>
  <w:abstractNum w:abstractNumId="24">
    <w:nsid w:val="57E4CCAF"/>
    <w:multiLevelType w:val="hybridMultilevel"/>
    <w:lvl w:ilvl="0">
      <w:lvlJc w:val="left"/>
      <w:lvlText w:val="%1."/>
      <w:numFmt w:val="decimal"/>
      <w:start w:val="12"/>
    </w:lvl>
  </w:abstractNum>
  <w:abstractNum w:abstractNumId="25">
    <w:nsid w:val="7A6D8D3C"/>
    <w:multiLevelType w:val="hybridMultilevel"/>
    <w:lvl w:ilvl="0">
      <w:lvlJc w:val="left"/>
      <w:lvlText w:val="(%1)"/>
      <w:numFmt w:val="lowerLetter"/>
      <w:start w:val="1"/>
    </w:lvl>
  </w:abstractNum>
  <w:abstractNum w:abstractNumId="26">
    <w:nsid w:val="4B588F54"/>
    <w:multiLevelType w:val="hybridMultilevel"/>
    <w:lvl w:ilvl="0">
      <w:lvlJc w:val="left"/>
      <w:lvlText w:val="(%1)"/>
      <w:numFmt w:val="lowerLetter"/>
      <w:start w:val="1"/>
    </w:lvl>
  </w:abstractNum>
  <w:abstractNum w:abstractNumId="27">
    <w:nsid w:val="542289EC"/>
    <w:multiLevelType w:val="hybridMultilevel"/>
    <w:lvl w:ilvl="0">
      <w:lvlJc w:val="left"/>
      <w:lvlText w:val="%1."/>
      <w:numFmt w:val="decimal"/>
      <w:start w:val="13"/>
    </w:lvl>
  </w:abstractNum>
  <w:abstractNum w:abstractNumId="28">
    <w:nsid w:val="6DE91B18"/>
    <w:multiLevelType w:val="hybridMultilevel"/>
    <w:lvl w:ilvl="0">
      <w:lvlJc w:val="left"/>
      <w:lvlText w:val="%1."/>
      <w:numFmt w:val="decimal"/>
      <w:start w:val="14"/>
    </w:lvl>
  </w:abstractNum>
  <w:abstractNum w:abstractNumId="29">
    <w:nsid w:val="38437FDB"/>
    <w:multiLevelType w:val="hybridMultilevel"/>
    <w:lvl w:ilvl="0">
      <w:lvlJc w:val="left"/>
      <w:lvlText w:val="%1."/>
      <w:numFmt w:val="decimal"/>
      <w:start w:val="15"/>
    </w:lvl>
  </w:abstractNum>
  <w:abstractNum w:abstractNumId="30">
    <w:nsid w:val="7644A45C"/>
    <w:multiLevelType w:val="hybridMultilevel"/>
    <w:lvl w:ilvl="0">
      <w:lvlJc w:val="left"/>
      <w:lvlText w:val="%1."/>
      <w:numFmt w:val="decimal"/>
      <w:start w:val="16"/>
    </w:lvl>
  </w:abstractNum>
  <w:abstractNum w:abstractNumId="31">
    <w:nsid w:val="32FFF902"/>
    <w:multiLevelType w:val="hybridMultilevel"/>
    <w:lvl w:ilvl="0">
      <w:lvlJc w:val="left"/>
      <w:lvlText w:val="%1."/>
      <w:numFmt w:val="decimal"/>
      <w:start w:val="17"/>
    </w:lvl>
  </w:abstractNum>
  <w:abstractNum w:abstractNumId="32">
    <w:nsid w:val="684A481A"/>
    <w:multiLevelType w:val="hybridMultilevel"/>
    <w:lvl w:ilvl="0">
      <w:lvlJc w:val="left"/>
      <w:lvlText w:val="%1."/>
      <w:numFmt w:val="decimal"/>
      <w:start w:val="18"/>
    </w:lvl>
  </w:abstractNum>
  <w:abstractNum w:abstractNumId="33">
    <w:nsid w:val="579478FE"/>
    <w:multiLevelType w:val="hybridMultilevel"/>
    <w:lvl w:ilvl="0">
      <w:lvlJc w:val="left"/>
      <w:lvlText w:val="%1."/>
      <w:numFmt w:val="decimal"/>
      <w:start w:val="19"/>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1)"/>
      <w:numFmt w:val="lowerLetter"/>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1)"/>
      <w:numFmt w:val="lowerRoman"/>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1)"/>
      <w:numFmt w:val="lowerLetter"/>
      <w:start w:val="1"/>
    </w:lvl>
  </w:abstractNum>
  <w:abstractNum w:abstractNumId="45">
    <w:nsid w:val="649BB77C"/>
    <w:multiLevelType w:val="hybridMultilevel"/>
    <w:lvl w:ilvl="0">
      <w:lvlJc w:val="left"/>
      <w:lvlText w:val="(%1)"/>
      <w:numFmt w:val="lowerLetter"/>
      <w:start w:val="1"/>
    </w:lvl>
  </w:abstractNum>
  <w:abstractNum w:abstractNumId="46">
    <w:nsid w:val="275AC794"/>
    <w:multiLevelType w:val="hybridMultilevel"/>
    <w:lvl w:ilvl="0">
      <w:lvlJc w:val="left"/>
      <w:lvlText w:val="(%1)"/>
      <w:numFmt w:val="lowerLetter"/>
      <w:start w:val="1"/>
    </w:lvl>
  </w:abstractNum>
  <w:abstractNum w:abstractNumId="47">
    <w:nsid w:val="39386575"/>
    <w:multiLevelType w:val="hybridMultilevel"/>
    <w:lvl w:ilvl="0">
      <w:lvlJc w:val="left"/>
      <w:lvlText w:val="(%1)"/>
      <w:numFmt w:val="lowerLetter"/>
      <w:start w:val="1"/>
    </w:lvl>
  </w:abstractNum>
  <w:abstractNum w:abstractNumId="48">
    <w:nsid w:val="1CF10FD8"/>
    <w:multiLevelType w:val="hybridMultilevel"/>
    <w:lvl w:ilvl="0">
      <w:lvlJc w:val="left"/>
      <w:lvlText w:val="(%1)"/>
      <w:numFmt w:val="lowerLetter"/>
      <w:start w:val="1"/>
    </w:lvl>
  </w:abstractNum>
  <w:abstractNum w:abstractNumId="49">
    <w:nsid w:val="180115BE"/>
    <w:multiLevelType w:val="hybridMultilevel"/>
    <w:lvl w:ilvl="0">
      <w:lvlJc w:val="left"/>
      <w:lvlText w:val="(%1)"/>
      <w:numFmt w:val="lowerLetter"/>
      <w:start w:val="1"/>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1)"/>
      <w:numFmt w:val="lowerLetter"/>
      <w:start w:val="2"/>
    </w:lvl>
  </w:abstractNum>
  <w:abstractNum w:abstractNumId="52">
    <w:nsid w:val="354FE9F9"/>
    <w:multiLevelType w:val="hybridMultilevel"/>
    <w:lvl w:ilvl="0">
      <w:lvlJc w:val="left"/>
      <w:lvlText w:val="(%1)"/>
      <w:numFmt w:val="lowerLetter"/>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lowerLetter"/>
      <w:start w:val="2"/>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decimal"/>
      <w:start w:val="2"/>
    </w:lvl>
  </w:abstractNum>
  <w:abstractNum w:abstractNumId="61">
    <w:nsid w:val="579BE4F1"/>
    <w:multiLevelType w:val="hybridMultilevel"/>
    <w:lvl w:ilvl="0">
      <w:lvlJc w:val="left"/>
      <w:lvlText w:val="(%1)"/>
      <w:numFmt w:val="lowerLetter"/>
      <w:start w:val="1"/>
    </w:lvl>
    <w:lvl w:ilvl="1">
      <w:lvlJc w:val="left"/>
      <w:lvlText w:val="•"/>
      <w:numFmt w:val="bullet"/>
      <w:start w:val="1"/>
    </w:lvl>
  </w:abstractNum>
  <w:abstractNum w:abstractNumId="62">
    <w:nsid w:val="310C50B3"/>
    <w:multiLevelType w:val="hybridMultilevel"/>
    <w:lvl w:ilvl="0">
      <w:lvlJc w:val="left"/>
      <w:lvlText w:val="(%1)"/>
      <w:numFmt w:val="lowerLetter"/>
      <w:start w:val="7"/>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2019-12-07T08:34:03Z</dcterms:created>
  <dcterms:modified xsi:type="dcterms:W3CDTF">2019-12-07T08:34:03Z</dcterms:modified>
</cp:coreProperties>
</file>